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5D0" w:rsidRPr="006A0E79" w:rsidRDefault="008F05D0" w:rsidP="008F05D0">
      <w:pPr>
        <w:contextualSpacing/>
        <w:jc w:val="both"/>
        <w:rPr>
          <w:rFonts w:ascii="Times New Roman" w:hAnsi="Times New Roman"/>
          <w:b/>
          <w:sz w:val="24"/>
          <w:u w:val="single"/>
          <w:lang w:val="sl-SI"/>
        </w:rPr>
      </w:pPr>
      <w:r w:rsidRPr="006A0E79">
        <w:rPr>
          <w:rFonts w:ascii="Times New Roman" w:hAnsi="Times New Roman"/>
          <w:b/>
          <w:sz w:val="24"/>
          <w:u w:val="single"/>
          <w:lang w:val="sl-SI"/>
        </w:rPr>
        <w:t>VSEBINSKO POROČILO</w:t>
      </w:r>
    </w:p>
    <w:p w:rsidR="008F05D0" w:rsidRDefault="008F05D0" w:rsidP="008F05D0">
      <w:pPr>
        <w:pStyle w:val="Standard"/>
        <w:jc w:val="both"/>
        <w:rPr>
          <w:rFonts w:cs="Times New Roman"/>
          <w:lang w:val="sl-SI"/>
        </w:rPr>
      </w:pPr>
    </w:p>
    <w:p w:rsidR="008F05D0" w:rsidRPr="006A0E79" w:rsidRDefault="008F05D0" w:rsidP="008F05D0">
      <w:pPr>
        <w:pStyle w:val="Standard"/>
        <w:jc w:val="both"/>
        <w:rPr>
          <w:rFonts w:cs="Times New Roman"/>
          <w:lang w:val="sl-SI"/>
        </w:rPr>
      </w:pPr>
    </w:p>
    <w:p w:rsidR="008F05D0" w:rsidRDefault="008F05D0" w:rsidP="008F05D0">
      <w:pPr>
        <w:jc w:val="center"/>
        <w:rPr>
          <w:rFonts w:ascii="Times New Roman" w:hAnsi="Times New Roman"/>
          <w:b/>
          <w:sz w:val="24"/>
          <w:lang w:val="sl-SI"/>
        </w:rPr>
      </w:pPr>
      <w:r w:rsidRPr="006A0E79">
        <w:rPr>
          <w:rFonts w:ascii="Times New Roman" w:hAnsi="Times New Roman"/>
          <w:b/>
          <w:sz w:val="24"/>
          <w:lang w:val="sl-SI"/>
        </w:rPr>
        <w:t xml:space="preserve">Zabeležka z udeležbe na </w:t>
      </w:r>
      <w:r>
        <w:rPr>
          <w:rFonts w:ascii="Times New Roman" w:hAnsi="Times New Roman"/>
          <w:b/>
          <w:sz w:val="24"/>
          <w:lang w:val="sl-SI"/>
        </w:rPr>
        <w:t>seminarju na temo programiranja skladov, ki jih ureja uredba splošnih določb (CPR), v obdobju 2021-2027</w:t>
      </w:r>
    </w:p>
    <w:p w:rsidR="008F05D0" w:rsidRPr="006A0E79" w:rsidRDefault="008F05D0" w:rsidP="008F05D0">
      <w:pPr>
        <w:jc w:val="center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(14. junij 2019, Bruselj)</w:t>
      </w:r>
    </w:p>
    <w:p w:rsidR="008F05D0" w:rsidRDefault="008F05D0" w:rsidP="008F05D0">
      <w:pPr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Seminar so organizirali štirje DG-ji Evropske komisije (DG REGIO, DG EMPL, DG MARE in DG HOME). Iz Slovenije se je seminarja udeležilo 5 udeležencev, in sicer 2 iz SVRK, 1 iz MDDSZ, 1 iz MKGP in 1 iz MNZ. Seminar, ki ga je EK predvajala preko web streama, je bil razdeljen v dva sklopa; v dopoldanskem času je bil skupni del za vse sklade, v popoldanskem pa so bila tri vzporedna zasedanja na temo programiranja kohezijskih skladov (DG REGIO + DG EMPL), skladov za migracije in varnost (DG HOME) in sklada za pomorstvo in ribištvo DG MARE). Web streaming za kohezijske sklade je dosegljiv na linku</w:t>
      </w:r>
    </w:p>
    <w:p w:rsidR="008F05D0" w:rsidRDefault="008F05D0" w:rsidP="008F05D0">
      <w:pPr>
        <w:jc w:val="both"/>
        <w:rPr>
          <w:rFonts w:ascii="Times New Roman" w:hAnsi="Times New Roman"/>
          <w:sz w:val="24"/>
          <w:lang w:val="sl-SI"/>
        </w:rPr>
      </w:pPr>
      <w:hyperlink r:id="rId5" w:history="1">
        <w:r>
          <w:rPr>
            <w:rStyle w:val="Hiperpovezava"/>
            <w:rFonts w:ascii="Calibri" w:hAnsi="Calibri" w:cs="Calibri"/>
            <w:color w:val="1F497D"/>
            <w:sz w:val="22"/>
            <w:szCs w:val="22"/>
            <w:lang w:val="en-GB"/>
          </w:rPr>
          <w:t>https://webcast.ec.europa.eu/session-a-programming-of-the-european-regional-development-fund-the-cohesion-fund-and-the-european-social-fund-plus</w:t>
        </w:r>
      </w:hyperlink>
      <w:r>
        <w:rPr>
          <w:rFonts w:ascii="Calibri" w:hAnsi="Calibri" w:cs="Calibri"/>
          <w:color w:val="1F497D"/>
          <w:sz w:val="22"/>
          <w:szCs w:val="22"/>
          <w:lang w:val="fr-FR"/>
        </w:rPr>
        <w:t xml:space="preserve"> </w:t>
      </w:r>
      <w:r w:rsidRPr="00F57005">
        <w:rPr>
          <w:rFonts w:ascii="Calibri" w:hAnsi="Calibri" w:cs="Calibri"/>
          <w:sz w:val="22"/>
          <w:szCs w:val="22"/>
          <w:lang w:val="fr-FR"/>
        </w:rPr>
        <w:t>in bo dostopen naslednji dve leti.</w:t>
      </w:r>
      <w:r>
        <w:rPr>
          <w:rFonts w:ascii="Times New Roman" w:hAnsi="Times New Roman"/>
          <w:sz w:val="24"/>
          <w:lang w:val="sl-SI"/>
        </w:rPr>
        <w:t xml:space="preserve"> Spodaj navajam ključne vsebinske poudarke seminarja:</w:t>
      </w:r>
    </w:p>
    <w:p w:rsidR="008F05D0" w:rsidRDefault="008F05D0" w:rsidP="008F05D0">
      <w:pPr>
        <w:jc w:val="both"/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jc w:val="both"/>
        <w:rPr>
          <w:rFonts w:ascii="Times New Roman" w:hAnsi="Times New Roman"/>
          <w:sz w:val="24"/>
          <w:lang w:val="sl-SI"/>
        </w:rPr>
      </w:pPr>
    </w:p>
    <w:p w:rsidR="008F05D0" w:rsidRPr="0023046D" w:rsidRDefault="008F05D0" w:rsidP="008F05D0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Teme, ki so skupne vsem skladom CPR</w:t>
      </w:r>
    </w:p>
    <w:p w:rsidR="008F05D0" w:rsidRDefault="008F05D0" w:rsidP="008F05D0">
      <w:pPr>
        <w:jc w:val="both"/>
        <w:rPr>
          <w:rFonts w:ascii="Times New Roman" w:hAnsi="Times New Roman"/>
          <w:sz w:val="24"/>
          <w:lang w:val="sl-SI"/>
        </w:rPr>
      </w:pPr>
    </w:p>
    <w:p w:rsidR="008F05D0" w:rsidRPr="0023046D" w:rsidRDefault="008F05D0" w:rsidP="008F05D0">
      <w:pPr>
        <w:numPr>
          <w:ilvl w:val="0"/>
          <w:numId w:val="2"/>
        </w:numPr>
        <w:rPr>
          <w:rFonts w:ascii="Times New Roman" w:hAnsi="Times New Roman"/>
          <w:b/>
          <w:sz w:val="24"/>
          <w:lang w:val="sl-SI"/>
        </w:rPr>
      </w:pPr>
      <w:r w:rsidRPr="0023046D">
        <w:rPr>
          <w:rFonts w:ascii="Times New Roman" w:hAnsi="Times New Roman"/>
          <w:b/>
          <w:sz w:val="24"/>
          <w:lang w:val="sl-SI"/>
        </w:rPr>
        <w:t>Uvod</w:t>
      </w:r>
      <w:r>
        <w:rPr>
          <w:rFonts w:ascii="Times New Roman" w:hAnsi="Times New Roman"/>
          <w:b/>
          <w:sz w:val="24"/>
          <w:lang w:val="sl-SI"/>
        </w:rPr>
        <w:t xml:space="preserve"> (Marc Lemaitre, DG REGIO)</w:t>
      </w:r>
    </w:p>
    <w:p w:rsidR="008F05D0" w:rsidRDefault="008F05D0" w:rsidP="008F05D0">
      <w:pPr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numPr>
          <w:ilvl w:val="0"/>
          <w:numId w:val="3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EK je objavila ključne dokumente, ki predstavljajo izhodišče za programiranje 2021-2027 (poročila o državi, aneks D, CSRs)</w:t>
      </w:r>
    </w:p>
    <w:p w:rsidR="008F05D0" w:rsidRDefault="008F05D0" w:rsidP="008F05D0">
      <w:pPr>
        <w:numPr>
          <w:ilvl w:val="0"/>
          <w:numId w:val="3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 xml:space="preserve">EK pričakuje od DČ časovnice o poteku programiranja do konca junija </w:t>
      </w:r>
    </w:p>
    <w:p w:rsidR="008F05D0" w:rsidRDefault="008F05D0" w:rsidP="008F05D0">
      <w:pPr>
        <w:numPr>
          <w:ilvl w:val="0"/>
          <w:numId w:val="3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Arhitektura kohezijske politike: cilj politike 5 deloma predstavlja novo orodje; programi naj ne bodo »introvertirani« pri reševanju ozemeljskih izzivov, temveč naj se vključujejo v čezmejno sodelovanje, makroregionalne strategije…, kar bi prispevalo regijam</w:t>
      </w:r>
    </w:p>
    <w:p w:rsidR="008F05D0" w:rsidRDefault="008F05D0" w:rsidP="008F05D0">
      <w:pPr>
        <w:numPr>
          <w:ilvl w:val="0"/>
          <w:numId w:val="3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 xml:space="preserve">V prehodu med obdobjema 14-20 v 21-27 ne bo bistvenih spremememb v izvajanju, zato se lahko izvajanje nemoteno nadaljuje </w:t>
      </w:r>
    </w:p>
    <w:p w:rsidR="008F05D0" w:rsidRDefault="008F05D0" w:rsidP="008F05D0">
      <w:pPr>
        <w:numPr>
          <w:ilvl w:val="0"/>
          <w:numId w:val="3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Upravljavska preverjanja: sorazmerna ureditev, ki gre v smeri »lighter touch« s strani EK in DČ</w:t>
      </w:r>
    </w:p>
    <w:p w:rsidR="008F05D0" w:rsidRDefault="008F05D0" w:rsidP="008F05D0">
      <w:pPr>
        <w:pStyle w:val="Standard"/>
      </w:pPr>
    </w:p>
    <w:p w:rsidR="008F05D0" w:rsidRDefault="008F05D0" w:rsidP="008F05D0">
      <w:pPr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numPr>
          <w:ilvl w:val="0"/>
          <w:numId w:val="2"/>
        </w:numPr>
        <w:rPr>
          <w:rFonts w:ascii="Times New Roman" w:hAnsi="Times New Roman"/>
          <w:b/>
          <w:sz w:val="24"/>
          <w:lang w:val="sl-SI"/>
        </w:rPr>
      </w:pPr>
      <w:r w:rsidRPr="00FB0D66">
        <w:rPr>
          <w:rFonts w:ascii="Times New Roman" w:hAnsi="Times New Roman"/>
          <w:b/>
          <w:sz w:val="24"/>
          <w:lang w:val="sl-SI"/>
        </w:rPr>
        <w:t>Programiranje in partnerstvo (Andriana Sukova, DG EMPL)</w:t>
      </w:r>
    </w:p>
    <w:p w:rsidR="008F05D0" w:rsidRDefault="008F05D0" w:rsidP="008F05D0">
      <w:pPr>
        <w:rPr>
          <w:rFonts w:ascii="Times New Roman" w:hAnsi="Times New Roman"/>
          <w:b/>
          <w:sz w:val="24"/>
          <w:lang w:val="sl-SI"/>
        </w:rPr>
      </w:pPr>
    </w:p>
    <w:p w:rsidR="008F05D0" w:rsidRDefault="008F05D0" w:rsidP="008F05D0">
      <w:pPr>
        <w:numPr>
          <w:ilvl w:val="0"/>
          <w:numId w:val="4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Uredba European Code of Conduct of Partnership (2014-2020), 6. člen CPR, 8. člen uredbe ESF+; navedba vseh partnerjev, ki morajo biti vključeni v programiranje</w:t>
      </w:r>
    </w:p>
    <w:p w:rsidR="008F05D0" w:rsidRDefault="008F05D0" w:rsidP="008F05D0">
      <w:pPr>
        <w:numPr>
          <w:ilvl w:val="0"/>
          <w:numId w:val="4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Ključni izziv je uskladitev interesov različnih partnerjev</w:t>
      </w:r>
    </w:p>
    <w:p w:rsidR="008F05D0" w:rsidRDefault="008F05D0" w:rsidP="008F05D0">
      <w:pPr>
        <w:numPr>
          <w:ilvl w:val="0"/>
          <w:numId w:val="4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Treba je bolj krepiti zmogljivosti partnerjev, izvajati vrednotenja načela partnerstva…</w:t>
      </w:r>
    </w:p>
    <w:p w:rsidR="008F05D0" w:rsidRPr="00996587" w:rsidRDefault="008F05D0" w:rsidP="008F05D0">
      <w:pPr>
        <w:ind w:left="360"/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ind w:left="720"/>
        <w:rPr>
          <w:rFonts w:ascii="Times New Roman" w:hAnsi="Times New Roman"/>
          <w:b/>
          <w:sz w:val="24"/>
          <w:lang w:val="sl-SI"/>
        </w:rPr>
      </w:pPr>
    </w:p>
    <w:p w:rsidR="008F05D0" w:rsidRPr="00996587" w:rsidRDefault="008F05D0" w:rsidP="008F05D0">
      <w:pPr>
        <w:numPr>
          <w:ilvl w:val="0"/>
          <w:numId w:val="2"/>
        </w:numPr>
        <w:rPr>
          <w:rFonts w:ascii="Times New Roman" w:hAnsi="Times New Roman"/>
          <w:b/>
          <w:sz w:val="24"/>
          <w:lang w:val="sl-SI"/>
        </w:rPr>
      </w:pPr>
      <w:r w:rsidRPr="00996587">
        <w:rPr>
          <w:rFonts w:ascii="Times New Roman" w:hAnsi="Times New Roman"/>
          <w:b/>
          <w:sz w:val="24"/>
          <w:lang w:val="sl-SI"/>
        </w:rPr>
        <w:lastRenderedPageBreak/>
        <w:t>Evropski pomorski in ribiški sklad v CPR</w:t>
      </w:r>
    </w:p>
    <w:p w:rsidR="008F05D0" w:rsidRDefault="008F05D0" w:rsidP="008F05D0">
      <w:pPr>
        <w:numPr>
          <w:ilvl w:val="0"/>
          <w:numId w:val="5"/>
        </w:numPr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Gre za najmanjši sklad (6,14 mlrd €), poenostavitev (4 prioritete), specifičen sklad, vezan na pomorsko politiko in skupno ribiško politiko</w:t>
      </w:r>
    </w:p>
    <w:p w:rsidR="008F05D0" w:rsidRDefault="008F05D0" w:rsidP="008F05D0">
      <w:pPr>
        <w:pStyle w:val="Standard"/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Skladi za migracije in varnost v CPR</w:t>
      </w:r>
    </w:p>
    <w:p w:rsidR="008F05D0" w:rsidRDefault="008F05D0" w:rsidP="008F05D0">
      <w:pPr>
        <w:pStyle w:val="Standard"/>
        <w:ind w:left="720"/>
        <w:rPr>
          <w:b/>
        </w:rPr>
      </w:pPr>
    </w:p>
    <w:p w:rsidR="008F05D0" w:rsidRPr="00B900C8" w:rsidRDefault="008F05D0" w:rsidP="008F05D0">
      <w:pPr>
        <w:pStyle w:val="Standard"/>
        <w:numPr>
          <w:ilvl w:val="0"/>
          <w:numId w:val="5"/>
        </w:numPr>
        <w:rPr>
          <w:b/>
        </w:rPr>
      </w:pPr>
      <w:r>
        <w:t>Skladi, ki naslavljajo izzive v različnih politikah</w:t>
      </w:r>
    </w:p>
    <w:p w:rsidR="008F05D0" w:rsidRPr="00B900C8" w:rsidRDefault="008F05D0" w:rsidP="008F05D0">
      <w:pPr>
        <w:pStyle w:val="Standard"/>
        <w:numPr>
          <w:ilvl w:val="0"/>
          <w:numId w:val="5"/>
        </w:numPr>
        <w:rPr>
          <w:b/>
        </w:rPr>
      </w:pPr>
      <w:r>
        <w:t>Naravnani na zunanjo politiko</w:t>
      </w:r>
    </w:p>
    <w:p w:rsidR="008F05D0" w:rsidRDefault="008F05D0" w:rsidP="008F05D0">
      <w:pPr>
        <w:pStyle w:val="Standard"/>
        <w:numPr>
          <w:ilvl w:val="0"/>
          <w:numId w:val="5"/>
        </w:numPr>
        <w:rPr>
          <w:b/>
        </w:rPr>
      </w:pPr>
      <w:r>
        <w:t xml:space="preserve">Značilna visoka stopnja fleksibilnosti zaradi različnih migracijskih vzorcev </w:t>
      </w:r>
    </w:p>
    <w:p w:rsidR="008F05D0" w:rsidRDefault="008F05D0" w:rsidP="008F05D0">
      <w:pPr>
        <w:pStyle w:val="Standard"/>
        <w:rPr>
          <w:b/>
        </w:rPr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Pogajanja o zakonodajnih predlogih EK</w:t>
      </w:r>
    </w:p>
    <w:p w:rsidR="008F05D0" w:rsidRDefault="008F05D0" w:rsidP="008F05D0">
      <w:pPr>
        <w:pStyle w:val="Standard"/>
        <w:ind w:left="360"/>
        <w:rPr>
          <w:b/>
        </w:rPr>
      </w:pPr>
    </w:p>
    <w:p w:rsidR="008F05D0" w:rsidRPr="00B900C8" w:rsidRDefault="008F05D0" w:rsidP="008F05D0">
      <w:pPr>
        <w:pStyle w:val="Standard"/>
        <w:numPr>
          <w:ilvl w:val="0"/>
          <w:numId w:val="6"/>
        </w:numPr>
        <w:rPr>
          <w:b/>
        </w:rPr>
      </w:pPr>
      <w:r>
        <w:t>Evropski parlament je opravil prvo branje vseh elementov zakonodajnega paketa</w:t>
      </w:r>
    </w:p>
    <w:p w:rsidR="008F05D0" w:rsidRPr="00B900C8" w:rsidRDefault="008F05D0" w:rsidP="008F05D0">
      <w:pPr>
        <w:pStyle w:val="Standard"/>
        <w:numPr>
          <w:ilvl w:val="0"/>
          <w:numId w:val="6"/>
        </w:numPr>
        <w:rPr>
          <w:b/>
        </w:rPr>
      </w:pPr>
      <w:r>
        <w:t>Delni mandat Sveta pokriva večino določb CPR, razen finančnega okvirja (blok 8), ki je del VFO pogajanj</w:t>
      </w:r>
    </w:p>
    <w:p w:rsidR="008F05D0" w:rsidRDefault="008F05D0" w:rsidP="008F05D0">
      <w:pPr>
        <w:pStyle w:val="Standard"/>
        <w:numPr>
          <w:ilvl w:val="0"/>
          <w:numId w:val="6"/>
        </w:numPr>
        <w:rPr>
          <w:b/>
        </w:rPr>
      </w:pPr>
      <w:r>
        <w:t xml:space="preserve">Zaradi volitev v EP bo prišlo do zamude; trialog naj bi se nadaljeval v začetku oktobra; cilj je doseči dogovor ASAP oz. Še v času finskega predsedstva </w:t>
      </w:r>
    </w:p>
    <w:p w:rsidR="008F05D0" w:rsidRDefault="008F05D0" w:rsidP="008F05D0">
      <w:pPr>
        <w:pStyle w:val="Standard"/>
        <w:ind w:left="720"/>
        <w:rPr>
          <w:b/>
        </w:rPr>
      </w:pPr>
    </w:p>
    <w:p w:rsidR="008F05D0" w:rsidRDefault="008F05D0" w:rsidP="008F05D0">
      <w:pPr>
        <w:pStyle w:val="Standard"/>
        <w:ind w:left="720"/>
        <w:rPr>
          <w:b/>
        </w:rPr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Strateška podlaga za programiranje</w:t>
      </w:r>
    </w:p>
    <w:p w:rsidR="008F05D0" w:rsidRDefault="008F05D0" w:rsidP="008F05D0">
      <w:pPr>
        <w:pStyle w:val="Standard"/>
        <w:ind w:left="360"/>
        <w:rPr>
          <w:b/>
        </w:rPr>
      </w:pPr>
    </w:p>
    <w:p w:rsidR="008F05D0" w:rsidRPr="00FF4F69" w:rsidRDefault="008F05D0" w:rsidP="008F05D0">
      <w:pPr>
        <w:pStyle w:val="Standard"/>
        <w:numPr>
          <w:ilvl w:val="0"/>
          <w:numId w:val="7"/>
        </w:numPr>
        <w:rPr>
          <w:b/>
        </w:rPr>
      </w:pPr>
      <w:r>
        <w:t>PS naj bi vodil pogajanja za programe; vsebovati mora strateški pregled, usmerja DČ in EK pri pripravi programov, finančne informacije, prostovoljni prispevek za InvestEU...</w:t>
      </w:r>
    </w:p>
    <w:p w:rsidR="008F05D0" w:rsidRPr="00FF4F69" w:rsidRDefault="008F05D0" w:rsidP="008F05D0">
      <w:pPr>
        <w:pStyle w:val="Standard"/>
        <w:numPr>
          <w:ilvl w:val="0"/>
          <w:numId w:val="7"/>
        </w:numPr>
        <w:rPr>
          <w:b/>
        </w:rPr>
      </w:pPr>
      <w:r>
        <w:t>Prenos sredstev med regijami: iz manj razvitih v prehodne in bolj razvite regije omejitev do 15%, iz prehodnih v bolj razvite regije omejitev do 15%, iz prehodnih oz. Bolj razvitih v manj razvite ni omejitve</w:t>
      </w:r>
    </w:p>
    <w:p w:rsidR="008F05D0" w:rsidRDefault="008F05D0" w:rsidP="008F05D0">
      <w:pPr>
        <w:pStyle w:val="Standard"/>
        <w:ind w:left="360"/>
        <w:rPr>
          <w:b/>
        </w:rPr>
      </w:pPr>
    </w:p>
    <w:p w:rsidR="008F05D0" w:rsidRDefault="008F05D0" w:rsidP="008F05D0">
      <w:pPr>
        <w:pStyle w:val="Standard"/>
        <w:ind w:left="360"/>
        <w:rPr>
          <w:b/>
        </w:rPr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Administrativna krepitev zmogljivosti (ACB)</w:t>
      </w:r>
    </w:p>
    <w:p w:rsidR="008F05D0" w:rsidRDefault="008F05D0" w:rsidP="008F05D0">
      <w:pPr>
        <w:pStyle w:val="Standard"/>
        <w:rPr>
          <w:b/>
        </w:rPr>
      </w:pPr>
    </w:p>
    <w:p w:rsidR="008F05D0" w:rsidRPr="00FF4F69" w:rsidRDefault="008F05D0" w:rsidP="008F05D0">
      <w:pPr>
        <w:pStyle w:val="Standard"/>
        <w:numPr>
          <w:ilvl w:val="0"/>
          <w:numId w:val="8"/>
        </w:numPr>
        <w:rPr>
          <w:b/>
        </w:rPr>
      </w:pPr>
      <w:r>
        <w:t>Tesna povezava med administrativnimi zmogljivostmi in governance</w:t>
      </w:r>
    </w:p>
    <w:p w:rsidR="008F05D0" w:rsidRPr="00D9768F" w:rsidRDefault="008F05D0" w:rsidP="008F05D0">
      <w:pPr>
        <w:pStyle w:val="Standard"/>
        <w:numPr>
          <w:ilvl w:val="0"/>
          <w:numId w:val="8"/>
        </w:numPr>
        <w:rPr>
          <w:b/>
        </w:rPr>
      </w:pPr>
      <w:r>
        <w:t xml:space="preserve">V kohezijski politiki na voljo 3 orodja: </w:t>
      </w:r>
    </w:p>
    <w:p w:rsidR="008F05D0" w:rsidRPr="00FF4F69" w:rsidRDefault="008F05D0" w:rsidP="008F05D0">
      <w:pPr>
        <w:pStyle w:val="Standard"/>
        <w:ind w:left="720"/>
        <w:rPr>
          <w:b/>
        </w:rPr>
      </w:pPr>
    </w:p>
    <w:p w:rsidR="008F05D0" w:rsidRDefault="008F05D0" w:rsidP="008F05D0">
      <w:pPr>
        <w:pStyle w:val="Standard"/>
        <w:ind w:left="720"/>
      </w:pPr>
      <w:r>
        <w:t>- stroški izvajanja programov: pavšalno financiranje TP (člena 30-31 CPR) za tradicionalno TP, vključno s krepitvijo zmogljivosti;</w:t>
      </w:r>
    </w:p>
    <w:p w:rsidR="008F05D0" w:rsidRDefault="008F05D0" w:rsidP="008F05D0">
      <w:pPr>
        <w:pStyle w:val="Standard"/>
        <w:ind w:left="720"/>
      </w:pPr>
      <w:r>
        <w:t>- financiranje, ki ni vezano na stroške (člen 32 CPR): sprejem načrta, v katerem se opredelijo dodatni ukrepi za krepitev zmogljivosti DČ, upravičencev in relevantnih partnerjev, potrebnih za učinkovito upravljanje in uporabo sredstev; EK spodbuja izdelavo načrta, ki bo vključeval prilagojena in ciljana podporna orodja za ACB – v septembru bo objavljen „generični primer” načrta (člen 3, dodatek 2, priloga V)</w:t>
      </w:r>
    </w:p>
    <w:p w:rsidR="008F05D0" w:rsidRDefault="008F05D0" w:rsidP="008F05D0">
      <w:pPr>
        <w:pStyle w:val="Standard"/>
        <w:ind w:left="720"/>
      </w:pPr>
      <w:r>
        <w:t>- ACB neposredno povezan na investicije (člen 2/3 uredbe ERDF7CF); primeren za naslavljanje sektorskih potreb na področju krepitve zmogljivosti</w:t>
      </w:r>
    </w:p>
    <w:p w:rsidR="008F05D0" w:rsidRDefault="008F05D0" w:rsidP="008F05D0">
      <w:pPr>
        <w:pStyle w:val="Standard"/>
        <w:ind w:left="720"/>
        <w:rPr>
          <w:b/>
        </w:rPr>
      </w:pPr>
    </w:p>
    <w:p w:rsidR="008F05D0" w:rsidRPr="00FF4F69" w:rsidRDefault="008F05D0" w:rsidP="008F05D0">
      <w:pPr>
        <w:pStyle w:val="Standard"/>
        <w:ind w:left="720"/>
        <w:rPr>
          <w:b/>
        </w:rPr>
      </w:pPr>
    </w:p>
    <w:p w:rsidR="008F05D0" w:rsidRPr="00D9768F" w:rsidRDefault="008F05D0" w:rsidP="008F05D0">
      <w:pPr>
        <w:pStyle w:val="Standard"/>
        <w:numPr>
          <w:ilvl w:val="0"/>
          <w:numId w:val="2"/>
        </w:numPr>
      </w:pPr>
      <w:r>
        <w:rPr>
          <w:b/>
        </w:rPr>
        <w:t>Oblike prispevka Unije in oblike podpore DČ</w:t>
      </w:r>
    </w:p>
    <w:p w:rsidR="008F05D0" w:rsidRPr="00D9768F" w:rsidRDefault="008F05D0" w:rsidP="008F05D0">
      <w:pPr>
        <w:pStyle w:val="Standard"/>
        <w:numPr>
          <w:ilvl w:val="0"/>
          <w:numId w:val="9"/>
        </w:numPr>
        <w:rPr>
          <w:b/>
        </w:rPr>
      </w:pPr>
      <w:r>
        <w:t>Oblike prispevka Unije urejajo členi 46, 67, 88 in 89 CPR</w:t>
      </w:r>
    </w:p>
    <w:p w:rsidR="008F05D0" w:rsidRPr="00ED27FE" w:rsidRDefault="008F05D0" w:rsidP="008F05D0">
      <w:pPr>
        <w:pStyle w:val="Standard"/>
        <w:numPr>
          <w:ilvl w:val="0"/>
          <w:numId w:val="9"/>
        </w:numPr>
        <w:rPr>
          <w:b/>
        </w:rPr>
      </w:pPr>
      <w:r>
        <w:lastRenderedPageBreak/>
        <w:t>Poenostavljeni sroški (SCO) so določeni v delegiranem aktu (člen 88/4 CPR)</w:t>
      </w:r>
    </w:p>
    <w:p w:rsidR="008F05D0" w:rsidRPr="00ED27FE" w:rsidRDefault="008F05D0" w:rsidP="008F05D0">
      <w:pPr>
        <w:pStyle w:val="Standard"/>
        <w:numPr>
          <w:ilvl w:val="0"/>
          <w:numId w:val="9"/>
        </w:numPr>
        <w:rPr>
          <w:b/>
        </w:rPr>
      </w:pPr>
      <w:r>
        <w:t>Kjer financiranje ni vezano na stroške, se postavi shema za programa; izpolni se ustrezni dodatek k obrazcu za program</w:t>
      </w:r>
    </w:p>
    <w:p w:rsidR="008F05D0" w:rsidRPr="00ED27FE" w:rsidRDefault="008F05D0" w:rsidP="008F05D0">
      <w:pPr>
        <w:pStyle w:val="Standard"/>
        <w:numPr>
          <w:ilvl w:val="0"/>
          <w:numId w:val="9"/>
        </w:numPr>
        <w:rPr>
          <w:b/>
        </w:rPr>
      </w:pPr>
      <w:r>
        <w:t>Kjer je SCO postavljen na EU ravni, EK sprejme delegiran akt (primer energetske učinkovitosti v javnih stavbah)</w:t>
      </w:r>
    </w:p>
    <w:p w:rsidR="008F05D0" w:rsidRPr="00ED27FE" w:rsidRDefault="008F05D0" w:rsidP="008F05D0">
      <w:pPr>
        <w:pStyle w:val="Standard"/>
        <w:ind w:left="720"/>
        <w:rPr>
          <w:b/>
        </w:rPr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Komuniciranje in vidnost</w:t>
      </w:r>
    </w:p>
    <w:p w:rsidR="008F05D0" w:rsidRPr="002C773C" w:rsidRDefault="008F05D0" w:rsidP="008F05D0">
      <w:pPr>
        <w:pStyle w:val="Standard"/>
        <w:numPr>
          <w:ilvl w:val="0"/>
          <w:numId w:val="10"/>
        </w:numPr>
        <w:rPr>
          <w:b/>
          <w:bCs/>
        </w:rPr>
      </w:pPr>
      <w:r>
        <w:rPr>
          <w:bCs/>
        </w:rPr>
        <w:t xml:space="preserve">Novosti v obdobju 2021-2027: </w:t>
      </w:r>
    </w:p>
    <w:p w:rsidR="008F05D0" w:rsidRPr="002C773C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Spletna stran v roku 6 mesecev po potrditvi programa</w:t>
      </w:r>
    </w:p>
    <w:p w:rsidR="008F05D0" w:rsidRPr="002C773C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Zgodnja objava povzetka javnih razpisov (min 1 mesec pred odprtjem JR)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Letni komunikacijski dogodek – ni formalna zahteva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Finančne korekcije do upravičencev do 5% v primerih neskladnosti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Poenostavitev pravil za upravičence: ni reference na specifični sklad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Komunikacijska strategija bo pripravljena kot del OP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Enoten nacionalni portal (člen 41 CPR)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Nacionalni strokovnjak za komuniciranje, enotna evropska mreža (člen 43)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Tesnejše sodelovanje s predstavništvi EK v DČ</w:t>
      </w:r>
    </w:p>
    <w:p w:rsidR="008F05D0" w:rsidRPr="00FD09C6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Kohezijski skladi + EMFF: programi vsebujejo seznam načrtovanih operacij strateškega pomena</w:t>
      </w:r>
    </w:p>
    <w:p w:rsidR="008F05D0" w:rsidRDefault="008F05D0" w:rsidP="008F05D0">
      <w:pPr>
        <w:pStyle w:val="Standard"/>
        <w:numPr>
          <w:ilvl w:val="0"/>
          <w:numId w:val="11"/>
        </w:numPr>
        <w:rPr>
          <w:b/>
          <w:bCs/>
        </w:rPr>
      </w:pPr>
      <w:r>
        <w:rPr>
          <w:bCs/>
        </w:rPr>
        <w:t>Upravičenci organizirajo dogodek, ki vključuje EK in OU</w:t>
      </w:r>
    </w:p>
    <w:p w:rsidR="008F05D0" w:rsidRDefault="008F05D0" w:rsidP="008F05D0">
      <w:pPr>
        <w:pStyle w:val="Standard"/>
        <w:rPr>
          <w:b/>
          <w:bCs/>
        </w:rPr>
      </w:pPr>
    </w:p>
    <w:p w:rsidR="008F05D0" w:rsidRDefault="008F05D0" w:rsidP="008F05D0">
      <w:pPr>
        <w:pStyle w:val="Standard"/>
        <w:rPr>
          <w:b/>
          <w:bCs/>
        </w:rPr>
      </w:pPr>
    </w:p>
    <w:p w:rsidR="008F05D0" w:rsidRDefault="008F05D0" w:rsidP="008F05D0">
      <w:pPr>
        <w:pStyle w:val="Standard"/>
        <w:numPr>
          <w:ilvl w:val="0"/>
          <w:numId w:val="2"/>
        </w:numPr>
        <w:rPr>
          <w:bCs/>
        </w:rPr>
      </w:pPr>
      <w:r>
        <w:rPr>
          <w:b/>
          <w:bCs/>
        </w:rPr>
        <w:t>Horizontalni omogočitveni pogoji – učinkovito izvajanje javnih naročil, uporaba pravil državnih pomoči, uporaba EU listine za temeljne pravice, Konvencija ZN za pravice invalidov</w:t>
      </w:r>
      <w:r>
        <w:rPr>
          <w:bCs/>
        </w:rPr>
        <w:t>:</w:t>
      </w:r>
    </w:p>
    <w:p w:rsidR="008F05D0" w:rsidRPr="00FD09C6" w:rsidRDefault="008F05D0" w:rsidP="008F05D0">
      <w:pPr>
        <w:pStyle w:val="Standard"/>
        <w:numPr>
          <w:ilvl w:val="0"/>
          <w:numId w:val="10"/>
        </w:numPr>
        <w:rPr>
          <w:bCs/>
        </w:rPr>
      </w:pPr>
      <w:r w:rsidRPr="00FD09C6">
        <w:rPr>
          <w:bCs/>
        </w:rPr>
        <w:t>Izpostavljeno: za izvajanje EU listine temeljnih pravic je EK sprejela Smernice (</w:t>
      </w:r>
      <w:r w:rsidRPr="00FD09C6">
        <w:t>Guidance on ensuring the respect for the Charter when implementing the ESI funds – OJ C 269, 23.7.2016, p.1 - - annex with fundamental rights</w:t>
      </w:r>
      <w:r>
        <w:t xml:space="preserve"> check-list)</w:t>
      </w:r>
    </w:p>
    <w:p w:rsidR="008F05D0" w:rsidRDefault="008F05D0" w:rsidP="008F05D0">
      <w:pPr>
        <w:pStyle w:val="Standard"/>
        <w:rPr>
          <w:b/>
          <w:bCs/>
        </w:rPr>
      </w:pPr>
    </w:p>
    <w:p w:rsidR="00F75DC9" w:rsidRDefault="00F75DC9" w:rsidP="008F05D0">
      <w:pPr>
        <w:pStyle w:val="Standard"/>
        <w:rPr>
          <w:b/>
          <w:bCs/>
        </w:rPr>
      </w:pPr>
      <w:bookmarkStart w:id="0" w:name="_GoBack"/>
      <w:bookmarkEnd w:id="0"/>
    </w:p>
    <w:p w:rsidR="008F05D0" w:rsidRPr="00FD09C6" w:rsidRDefault="008F05D0" w:rsidP="008F05D0">
      <w:pPr>
        <w:pStyle w:val="Standard"/>
        <w:numPr>
          <w:ilvl w:val="0"/>
          <w:numId w:val="1"/>
        </w:numPr>
        <w:rPr>
          <w:b/>
        </w:rPr>
      </w:pPr>
      <w:r>
        <w:rPr>
          <w:b/>
        </w:rPr>
        <w:t>Zasedanje A – programiranje ERDF, Kohezijskega sklada in ESF+</w:t>
      </w:r>
    </w:p>
    <w:p w:rsidR="008F05D0" w:rsidRDefault="008F05D0" w:rsidP="008F05D0">
      <w:pPr>
        <w:contextualSpacing/>
        <w:jc w:val="both"/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Cilji politike in specifični cilji:</w:t>
      </w:r>
    </w:p>
    <w:p w:rsidR="008F05D0" w:rsidRDefault="008F05D0" w:rsidP="008F05D0">
      <w:pPr>
        <w:contextualSpacing/>
        <w:jc w:val="both"/>
        <w:rPr>
          <w:rFonts w:ascii="Times New Roman" w:hAnsi="Times New Roman"/>
          <w:b/>
          <w:sz w:val="24"/>
          <w:lang w:val="sl-SI"/>
        </w:rPr>
      </w:pPr>
    </w:p>
    <w:p w:rsidR="008F05D0" w:rsidRDefault="008F05D0" w:rsidP="008F05D0">
      <w:pPr>
        <w:numPr>
          <w:ilvl w:val="0"/>
          <w:numId w:val="10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Vsebinska predstavitev CP 1-5</w:t>
      </w:r>
    </w:p>
    <w:p w:rsidR="008F05D0" w:rsidRDefault="008F05D0" w:rsidP="008F05D0">
      <w:pPr>
        <w:numPr>
          <w:ilvl w:val="0"/>
          <w:numId w:val="10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Največ novosti v okviru ESF+: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Ni posebnega cilja, vezanega na TC 11 (reforma javne uprave, krepitev zmogljivosti)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 w:rsidRPr="00B05937">
        <w:rPr>
          <w:rFonts w:ascii="Times New Roman" w:hAnsi="Times New Roman"/>
          <w:sz w:val="24"/>
          <w:lang w:val="sl-SI"/>
        </w:rPr>
        <w:t>Integracija FEAD z ESF (specifična cilja x in xi)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 w:rsidRPr="00B05937">
        <w:rPr>
          <w:rFonts w:ascii="Times New Roman" w:hAnsi="Times New Roman"/>
          <w:sz w:val="24"/>
          <w:lang w:val="sl-SI"/>
        </w:rPr>
        <w:t>Integracija YEI z ESF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 w:rsidRPr="00B05937">
        <w:rPr>
          <w:rFonts w:ascii="Times New Roman" w:hAnsi="Times New Roman"/>
          <w:sz w:val="24"/>
          <w:lang w:val="sl-SI"/>
        </w:rPr>
        <w:t>Novi specifični cilji so bolj poenostavljeni (streamlined &amp; simplified)</w:t>
      </w:r>
      <w:r>
        <w:rPr>
          <w:rFonts w:ascii="Times New Roman" w:hAnsi="Times New Roman"/>
          <w:sz w:val="24"/>
          <w:lang w:val="sl-SI"/>
        </w:rPr>
        <w:t xml:space="preserve"> in vsebinsko odražajo </w:t>
      </w:r>
      <w:r w:rsidRPr="00B05937">
        <w:rPr>
          <w:rFonts w:ascii="Times New Roman" w:hAnsi="Times New Roman"/>
          <w:sz w:val="24"/>
          <w:lang w:val="sl-SI"/>
        </w:rPr>
        <w:t>trenutne družbene izzive</w:t>
      </w:r>
    </w:p>
    <w:p w:rsidR="008F05D0" w:rsidRDefault="008F05D0" w:rsidP="008F05D0">
      <w:pPr>
        <w:numPr>
          <w:ilvl w:val="0"/>
          <w:numId w:val="13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 xml:space="preserve">CP 5: 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medsektorski ozemeljski CP, ki prinaša posebne metode integriranega ozemeljskega razvoja preko ozemeljskih orodij (CLLD, CTN, nacionalna orodja)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spodbujajo funkcionalna območja (urbana in ruralna) v bližini mest, ki presegajo administrativne meje</w:t>
      </w:r>
    </w:p>
    <w:p w:rsidR="008F05D0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druga ozemeljska orodja je možno programirati le v okviru CP5, medtem ko je CTN možno financirati v različnih CP</w:t>
      </w:r>
    </w:p>
    <w:p w:rsidR="008F05D0" w:rsidRPr="00B05937" w:rsidRDefault="008F05D0" w:rsidP="008F05D0">
      <w:pPr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lastRenderedPageBreak/>
        <w:t>ESF+ lahko prispeva ciljem CP5, vendar se lahko programira le v okviru CP4</w:t>
      </w:r>
    </w:p>
    <w:p w:rsidR="008F05D0" w:rsidRDefault="008F05D0" w:rsidP="008F05D0">
      <w:pPr>
        <w:contextualSpacing/>
        <w:jc w:val="both"/>
        <w:rPr>
          <w:rFonts w:ascii="Times New Roman" w:hAnsi="Times New Roman"/>
          <w:b/>
          <w:sz w:val="24"/>
          <w:lang w:val="sl-SI"/>
        </w:rPr>
      </w:pPr>
    </w:p>
    <w:p w:rsidR="008F05D0" w:rsidRDefault="008F05D0" w:rsidP="008F05D0">
      <w:pPr>
        <w:contextualSpacing/>
        <w:jc w:val="both"/>
        <w:rPr>
          <w:rFonts w:ascii="Times New Roman" w:hAnsi="Times New Roman"/>
          <w:b/>
          <w:sz w:val="24"/>
          <w:lang w:val="sl-SI"/>
        </w:rPr>
      </w:pPr>
    </w:p>
    <w:p w:rsidR="008F05D0" w:rsidRDefault="008F05D0" w:rsidP="008F05D0">
      <w:pPr>
        <w:contextualSpacing/>
        <w:jc w:val="both"/>
        <w:rPr>
          <w:rFonts w:ascii="Times New Roman" w:hAnsi="Times New Roman"/>
          <w:b/>
          <w:sz w:val="24"/>
          <w:lang w:val="sl-SI"/>
        </w:rPr>
      </w:pPr>
    </w:p>
    <w:p w:rsidR="008F05D0" w:rsidRPr="00601F92" w:rsidRDefault="008F05D0" w:rsidP="008F05D0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Intervencijska logika, o</w:t>
      </w:r>
      <w:r w:rsidRPr="00601F92">
        <w:rPr>
          <w:rFonts w:ascii="Times New Roman" w:hAnsi="Times New Roman"/>
          <w:b/>
          <w:sz w:val="24"/>
          <w:lang w:val="sl-SI"/>
        </w:rPr>
        <w:t>kvir uspešnosti in kazalniki</w:t>
      </w:r>
    </w:p>
    <w:p w:rsidR="008F05D0" w:rsidRDefault="008F05D0" w:rsidP="008F05D0">
      <w:pPr>
        <w:pStyle w:val="Odstavekseznama"/>
        <w:rPr>
          <w:rFonts w:ascii="Times New Roman" w:hAnsi="Times New Roman"/>
          <w:b/>
          <w:sz w:val="24"/>
        </w:rPr>
      </w:pPr>
    </w:p>
    <w:p w:rsidR="008F05D0" w:rsidRPr="00601F92" w:rsidRDefault="008F05D0" w:rsidP="008F05D0">
      <w:pPr>
        <w:pStyle w:val="Odstavekseznama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Predložiti dokaze pri programiranju (člen 17 CPR) in utemeljitev izbranih CP in SC: analiza izzivov, razlike, tržne nepopolnosti, potrebe, komplementarnosti, izkušnje, vrednotenja vpliva, študije, nacionalne strategije, makroregionalne strategije…</w:t>
      </w:r>
    </w:p>
    <w:p w:rsidR="008F05D0" w:rsidRPr="00601F92" w:rsidRDefault="008F05D0" w:rsidP="008F05D0">
      <w:pPr>
        <w:pStyle w:val="Odstavekseznama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Ključni gradniki za utemeljitev poseganja (intervention rationale) so specifični cilji: katere potrebe program naslavlja, pričakovani prispevek specifičnemu cilju, pričakovana sprememba…  </w:t>
      </w:r>
    </w:p>
    <w:p w:rsidR="008F05D0" w:rsidRPr="005704A4" w:rsidRDefault="008F05D0" w:rsidP="008F05D0">
      <w:pPr>
        <w:pStyle w:val="Odstavekseznama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CP definiran na ravni EU, prioritete definirane na ravni DČ, SC definirani na ravni EU </w:t>
      </w:r>
    </w:p>
    <w:p w:rsidR="008F05D0" w:rsidRDefault="008F05D0" w:rsidP="008F05D0">
      <w:pPr>
        <w:pStyle w:val="Odstavekseznama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Program je lahko brez prioritet, vendar to odvsetujejo (težave pri proračunski alokaciji)</w:t>
      </w:r>
    </w:p>
    <w:p w:rsidR="008F05D0" w:rsidRDefault="008F05D0" w:rsidP="008F05D0">
      <w:pPr>
        <w:pStyle w:val="Standard"/>
        <w:rPr>
          <w:b/>
          <w:bCs/>
        </w:rPr>
      </w:pPr>
    </w:p>
    <w:p w:rsidR="008F05D0" w:rsidRDefault="008F05D0" w:rsidP="008F05D0">
      <w:pPr>
        <w:pStyle w:val="Odstavekseznama"/>
        <w:ind w:left="0"/>
        <w:rPr>
          <w:rFonts w:ascii="Times New Roman" w:hAnsi="Times New Roman"/>
          <w:b/>
          <w:sz w:val="24"/>
        </w:rPr>
      </w:pPr>
    </w:p>
    <w:p w:rsidR="008F05D0" w:rsidRDefault="008F05D0" w:rsidP="008F05D0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Zahteve pri programiranju, tematska koncentracija</w:t>
      </w:r>
    </w:p>
    <w:p w:rsidR="008F05D0" w:rsidRDefault="008F05D0" w:rsidP="008F05D0">
      <w:pPr>
        <w:pStyle w:val="Odstavekseznama"/>
        <w:rPr>
          <w:rFonts w:ascii="Times New Roman" w:hAnsi="Times New Roman"/>
          <w:b/>
          <w:sz w:val="24"/>
        </w:rPr>
      </w:pPr>
    </w:p>
    <w:p w:rsidR="008F05D0" w:rsidRPr="005704A4" w:rsidRDefault="008F05D0" w:rsidP="008F05D0">
      <w:pPr>
        <w:pStyle w:val="Odstavekseznama"/>
        <w:numPr>
          <w:ilvl w:val="0"/>
          <w:numId w:val="14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Znotraj iste prioritete ni možno mešati različnih CP, možne pa so multi-fund prioritete (CP1: ERDF; CP2: ERDF + CF; CP3: ERDF + CF; CP4: ESF+, ERDF; CP5: ERDF)</w:t>
      </w:r>
    </w:p>
    <w:p w:rsidR="008F05D0" w:rsidRPr="005704A4" w:rsidRDefault="008F05D0" w:rsidP="008F05D0">
      <w:pPr>
        <w:pStyle w:val="Odstavekseznama"/>
        <w:numPr>
          <w:ilvl w:val="0"/>
          <w:numId w:val="14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ESF+ se programira le v okviru CP4, lahko pa prispeva drugim CP, zlasti CP1, CP2 in CP5</w:t>
      </w:r>
    </w:p>
    <w:p w:rsidR="008F05D0" w:rsidRPr="005704A4" w:rsidRDefault="008F05D0" w:rsidP="008F05D0">
      <w:pPr>
        <w:pStyle w:val="Odstavekseznama"/>
        <w:numPr>
          <w:ilvl w:val="0"/>
          <w:numId w:val="14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Znotraj istega CP je možno več prioritet</w:t>
      </w:r>
    </w:p>
    <w:p w:rsidR="008F05D0" w:rsidRPr="005704A4" w:rsidRDefault="008F05D0" w:rsidP="008F05D0">
      <w:pPr>
        <w:pStyle w:val="Odstavekseznama"/>
        <w:numPr>
          <w:ilvl w:val="0"/>
          <w:numId w:val="14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Prenosi sredstev so možni le s spremembo programa</w:t>
      </w:r>
    </w:p>
    <w:p w:rsidR="008F05D0" w:rsidRDefault="008F05D0" w:rsidP="008F05D0">
      <w:pPr>
        <w:pStyle w:val="Odstavekseznama"/>
        <w:numPr>
          <w:ilvl w:val="0"/>
          <w:numId w:val="14"/>
        </w:numPr>
        <w:rPr>
          <w:rFonts w:ascii="Times New Roman" w:hAnsi="Times New Roman"/>
          <w:sz w:val="24"/>
        </w:rPr>
      </w:pPr>
      <w:r w:rsidRPr="005704A4">
        <w:rPr>
          <w:rFonts w:ascii="Times New Roman" w:hAnsi="Times New Roman"/>
          <w:sz w:val="24"/>
        </w:rPr>
        <w:t>Tematska koncentracija</w:t>
      </w:r>
      <w:r>
        <w:rPr>
          <w:rFonts w:ascii="Times New Roman" w:hAnsi="Times New Roman"/>
          <w:sz w:val="24"/>
        </w:rPr>
        <w:t>: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Možna kompenzacija med programi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TC za ERDF in ESF+ ni vključena TP (glej fiche 58)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primeru prenosa sredstev med CP: novi zneski morajo ustrezati relevantnim TC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Dejavnosti v okviru CP 1 in CP2, vendar so programirane v okviru CP5 se ne štejejo v TC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CSRs: lahko se programirajo v okviru katerekoli prioritete</w:t>
      </w:r>
    </w:p>
    <w:p w:rsidR="008F05D0" w:rsidRPr="00865324" w:rsidRDefault="008F05D0" w:rsidP="008F05D0">
      <w:pPr>
        <w:pStyle w:val="Odstavekseznama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Dodatno: enakost spolov se lahko programira pod vse SC</w:t>
      </w:r>
    </w:p>
    <w:p w:rsidR="008F05D0" w:rsidRDefault="008F05D0" w:rsidP="008F05D0">
      <w:pPr>
        <w:pStyle w:val="Odstavekseznama"/>
        <w:rPr>
          <w:rFonts w:ascii="Times New Roman" w:hAnsi="Times New Roman"/>
          <w:b/>
          <w:sz w:val="24"/>
        </w:rPr>
      </w:pPr>
    </w:p>
    <w:p w:rsidR="008F05D0" w:rsidRDefault="008F05D0" w:rsidP="008F05D0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Finančni instrumenti, prispevek InvestEU</w:t>
      </w:r>
    </w:p>
    <w:p w:rsidR="008F05D0" w:rsidRDefault="008F05D0" w:rsidP="008F05D0">
      <w:pPr>
        <w:pStyle w:val="Odstavekseznama"/>
        <w:rPr>
          <w:rFonts w:ascii="Times New Roman" w:hAnsi="Times New Roman"/>
          <w:b/>
          <w:sz w:val="24"/>
        </w:rPr>
      </w:pPr>
    </w:p>
    <w:p w:rsidR="008F05D0" w:rsidRPr="00865324" w:rsidRDefault="008F05D0" w:rsidP="008F05D0">
      <w:pPr>
        <w:pStyle w:val="Odstavekseznama"/>
        <w:numPr>
          <w:ilvl w:val="0"/>
          <w:numId w:val="1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Finančni instrumenti: možno oblikovati lastna pravila upravičenosti, potrebno predhodno vrednotenje tržnih nepopolnosti</w:t>
      </w:r>
    </w:p>
    <w:p w:rsidR="008F05D0" w:rsidRPr="00865324" w:rsidRDefault="008F05D0" w:rsidP="008F05D0">
      <w:pPr>
        <w:pStyle w:val="Odstavekseznama"/>
        <w:numPr>
          <w:ilvl w:val="0"/>
          <w:numId w:val="1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InvestEU (proračun EU), člen 10 CPR: </w:t>
      </w:r>
    </w:p>
    <w:p w:rsidR="008F05D0" w:rsidRPr="00865324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možen prostovoljni prispevek v višini do 5% vrednosti programa</w:t>
      </w:r>
    </w:p>
    <w:p w:rsidR="008F05D0" w:rsidRPr="00865324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veljajo pravila investEU</w:t>
      </w:r>
    </w:p>
    <w:p w:rsidR="008F05D0" w:rsidRPr="00865324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ni potrebno nacionalno sofinanciranje</w:t>
      </w:r>
    </w:p>
    <w:p w:rsidR="008F05D0" w:rsidRPr="00865324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nižje administrativno breme</w:t>
      </w:r>
    </w:p>
    <w:p w:rsidR="008F05D0" w:rsidRPr="00865324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neporabljena sredstva se vrnejo na program</w:t>
      </w:r>
    </w:p>
    <w:p w:rsidR="008F05D0" w:rsidRDefault="008F05D0" w:rsidP="008F05D0">
      <w:pPr>
        <w:pStyle w:val="Odstavekseznama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s ciljem mobilizacije zasebnega kapitala</w:t>
      </w:r>
    </w:p>
    <w:p w:rsidR="008F05D0" w:rsidRDefault="008F05D0" w:rsidP="008F05D0">
      <w:pPr>
        <w:pStyle w:val="Odstavekseznama"/>
        <w:ind w:left="0"/>
        <w:rPr>
          <w:rFonts w:ascii="Times New Roman" w:hAnsi="Times New Roman"/>
          <w:b/>
          <w:sz w:val="24"/>
        </w:rPr>
      </w:pPr>
    </w:p>
    <w:p w:rsidR="008F05D0" w:rsidRPr="00AE5AEA" w:rsidRDefault="008F05D0" w:rsidP="008F05D0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4"/>
          <w:lang w:val="sl-SI"/>
        </w:rPr>
      </w:pPr>
      <w:r>
        <w:rPr>
          <w:rFonts w:ascii="Times New Roman" w:hAnsi="Times New Roman"/>
          <w:b/>
          <w:sz w:val="24"/>
          <w:lang w:val="sl-SI"/>
        </w:rPr>
        <w:t>Tematski omogočitveni pogoji (TOP)</w:t>
      </w:r>
    </w:p>
    <w:p w:rsidR="008F05D0" w:rsidRDefault="008F05D0" w:rsidP="008F05D0">
      <w:pPr>
        <w:contextualSpacing/>
        <w:jc w:val="both"/>
        <w:rPr>
          <w:rFonts w:ascii="Times New Roman" w:hAnsi="Times New Roman"/>
          <w:sz w:val="24"/>
          <w:lang w:val="sl-SI"/>
        </w:rPr>
      </w:pPr>
    </w:p>
    <w:p w:rsidR="008F05D0" w:rsidRDefault="008F05D0" w:rsidP="008F05D0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Nekateri SC niso pokriti s TOP (urbana mobilnost, pametni energetski sistemi…)</w:t>
      </w:r>
    </w:p>
    <w:p w:rsidR="008F05D0" w:rsidRDefault="008F05D0" w:rsidP="008F05D0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Ni možna delna izpolnitev TOP</w:t>
      </w:r>
      <w:r w:rsidR="00366EFE">
        <w:rPr>
          <w:rFonts w:ascii="Times New Roman" w:hAnsi="Times New Roman"/>
          <w:sz w:val="24"/>
          <w:lang w:val="sl-SI"/>
        </w:rPr>
        <w:t>, morajo biti izpolnjeni vsi kriteriji, da se šteje posamezni TOP da je izpolnjen</w:t>
      </w:r>
    </w:p>
    <w:p w:rsidR="008F05D0" w:rsidRDefault="008F05D0" w:rsidP="008F05D0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Ne bo sistematičnega spremljanja s strani EK ali poročanja EK; velja predpostavka, da so TOP izpolnjeni, razen če informacije potrdijo drugače</w:t>
      </w:r>
    </w:p>
    <w:p w:rsidR="008F05D0" w:rsidRDefault="008F05D0" w:rsidP="008F05D0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V primeru strategije z veljavnostjo do 2025 (takšen je primer strategije zdravstvenega varstva – up. J.D.): TOP je izpolnjen do 31.12.2025, od 1.1.2026 mora biti veljavna nova strategija – EK  preveri izpolnitev TOP skladno s členom 11/6 CPR</w:t>
      </w:r>
    </w:p>
    <w:p w:rsidR="008F05D0" w:rsidRDefault="008F05D0" w:rsidP="008F05D0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 xml:space="preserve">EK poziva DČ, da čim prej posredujejo v preliminarni pregled, če so TOP izpolnjeni. </w:t>
      </w:r>
    </w:p>
    <w:p w:rsidR="008F05D0" w:rsidRDefault="008F05D0" w:rsidP="008F05D0">
      <w:pPr>
        <w:pStyle w:val="Standard"/>
        <w:rPr>
          <w:b/>
          <w:bCs/>
        </w:rPr>
      </w:pPr>
    </w:p>
    <w:p w:rsidR="008F05D0" w:rsidRDefault="008F05D0" w:rsidP="008F05D0">
      <w:pPr>
        <w:pStyle w:val="Standard"/>
        <w:rPr>
          <w:b/>
          <w:bCs/>
        </w:rPr>
      </w:pPr>
    </w:p>
    <w:p w:rsidR="008F05D0" w:rsidRDefault="008F05D0" w:rsidP="008F05D0">
      <w:pPr>
        <w:contextualSpacing/>
        <w:jc w:val="both"/>
        <w:rPr>
          <w:rFonts w:ascii="Times New Roman" w:hAnsi="Times New Roman"/>
          <w:sz w:val="24"/>
          <w:lang w:val="sl-SI"/>
        </w:rPr>
      </w:pPr>
      <w:r>
        <w:rPr>
          <w:rFonts w:ascii="Times New Roman" w:hAnsi="Times New Roman"/>
          <w:sz w:val="24"/>
          <w:lang w:val="sl-SI"/>
        </w:rPr>
        <w:t>Zapisala:</w:t>
      </w:r>
    </w:p>
    <w:p w:rsidR="008F05D0" w:rsidRPr="006A0E79" w:rsidRDefault="008F05D0" w:rsidP="008F05D0">
      <w:pPr>
        <w:contextualSpacing/>
        <w:jc w:val="both"/>
        <w:rPr>
          <w:rFonts w:ascii="Times New Roman" w:hAnsi="Times New Roman"/>
          <w:sz w:val="24"/>
          <w:lang w:val="sl-SI"/>
        </w:rPr>
      </w:pPr>
      <w:r w:rsidRPr="006A0E79">
        <w:rPr>
          <w:rFonts w:ascii="Times New Roman" w:hAnsi="Times New Roman"/>
          <w:sz w:val="24"/>
          <w:lang w:val="sl-SI"/>
        </w:rPr>
        <w:t xml:space="preserve">Jasminka Dedić, </w:t>
      </w:r>
      <w:r>
        <w:rPr>
          <w:rFonts w:ascii="Times New Roman" w:hAnsi="Times New Roman"/>
          <w:sz w:val="24"/>
          <w:lang w:val="sl-SI"/>
        </w:rPr>
        <w:t>17.6.2019</w:t>
      </w:r>
    </w:p>
    <w:p w:rsidR="00F829E4" w:rsidRDefault="00F829E4"/>
    <w:sectPr w:rsidR="00F829E4" w:rsidSect="001017B8">
      <w:headerReference w:type="default" r:id="rId6"/>
      <w:headerReference w:type="first" r:id="rId7"/>
      <w:pgSz w:w="11900" w:h="16840" w:code="9"/>
      <w:pgMar w:top="1701" w:right="1701" w:bottom="1134" w:left="1701" w:header="993" w:footer="79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DF" w:rsidRPr="00110CBD" w:rsidRDefault="00F75DC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DF" w:rsidRDefault="00F75DC9" w:rsidP="00E1305A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</w:p>
  <w:p w:rsidR="00276DDF" w:rsidRDefault="008F05D0" w:rsidP="0075719E">
    <w:pPr>
      <w:pStyle w:val="Glava"/>
      <w:tabs>
        <w:tab w:val="clear" w:pos="4320"/>
        <w:tab w:val="clear" w:pos="8640"/>
        <w:tab w:val="left" w:pos="5112"/>
      </w:tabs>
      <w:spacing w:line="240" w:lineRule="exact"/>
      <w:ind w:left="-1134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3399790</wp:posOffset>
          </wp:positionH>
          <wp:positionV relativeFrom="paragraph">
            <wp:posOffset>-782955</wp:posOffset>
          </wp:positionV>
          <wp:extent cx="2428875" cy="1174750"/>
          <wp:effectExtent l="0" t="0" r="9525" b="6350"/>
          <wp:wrapThrough wrapText="bothSides">
            <wp:wrapPolygon edited="0">
              <wp:start x="0" y="0"/>
              <wp:lineTo x="0" y="21366"/>
              <wp:lineTo x="21515" y="21366"/>
              <wp:lineTo x="21515" y="0"/>
              <wp:lineTo x="0" y="0"/>
            </wp:wrapPolygon>
          </wp:wrapThrough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6"/>
        <w:lang w:val="sl-SI" w:eastAsia="sl-SI"/>
      </w:rPr>
      <w:drawing>
        <wp:inline distT="0" distB="0" distL="0" distR="0">
          <wp:extent cx="3256915" cy="581025"/>
          <wp:effectExtent l="0" t="0" r="63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691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76DDF" w:rsidRDefault="00F75DC9" w:rsidP="0075719E">
    <w:pPr>
      <w:pStyle w:val="Glava"/>
      <w:tabs>
        <w:tab w:val="clear" w:pos="4320"/>
        <w:tab w:val="clear" w:pos="8640"/>
        <w:tab w:val="left" w:pos="5112"/>
      </w:tabs>
      <w:spacing w:line="240" w:lineRule="exact"/>
      <w:ind w:left="-1134"/>
      <w:rPr>
        <w:rFonts w:cs="Arial"/>
        <w:sz w:val="16"/>
        <w:lang w:val="sl-SI"/>
      </w:rPr>
    </w:pP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607F"/>
    <w:multiLevelType w:val="hybridMultilevel"/>
    <w:tmpl w:val="E1D2C8C8"/>
    <w:lvl w:ilvl="0" w:tplc="5172DD14">
      <w:start w:val="9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115CB5"/>
    <w:multiLevelType w:val="hybridMultilevel"/>
    <w:tmpl w:val="622CCB6C"/>
    <w:lvl w:ilvl="0" w:tplc="E1785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769CC"/>
    <w:multiLevelType w:val="hybridMultilevel"/>
    <w:tmpl w:val="C3B23C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571E7"/>
    <w:multiLevelType w:val="hybridMultilevel"/>
    <w:tmpl w:val="E744B0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25361"/>
    <w:multiLevelType w:val="hybridMultilevel"/>
    <w:tmpl w:val="05AE338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53985"/>
    <w:multiLevelType w:val="hybridMultilevel"/>
    <w:tmpl w:val="C644C0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410A5"/>
    <w:multiLevelType w:val="hybridMultilevel"/>
    <w:tmpl w:val="94A860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F04AD"/>
    <w:multiLevelType w:val="hybridMultilevel"/>
    <w:tmpl w:val="47BA0E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0B89"/>
    <w:multiLevelType w:val="hybridMultilevel"/>
    <w:tmpl w:val="4B8237CE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6EB7466"/>
    <w:multiLevelType w:val="hybridMultilevel"/>
    <w:tmpl w:val="8FAC45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65B29"/>
    <w:multiLevelType w:val="hybridMultilevel"/>
    <w:tmpl w:val="D85613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C11A6"/>
    <w:multiLevelType w:val="hybridMultilevel"/>
    <w:tmpl w:val="781C28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537DB"/>
    <w:multiLevelType w:val="hybridMultilevel"/>
    <w:tmpl w:val="28E05C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D45C2"/>
    <w:multiLevelType w:val="hybridMultilevel"/>
    <w:tmpl w:val="BB74095E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19213E"/>
    <w:multiLevelType w:val="hybridMultilevel"/>
    <w:tmpl w:val="1362EE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5464D"/>
    <w:multiLevelType w:val="hybridMultilevel"/>
    <w:tmpl w:val="680400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0"/>
  </w:num>
  <w:num w:numId="12">
    <w:abstractNumId w:val="10"/>
  </w:num>
  <w:num w:numId="13">
    <w:abstractNumId w:val="11"/>
  </w:num>
  <w:num w:numId="14">
    <w:abstractNumId w:val="1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D0"/>
    <w:rsid w:val="00366EFE"/>
    <w:rsid w:val="008F05D0"/>
    <w:rsid w:val="00F75DC9"/>
    <w:rsid w:val="00F8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C2572"/>
  <w15:chartTrackingRefBased/>
  <w15:docId w15:val="{997EECAC-071A-4DF0-8AAD-11EC4AC1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F05D0"/>
    <w:pPr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F05D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8F05D0"/>
    <w:rPr>
      <w:rFonts w:ascii="Arial" w:eastAsia="Times New Roman" w:hAnsi="Arial" w:cs="Times New Roman"/>
      <w:sz w:val="20"/>
      <w:szCs w:val="24"/>
      <w:lang w:val="en-US"/>
    </w:rPr>
  </w:style>
  <w:style w:type="character" w:styleId="Hiperpovezava">
    <w:name w:val="Hyperlink"/>
    <w:rsid w:val="008F05D0"/>
    <w:rPr>
      <w:color w:val="0000FF"/>
      <w:u w:val="single"/>
    </w:rPr>
  </w:style>
  <w:style w:type="paragraph" w:styleId="Odstavekseznama">
    <w:name w:val="List Paragraph"/>
    <w:basedOn w:val="Navaden"/>
    <w:link w:val="OdstavekseznamaZnak"/>
    <w:uiPriority w:val="34"/>
    <w:qFormat/>
    <w:rsid w:val="008F05D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paragraph" w:customStyle="1" w:styleId="Standard">
    <w:name w:val="Standard"/>
    <w:rsid w:val="008F05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o-RO"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8F0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webcast.ec.europa.eu/session-a-programming-of-the-european-regional-development-fund-the-cohesion-fund-and-the-european-social-fund-plu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Dedić</dc:creator>
  <cp:keywords/>
  <dc:description/>
  <cp:lastModifiedBy>Jasminka Dedić</cp:lastModifiedBy>
  <cp:revision>3</cp:revision>
  <dcterms:created xsi:type="dcterms:W3CDTF">2019-06-17T16:16:00Z</dcterms:created>
  <dcterms:modified xsi:type="dcterms:W3CDTF">2019-06-17T16:18:00Z</dcterms:modified>
</cp:coreProperties>
</file>