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C80F" w14:textId="515560C1" w:rsidR="0059612A" w:rsidRPr="0058617C" w:rsidRDefault="00842A42" w:rsidP="00ED3C59">
      <w:pPr>
        <w:rPr>
          <w:lang w:val="sl-SI"/>
        </w:rPr>
      </w:pPr>
      <w:r w:rsidRPr="0058617C">
        <w:rPr>
          <w:noProof/>
          <w:lang w:val="sl-SI"/>
        </w:rPr>
        <mc:AlternateContent>
          <mc:Choice Requires="wps">
            <w:drawing>
              <wp:anchor distT="0" distB="0" distL="114300" distR="114300" simplePos="0" relativeHeight="251658241" behindDoc="0" locked="0" layoutInCell="1" allowOverlap="1" wp14:anchorId="437CDE67" wp14:editId="72BBAD70">
                <wp:simplePos x="0" y="0"/>
                <wp:positionH relativeFrom="column">
                  <wp:posOffset>-3021401</wp:posOffset>
                </wp:positionH>
                <wp:positionV relativeFrom="paragraph">
                  <wp:posOffset>-827877</wp:posOffset>
                </wp:positionV>
                <wp:extent cx="5578416" cy="10944225"/>
                <wp:effectExtent l="1930400" t="660400" r="1915160" b="663575"/>
                <wp:wrapNone/>
                <wp:docPr id="4" name="Pravokotnik 4"/>
                <wp:cNvGraphicFramePr/>
                <a:graphic xmlns:a="http://schemas.openxmlformats.org/drawingml/2006/main">
                  <a:graphicData uri="http://schemas.microsoft.com/office/word/2010/wordprocessingShape">
                    <wps:wsp>
                      <wps:cNvSpPr/>
                      <wps:spPr>
                        <a:xfrm rot="20211371">
                          <a:off x="0" y="0"/>
                          <a:ext cx="5578416" cy="10944225"/>
                        </a:xfrm>
                        <a:prstGeom prst="rect">
                          <a:avLst/>
                        </a:prstGeom>
                        <a:solidFill>
                          <a:schemeClr val="tx2"/>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F0665" id="Pravokotnik 4" o:spid="_x0000_s1026" style="position:absolute;margin-left:-237.9pt;margin-top:-65.2pt;width:439.25pt;height:861.75pt;rotation:-1516753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" fillcolor="#0a131b [3215]" stroked="f" strokeweight="1pt"/>
            </w:pict>
          </mc:Fallback>
        </mc:AlternateContent>
      </w:r>
      <w:r w:rsidR="00C45A79" w:rsidRPr="0058617C">
        <w:rPr>
          <w:noProof/>
          <w:lang w:val="sl-SI"/>
        </w:rPr>
        <w:drawing>
          <wp:anchor distT="0" distB="0" distL="114300" distR="114300" simplePos="0" relativeHeight="251658240" behindDoc="0" locked="0" layoutInCell="1" allowOverlap="1" wp14:anchorId="39EC6D1A" wp14:editId="7297D9B5">
            <wp:simplePos x="0" y="0"/>
            <wp:positionH relativeFrom="column">
              <wp:posOffset>-934065</wp:posOffset>
            </wp:positionH>
            <wp:positionV relativeFrom="paragraph">
              <wp:posOffset>-1219201</wp:posOffset>
            </wp:positionV>
            <wp:extent cx="9973400" cy="8563897"/>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985655" cy="8574420"/>
                    </a:xfrm>
                    <a:prstGeom prst="rect">
                      <a:avLst/>
                    </a:prstGeom>
                  </pic:spPr>
                </pic:pic>
              </a:graphicData>
            </a:graphic>
            <wp14:sizeRelH relativeFrom="page">
              <wp14:pctWidth>0</wp14:pctWidth>
            </wp14:sizeRelH>
            <wp14:sizeRelV relativeFrom="page">
              <wp14:pctHeight>0</wp14:pctHeight>
            </wp14:sizeRelV>
          </wp:anchor>
        </w:drawing>
      </w:r>
      <w:r w:rsidR="00BB22E5" w:rsidRPr="0058617C">
        <w:rPr>
          <w:noProof/>
          <w:lang w:val="sl-SI"/>
        </w:rPr>
        <mc:AlternateContent>
          <mc:Choice Requires="wps">
            <w:drawing>
              <wp:anchor distT="0" distB="0" distL="114300" distR="114300" simplePos="0" relativeHeight="251658242" behindDoc="0" locked="0" layoutInCell="1" allowOverlap="1" wp14:anchorId="76854440" wp14:editId="44BE8C7C">
                <wp:simplePos x="0" y="0"/>
                <wp:positionH relativeFrom="column">
                  <wp:posOffset>-949960</wp:posOffset>
                </wp:positionH>
                <wp:positionV relativeFrom="paragraph">
                  <wp:posOffset>7291070</wp:posOffset>
                </wp:positionV>
                <wp:extent cx="7607300" cy="2686685"/>
                <wp:effectExtent l="0" t="0" r="0" b="5715"/>
                <wp:wrapNone/>
                <wp:docPr id="5" name="Pravokotnik 5"/>
                <wp:cNvGraphicFramePr/>
                <a:graphic xmlns:a="http://schemas.openxmlformats.org/drawingml/2006/main">
                  <a:graphicData uri="http://schemas.microsoft.com/office/word/2010/wordprocessingShape">
                    <wps:wsp>
                      <wps:cNvSpPr/>
                      <wps:spPr>
                        <a:xfrm>
                          <a:off x="0" y="0"/>
                          <a:ext cx="7607300" cy="2686685"/>
                        </a:xfrm>
                        <a:prstGeom prst="rect">
                          <a:avLst/>
                        </a:prstGeom>
                        <a:solidFill>
                          <a:schemeClr val="tx2"/>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81E67" id="Pravokotnik 5" o:spid="_x0000_s1026" style="position:absolute;margin-left:-74.8pt;margin-top:574.1pt;width:599pt;height:21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" fillcolor="#0a131b [3215]" stroked="f" strokeweight="1pt"/>
            </w:pict>
          </mc:Fallback>
        </mc:AlternateContent>
      </w:r>
    </w:p>
    <w:p w14:paraId="0B4A4CA5" w14:textId="511A72D5" w:rsidR="002E0D26" w:rsidRPr="0058617C" w:rsidRDefault="0090717E" w:rsidP="00ED3C59">
      <w:pPr>
        <w:rPr>
          <w:lang w:val="sl-SI"/>
        </w:rPr>
      </w:pPr>
      <w:r>
        <w:rPr>
          <w:noProof/>
        </w:rPr>
        <w:drawing>
          <wp:anchor distT="0" distB="0" distL="114300" distR="114300" simplePos="0" relativeHeight="251658261" behindDoc="0" locked="0" layoutInCell="1" allowOverlap="1" wp14:anchorId="04E637F4" wp14:editId="5672C50A">
            <wp:simplePos x="0" y="0"/>
            <wp:positionH relativeFrom="column">
              <wp:posOffset>2105025</wp:posOffset>
            </wp:positionH>
            <wp:positionV relativeFrom="paragraph">
              <wp:posOffset>7658100</wp:posOffset>
            </wp:positionV>
            <wp:extent cx="2731091" cy="619125"/>
            <wp:effectExtent l="0" t="0" r="0" b="0"/>
            <wp:wrapNone/>
            <wp:docPr id="19" name="Slika 19" descr="Logotipi | Norway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i | Norway gra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1091"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4BA">
        <w:rPr>
          <w:noProof/>
        </w:rPr>
        <w:drawing>
          <wp:anchor distT="0" distB="0" distL="114300" distR="114300" simplePos="0" relativeHeight="251658253" behindDoc="0" locked="0" layoutInCell="1" allowOverlap="1" wp14:anchorId="6AEFEDC7" wp14:editId="06550EC0">
            <wp:simplePos x="0" y="0"/>
            <wp:positionH relativeFrom="column">
              <wp:posOffset>-514985</wp:posOffset>
            </wp:positionH>
            <wp:positionV relativeFrom="paragraph">
              <wp:posOffset>7596505</wp:posOffset>
            </wp:positionV>
            <wp:extent cx="2006903" cy="883607"/>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903" cy="883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F4B" w:rsidRPr="0058617C">
        <w:rPr>
          <w:noProof/>
          <w:lang w:val="sl-SI"/>
        </w:rPr>
        <mc:AlternateContent>
          <mc:Choice Requires="wps">
            <w:drawing>
              <wp:anchor distT="0" distB="0" distL="114300" distR="114300" simplePos="0" relativeHeight="251658244" behindDoc="0" locked="0" layoutInCell="1" allowOverlap="1" wp14:anchorId="438F0860" wp14:editId="05335244">
                <wp:simplePos x="0" y="0"/>
                <wp:positionH relativeFrom="column">
                  <wp:posOffset>4457700</wp:posOffset>
                </wp:positionH>
                <wp:positionV relativeFrom="paragraph">
                  <wp:posOffset>8665845</wp:posOffset>
                </wp:positionV>
                <wp:extent cx="1474470" cy="452120"/>
                <wp:effectExtent l="0" t="0" r="0" b="0"/>
                <wp:wrapNone/>
                <wp:docPr id="12" name="Polje z besedilom 12"/>
                <wp:cNvGraphicFramePr/>
                <a:graphic xmlns:a="http://schemas.openxmlformats.org/drawingml/2006/main">
                  <a:graphicData uri="http://schemas.microsoft.com/office/word/2010/wordprocessingShape">
                    <wps:wsp>
                      <wps:cNvSpPr txBox="1"/>
                      <wps:spPr>
                        <a:xfrm>
                          <a:off x="0" y="0"/>
                          <a:ext cx="1474470" cy="452120"/>
                        </a:xfrm>
                        <a:prstGeom prst="rect">
                          <a:avLst/>
                        </a:prstGeom>
                        <a:noFill/>
                        <a:ln w="6350">
                          <a:noFill/>
                        </a:ln>
                      </wps:spPr>
                      <wps:txbx>
                        <w:txbxContent>
                          <w:p w14:paraId="08EBBF9E" w14:textId="5FFF3D9C" w:rsidR="00795F4B" w:rsidRPr="00736F2B" w:rsidRDefault="002714F0" w:rsidP="00795F4B">
                            <w:pPr>
                              <w:jc w:val="left"/>
                              <w:rPr>
                                <w:color w:val="FFFFFF" w:themeColor="background1"/>
                                <w:sz w:val="32"/>
                                <w:szCs w:val="32"/>
                                <w:lang w:val="sl-SI"/>
                              </w:rPr>
                            </w:pPr>
                            <w:r>
                              <w:rPr>
                                <w:color w:val="FFFFFF" w:themeColor="background1"/>
                                <w:sz w:val="32"/>
                                <w:szCs w:val="32"/>
                                <w:lang w:val="sl-SI"/>
                              </w:rPr>
                              <w:t>15</w:t>
                            </w:r>
                            <w:r w:rsidR="00C30A06">
                              <w:rPr>
                                <w:color w:val="FFFFFF" w:themeColor="background1"/>
                                <w:sz w:val="32"/>
                                <w:szCs w:val="32"/>
                                <w:lang w:val="sl-SI"/>
                              </w:rPr>
                              <w:t>.</w:t>
                            </w:r>
                            <w:r>
                              <w:rPr>
                                <w:color w:val="FFFFFF" w:themeColor="background1"/>
                                <w:sz w:val="32"/>
                                <w:szCs w:val="32"/>
                                <w:lang w:val="sl-SI"/>
                              </w:rPr>
                              <w:t>5</w:t>
                            </w:r>
                            <w:r w:rsidR="00795F4B" w:rsidRPr="00736F2B">
                              <w:rPr>
                                <w:color w:val="FFFFFF" w:themeColor="background1"/>
                                <w:sz w:val="32"/>
                                <w:szCs w:val="32"/>
                                <w:lang w:val="sl-SI"/>
                              </w:rPr>
                              <w:t>.</w:t>
                            </w:r>
                            <w:r w:rsidR="00736F2B" w:rsidRPr="00736F2B">
                              <w:rPr>
                                <w:color w:val="FFFFFF" w:themeColor="background1"/>
                                <w:sz w:val="32"/>
                                <w:szCs w:val="32"/>
                                <w:lang w:val="sl-SI"/>
                              </w:rPr>
                              <w:t>202</w:t>
                            </w:r>
                            <w:r w:rsidR="00C30A06">
                              <w:rPr>
                                <w:color w:val="FFFFFF" w:themeColor="background1"/>
                                <w:sz w:val="32"/>
                                <w:szCs w:val="32"/>
                                <w:lang w:val="sl-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F0860" id="_x0000_t202" coordsize="21600,21600" o:spt="202" path="m,l,21600r21600,l21600,xe">
                <v:stroke joinstyle="miter"/>
                <v:path gradientshapeok="t" o:connecttype="rect"/>
              </v:shapetype>
              <v:shape id="Polje z besedilom 12" o:spid="_x0000_s1026" type="#_x0000_t202" style="position:absolute;left:0;text-align:left;margin-left:351pt;margin-top:682.35pt;width:116.1pt;height:3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" filled="f" stroked="f" strokeweight=".5pt">
                <v:textbox>
                  <w:txbxContent>
                    <w:p w14:paraId="08EBBF9E" w14:textId="5FFF3D9C" w:rsidR="00795F4B" w:rsidRPr="00736F2B" w:rsidRDefault="002714F0" w:rsidP="00795F4B">
                      <w:pPr>
                        <w:jc w:val="left"/>
                        <w:rPr>
                          <w:color w:val="FFFFFF" w:themeColor="background1"/>
                          <w:sz w:val="32"/>
                          <w:szCs w:val="32"/>
                          <w:lang w:val="sl-SI"/>
                        </w:rPr>
                      </w:pPr>
                      <w:r>
                        <w:rPr>
                          <w:color w:val="FFFFFF" w:themeColor="background1"/>
                          <w:sz w:val="32"/>
                          <w:szCs w:val="32"/>
                          <w:lang w:val="sl-SI"/>
                        </w:rPr>
                        <w:t>15</w:t>
                      </w:r>
                      <w:r w:rsidR="00C30A06">
                        <w:rPr>
                          <w:color w:val="FFFFFF" w:themeColor="background1"/>
                          <w:sz w:val="32"/>
                          <w:szCs w:val="32"/>
                          <w:lang w:val="sl-SI"/>
                        </w:rPr>
                        <w:t>.</w:t>
                      </w:r>
                      <w:r>
                        <w:rPr>
                          <w:color w:val="FFFFFF" w:themeColor="background1"/>
                          <w:sz w:val="32"/>
                          <w:szCs w:val="32"/>
                          <w:lang w:val="sl-SI"/>
                        </w:rPr>
                        <w:t>5</w:t>
                      </w:r>
                      <w:r w:rsidR="00795F4B" w:rsidRPr="00736F2B">
                        <w:rPr>
                          <w:color w:val="FFFFFF" w:themeColor="background1"/>
                          <w:sz w:val="32"/>
                          <w:szCs w:val="32"/>
                          <w:lang w:val="sl-SI"/>
                        </w:rPr>
                        <w:t>.</w:t>
                      </w:r>
                      <w:r w:rsidR="00736F2B" w:rsidRPr="00736F2B">
                        <w:rPr>
                          <w:color w:val="FFFFFF" w:themeColor="background1"/>
                          <w:sz w:val="32"/>
                          <w:szCs w:val="32"/>
                          <w:lang w:val="sl-SI"/>
                        </w:rPr>
                        <w:t>202</w:t>
                      </w:r>
                      <w:r w:rsidR="00C30A06">
                        <w:rPr>
                          <w:color w:val="FFFFFF" w:themeColor="background1"/>
                          <w:sz w:val="32"/>
                          <w:szCs w:val="32"/>
                          <w:lang w:val="sl-SI"/>
                        </w:rPr>
                        <w:t>3</w:t>
                      </w:r>
                    </w:p>
                  </w:txbxContent>
                </v:textbox>
              </v:shape>
            </w:pict>
          </mc:Fallback>
        </mc:AlternateContent>
      </w:r>
      <w:r w:rsidR="00795F4B" w:rsidRPr="0058617C">
        <w:rPr>
          <w:noProof/>
          <w:lang w:val="sl-SI" w:eastAsia="sl-SI"/>
        </w:rPr>
        <w:drawing>
          <wp:anchor distT="0" distB="0" distL="114300" distR="114300" simplePos="0" relativeHeight="251658245" behindDoc="0" locked="0" layoutInCell="1" allowOverlap="1" wp14:anchorId="1C1EA72A" wp14:editId="5BDB4001">
            <wp:simplePos x="0" y="0"/>
            <wp:positionH relativeFrom="column">
              <wp:posOffset>2094988</wp:posOffset>
            </wp:positionH>
            <wp:positionV relativeFrom="paragraph">
              <wp:posOffset>8450662</wp:posOffset>
            </wp:positionV>
            <wp:extent cx="2221122" cy="884903"/>
            <wp:effectExtent l="0" t="0" r="1905" b="4445"/>
            <wp:wrapNone/>
            <wp:docPr id="8" name="Slika 8" descr="A picture containing funnel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Slika 15" descr="A picture containing funnel chart&#10;&#10;Description automatically generated"/>
                    <pic:cNvPicPr>
                      <a:picLocks/>
                    </pic:cNvPicPr>
                  </pic:nvPicPr>
                  <pic:blipFill rotWithShape="1">
                    <a:blip r:embed="rId11" cstate="print">
                      <a:extLst>
                        <a:ext uri="{28A0092B-C50C-407E-A947-70E740481C1C}">
                          <a14:useLocalDpi xmlns:a14="http://schemas.microsoft.com/office/drawing/2010/main" val="0"/>
                        </a:ext>
                      </a:extLst>
                    </a:blip>
                    <a:srcRect l="15425" t="17004" r="8480" b="20283"/>
                    <a:stretch/>
                  </pic:blipFill>
                  <pic:spPr bwMode="auto">
                    <a:xfrm>
                      <a:off x="0" y="0"/>
                      <a:ext cx="2221122" cy="8849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065C" w:rsidRPr="0058617C">
        <w:rPr>
          <w:noProof/>
          <w:lang w:val="sl-SI"/>
        </w:rPr>
        <mc:AlternateContent>
          <mc:Choice Requires="wps">
            <w:drawing>
              <wp:anchor distT="0" distB="0" distL="114300" distR="114300" simplePos="0" relativeHeight="251658243" behindDoc="0" locked="0" layoutInCell="1" allowOverlap="1" wp14:anchorId="64B49B14" wp14:editId="73601B3A">
                <wp:simplePos x="0" y="0"/>
                <wp:positionH relativeFrom="column">
                  <wp:posOffset>-553085</wp:posOffset>
                </wp:positionH>
                <wp:positionV relativeFrom="paragraph">
                  <wp:posOffset>3247902</wp:posOffset>
                </wp:positionV>
                <wp:extent cx="2750884" cy="5204460"/>
                <wp:effectExtent l="0" t="0" r="0" b="0"/>
                <wp:wrapNone/>
                <wp:docPr id="7" name="Polje z besedilom 7"/>
                <wp:cNvGraphicFramePr/>
                <a:graphic xmlns:a="http://schemas.openxmlformats.org/drawingml/2006/main">
                  <a:graphicData uri="http://schemas.microsoft.com/office/word/2010/wordprocessingShape">
                    <wps:wsp>
                      <wps:cNvSpPr txBox="1"/>
                      <wps:spPr>
                        <a:xfrm>
                          <a:off x="0" y="0"/>
                          <a:ext cx="2750884" cy="5204460"/>
                        </a:xfrm>
                        <a:prstGeom prst="rect">
                          <a:avLst/>
                        </a:prstGeom>
                        <a:noFill/>
                        <a:ln w="6350">
                          <a:noFill/>
                        </a:ln>
                      </wps:spPr>
                      <wps:txbx>
                        <w:txbxContent>
                          <w:p w14:paraId="15B6E07C" w14:textId="3FDDDE49" w:rsidR="00ED2BC5" w:rsidRPr="001538A5" w:rsidRDefault="001538A5" w:rsidP="0045065C">
                            <w:pPr>
                              <w:jc w:val="left"/>
                              <w:rPr>
                                <w:color w:val="FFFFFF" w:themeColor="background1"/>
                                <w:sz w:val="36"/>
                                <w:szCs w:val="36"/>
                                <w:lang w:val="en-GB"/>
                              </w:rPr>
                            </w:pPr>
                            <w:r w:rsidRPr="001538A5">
                              <w:rPr>
                                <w:color w:val="FFFFFF" w:themeColor="background1"/>
                                <w:sz w:val="36"/>
                                <w:szCs w:val="36"/>
                                <w:lang w:val="sl-SI"/>
                              </w:rPr>
                              <w:t xml:space="preserve">Sklop </w:t>
                            </w:r>
                            <w:r w:rsidR="00BE423B">
                              <w:rPr>
                                <w:color w:val="FFFFFF" w:themeColor="background1"/>
                                <w:sz w:val="36"/>
                                <w:szCs w:val="36"/>
                                <w:lang w:val="sl-SI"/>
                              </w:rPr>
                              <w:t>2</w:t>
                            </w:r>
                            <w:r w:rsidRPr="001538A5">
                              <w:rPr>
                                <w:color w:val="FFFFFF" w:themeColor="background1"/>
                                <w:sz w:val="36"/>
                                <w:szCs w:val="36"/>
                                <w:lang w:val="sl-SI"/>
                              </w:rPr>
                              <w:t xml:space="preserve"> - </w:t>
                            </w:r>
                            <w:proofErr w:type="spellStart"/>
                            <w:r w:rsidR="002A45B0" w:rsidRPr="002A45B0">
                              <w:rPr>
                                <w:color w:val="FFFFFF" w:themeColor="background1"/>
                                <w:sz w:val="36"/>
                                <w:szCs w:val="36"/>
                                <w:lang w:val="en-GB"/>
                              </w:rPr>
                              <w:t>Vrednotenje</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učinkovitosti</w:t>
                            </w:r>
                            <w:proofErr w:type="spellEnd"/>
                            <w:r w:rsidR="002A45B0" w:rsidRPr="002A45B0">
                              <w:rPr>
                                <w:color w:val="FFFFFF" w:themeColor="background1"/>
                                <w:sz w:val="36"/>
                                <w:szCs w:val="36"/>
                                <w:lang w:val="en-GB"/>
                              </w:rPr>
                              <w:t xml:space="preserve"> in </w:t>
                            </w:r>
                            <w:proofErr w:type="spellStart"/>
                            <w:r w:rsidR="002A45B0" w:rsidRPr="002A45B0">
                              <w:rPr>
                                <w:color w:val="FFFFFF" w:themeColor="background1"/>
                                <w:sz w:val="36"/>
                                <w:szCs w:val="36"/>
                                <w:lang w:val="en-GB"/>
                              </w:rPr>
                              <w:t>uspešnosti</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izvajanja</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specifičnega</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cilja</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Povečanje</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učinkovitosti</w:t>
                            </w:r>
                            <w:proofErr w:type="spellEnd"/>
                            <w:r w:rsidR="002A45B0" w:rsidRPr="002A45B0">
                              <w:rPr>
                                <w:color w:val="FFFFFF" w:themeColor="background1"/>
                                <w:sz w:val="36"/>
                                <w:szCs w:val="36"/>
                                <w:lang w:val="en-GB"/>
                              </w:rPr>
                              <w:t xml:space="preserve"> rabe </w:t>
                            </w:r>
                            <w:proofErr w:type="spellStart"/>
                            <w:r w:rsidR="002A45B0" w:rsidRPr="002A45B0">
                              <w:rPr>
                                <w:color w:val="FFFFFF" w:themeColor="background1"/>
                                <w:sz w:val="36"/>
                                <w:szCs w:val="36"/>
                                <w:lang w:val="en-GB"/>
                              </w:rPr>
                              <w:t>energije</w:t>
                            </w:r>
                            <w:proofErr w:type="spellEnd"/>
                            <w:r w:rsidR="002A45B0" w:rsidRPr="002A45B0">
                              <w:rPr>
                                <w:color w:val="FFFFFF" w:themeColor="background1"/>
                                <w:sz w:val="36"/>
                                <w:szCs w:val="36"/>
                                <w:lang w:val="en-GB"/>
                              </w:rPr>
                              <w:t xml:space="preserve"> v </w:t>
                            </w:r>
                            <w:proofErr w:type="spellStart"/>
                            <w:r w:rsidR="002A45B0" w:rsidRPr="002A45B0">
                              <w:rPr>
                                <w:color w:val="FFFFFF" w:themeColor="background1"/>
                                <w:sz w:val="36"/>
                                <w:szCs w:val="36"/>
                                <w:lang w:val="en-GB"/>
                              </w:rPr>
                              <w:t>javnem</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sektorju</w:t>
                            </w:r>
                            <w:proofErr w:type="spellEnd"/>
                            <w:r w:rsidR="002A45B0" w:rsidRPr="002A45B0">
                              <w:rPr>
                                <w:color w:val="FFFFFF" w:themeColor="background1"/>
                                <w:sz w:val="36"/>
                                <w:szCs w:val="36"/>
                                <w:lang w:val="en-GB"/>
                              </w:rPr>
                              <w:t>"</w:t>
                            </w:r>
                          </w:p>
                          <w:p w14:paraId="4AA268A9" w14:textId="5395FF46" w:rsidR="00ED2BC5" w:rsidRPr="006D6A22" w:rsidRDefault="00ED2BC5" w:rsidP="0045065C">
                            <w:pPr>
                              <w:jc w:val="left"/>
                              <w:rPr>
                                <w:color w:val="FFFFFF" w:themeColor="background1"/>
                                <w:sz w:val="36"/>
                                <w:szCs w:val="36"/>
                                <w:lang w:val="sl-SI"/>
                              </w:rPr>
                            </w:pPr>
                          </w:p>
                          <w:p w14:paraId="43A03A03" w14:textId="5C644859" w:rsidR="00ED2BC5" w:rsidRPr="006D6A22" w:rsidRDefault="00CB3147" w:rsidP="0045065C">
                            <w:pPr>
                              <w:jc w:val="left"/>
                              <w:rPr>
                                <w:b/>
                                <w:bCs/>
                                <w:color w:val="FFFFFF" w:themeColor="background1"/>
                                <w:sz w:val="36"/>
                                <w:szCs w:val="36"/>
                                <w:lang w:val="sl-SI"/>
                              </w:rPr>
                            </w:pPr>
                            <w:r>
                              <w:rPr>
                                <w:b/>
                                <w:bCs/>
                                <w:color w:val="FFFFFF" w:themeColor="background1"/>
                                <w:sz w:val="36"/>
                                <w:szCs w:val="36"/>
                                <w:lang w:val="sl-SI"/>
                              </w:rPr>
                              <w:t>Končno poročilo</w:t>
                            </w:r>
                          </w:p>
                          <w:p w14:paraId="6077400E" w14:textId="59E133F9" w:rsidR="00ED2BC5" w:rsidRPr="006D6A22" w:rsidRDefault="00ED2BC5" w:rsidP="0045065C">
                            <w:pPr>
                              <w:jc w:val="left"/>
                              <w:rPr>
                                <w:color w:val="FFFFFF" w:themeColor="background1"/>
                                <w:sz w:val="36"/>
                                <w:szCs w:val="36"/>
                                <w:lang w:val="sl-SI"/>
                              </w:rPr>
                            </w:pPr>
                          </w:p>
                          <w:p w14:paraId="49F560C5" w14:textId="5094718B" w:rsidR="00ED2BC5" w:rsidRPr="006D6A22" w:rsidRDefault="00ED2BC5" w:rsidP="0045065C">
                            <w:pPr>
                              <w:jc w:val="left"/>
                              <w:rPr>
                                <w:color w:val="FFFFFF" w:themeColor="background1"/>
                                <w:sz w:val="36"/>
                                <w:szCs w:val="36"/>
                                <w:lang w:val="sl-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49B14" id="Polje z besedilom 7" o:spid="_x0000_s1027" type="#_x0000_t202" style="position:absolute;left:0;text-align:left;margin-left:-43.55pt;margin-top:255.75pt;width:216.6pt;height:409.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" filled="f" stroked="f" strokeweight=".5pt">
                <v:textbox>
                  <w:txbxContent>
                    <w:p w14:paraId="15B6E07C" w14:textId="3FDDDE49" w:rsidR="00ED2BC5" w:rsidRPr="001538A5" w:rsidRDefault="001538A5" w:rsidP="0045065C">
                      <w:pPr>
                        <w:jc w:val="left"/>
                        <w:rPr>
                          <w:color w:val="FFFFFF" w:themeColor="background1"/>
                          <w:sz w:val="36"/>
                          <w:szCs w:val="36"/>
                          <w:lang w:val="en-GB"/>
                        </w:rPr>
                      </w:pPr>
                      <w:r w:rsidRPr="001538A5">
                        <w:rPr>
                          <w:color w:val="FFFFFF" w:themeColor="background1"/>
                          <w:sz w:val="36"/>
                          <w:szCs w:val="36"/>
                          <w:lang w:val="sl-SI"/>
                        </w:rPr>
                        <w:t xml:space="preserve">Sklop </w:t>
                      </w:r>
                      <w:r w:rsidR="00BE423B">
                        <w:rPr>
                          <w:color w:val="FFFFFF" w:themeColor="background1"/>
                          <w:sz w:val="36"/>
                          <w:szCs w:val="36"/>
                          <w:lang w:val="sl-SI"/>
                        </w:rPr>
                        <w:t>2</w:t>
                      </w:r>
                      <w:r w:rsidRPr="001538A5">
                        <w:rPr>
                          <w:color w:val="FFFFFF" w:themeColor="background1"/>
                          <w:sz w:val="36"/>
                          <w:szCs w:val="36"/>
                          <w:lang w:val="sl-SI"/>
                        </w:rPr>
                        <w:t xml:space="preserve"> - </w:t>
                      </w:r>
                      <w:proofErr w:type="spellStart"/>
                      <w:r w:rsidR="002A45B0" w:rsidRPr="002A45B0">
                        <w:rPr>
                          <w:color w:val="FFFFFF" w:themeColor="background1"/>
                          <w:sz w:val="36"/>
                          <w:szCs w:val="36"/>
                          <w:lang w:val="en-GB"/>
                        </w:rPr>
                        <w:t>Vrednotenje</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učinkovitosti</w:t>
                      </w:r>
                      <w:proofErr w:type="spellEnd"/>
                      <w:r w:rsidR="002A45B0" w:rsidRPr="002A45B0">
                        <w:rPr>
                          <w:color w:val="FFFFFF" w:themeColor="background1"/>
                          <w:sz w:val="36"/>
                          <w:szCs w:val="36"/>
                          <w:lang w:val="en-GB"/>
                        </w:rPr>
                        <w:t xml:space="preserve"> in </w:t>
                      </w:r>
                      <w:proofErr w:type="spellStart"/>
                      <w:r w:rsidR="002A45B0" w:rsidRPr="002A45B0">
                        <w:rPr>
                          <w:color w:val="FFFFFF" w:themeColor="background1"/>
                          <w:sz w:val="36"/>
                          <w:szCs w:val="36"/>
                          <w:lang w:val="en-GB"/>
                        </w:rPr>
                        <w:t>uspešnosti</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izvajanja</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specifičnega</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cilja</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Povečanje</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učinkovitosti</w:t>
                      </w:r>
                      <w:proofErr w:type="spellEnd"/>
                      <w:r w:rsidR="002A45B0" w:rsidRPr="002A45B0">
                        <w:rPr>
                          <w:color w:val="FFFFFF" w:themeColor="background1"/>
                          <w:sz w:val="36"/>
                          <w:szCs w:val="36"/>
                          <w:lang w:val="en-GB"/>
                        </w:rPr>
                        <w:t xml:space="preserve"> rabe </w:t>
                      </w:r>
                      <w:proofErr w:type="spellStart"/>
                      <w:r w:rsidR="002A45B0" w:rsidRPr="002A45B0">
                        <w:rPr>
                          <w:color w:val="FFFFFF" w:themeColor="background1"/>
                          <w:sz w:val="36"/>
                          <w:szCs w:val="36"/>
                          <w:lang w:val="en-GB"/>
                        </w:rPr>
                        <w:t>energije</w:t>
                      </w:r>
                      <w:proofErr w:type="spellEnd"/>
                      <w:r w:rsidR="002A45B0" w:rsidRPr="002A45B0">
                        <w:rPr>
                          <w:color w:val="FFFFFF" w:themeColor="background1"/>
                          <w:sz w:val="36"/>
                          <w:szCs w:val="36"/>
                          <w:lang w:val="en-GB"/>
                        </w:rPr>
                        <w:t xml:space="preserve"> v </w:t>
                      </w:r>
                      <w:proofErr w:type="spellStart"/>
                      <w:r w:rsidR="002A45B0" w:rsidRPr="002A45B0">
                        <w:rPr>
                          <w:color w:val="FFFFFF" w:themeColor="background1"/>
                          <w:sz w:val="36"/>
                          <w:szCs w:val="36"/>
                          <w:lang w:val="en-GB"/>
                        </w:rPr>
                        <w:t>javnem</w:t>
                      </w:r>
                      <w:proofErr w:type="spellEnd"/>
                      <w:r w:rsidR="002A45B0" w:rsidRPr="002A45B0">
                        <w:rPr>
                          <w:color w:val="FFFFFF" w:themeColor="background1"/>
                          <w:sz w:val="36"/>
                          <w:szCs w:val="36"/>
                          <w:lang w:val="en-GB"/>
                        </w:rPr>
                        <w:t xml:space="preserve"> </w:t>
                      </w:r>
                      <w:proofErr w:type="spellStart"/>
                      <w:r w:rsidR="002A45B0" w:rsidRPr="002A45B0">
                        <w:rPr>
                          <w:color w:val="FFFFFF" w:themeColor="background1"/>
                          <w:sz w:val="36"/>
                          <w:szCs w:val="36"/>
                          <w:lang w:val="en-GB"/>
                        </w:rPr>
                        <w:t>sektorju</w:t>
                      </w:r>
                      <w:proofErr w:type="spellEnd"/>
                      <w:r w:rsidR="002A45B0" w:rsidRPr="002A45B0">
                        <w:rPr>
                          <w:color w:val="FFFFFF" w:themeColor="background1"/>
                          <w:sz w:val="36"/>
                          <w:szCs w:val="36"/>
                          <w:lang w:val="en-GB"/>
                        </w:rPr>
                        <w:t>"</w:t>
                      </w:r>
                    </w:p>
                    <w:p w14:paraId="4AA268A9" w14:textId="5395FF46" w:rsidR="00ED2BC5" w:rsidRPr="006D6A22" w:rsidRDefault="00ED2BC5" w:rsidP="0045065C">
                      <w:pPr>
                        <w:jc w:val="left"/>
                        <w:rPr>
                          <w:color w:val="FFFFFF" w:themeColor="background1"/>
                          <w:sz w:val="36"/>
                          <w:szCs w:val="36"/>
                          <w:lang w:val="sl-SI"/>
                        </w:rPr>
                      </w:pPr>
                    </w:p>
                    <w:p w14:paraId="43A03A03" w14:textId="5C644859" w:rsidR="00ED2BC5" w:rsidRPr="006D6A22" w:rsidRDefault="00CB3147" w:rsidP="0045065C">
                      <w:pPr>
                        <w:jc w:val="left"/>
                        <w:rPr>
                          <w:b/>
                          <w:bCs/>
                          <w:color w:val="FFFFFF" w:themeColor="background1"/>
                          <w:sz w:val="36"/>
                          <w:szCs w:val="36"/>
                          <w:lang w:val="sl-SI"/>
                        </w:rPr>
                      </w:pPr>
                      <w:r>
                        <w:rPr>
                          <w:b/>
                          <w:bCs/>
                          <w:color w:val="FFFFFF" w:themeColor="background1"/>
                          <w:sz w:val="36"/>
                          <w:szCs w:val="36"/>
                          <w:lang w:val="sl-SI"/>
                        </w:rPr>
                        <w:t>Končno poročilo</w:t>
                      </w:r>
                    </w:p>
                    <w:p w14:paraId="6077400E" w14:textId="59E133F9" w:rsidR="00ED2BC5" w:rsidRPr="006D6A22" w:rsidRDefault="00ED2BC5" w:rsidP="0045065C">
                      <w:pPr>
                        <w:jc w:val="left"/>
                        <w:rPr>
                          <w:color w:val="FFFFFF" w:themeColor="background1"/>
                          <w:sz w:val="36"/>
                          <w:szCs w:val="36"/>
                          <w:lang w:val="sl-SI"/>
                        </w:rPr>
                      </w:pPr>
                    </w:p>
                    <w:p w14:paraId="49F560C5" w14:textId="5094718B" w:rsidR="00ED2BC5" w:rsidRPr="006D6A22" w:rsidRDefault="00ED2BC5" w:rsidP="0045065C">
                      <w:pPr>
                        <w:jc w:val="left"/>
                        <w:rPr>
                          <w:color w:val="FFFFFF" w:themeColor="background1"/>
                          <w:sz w:val="36"/>
                          <w:szCs w:val="36"/>
                          <w:lang w:val="sl-SI"/>
                        </w:rPr>
                      </w:pPr>
                    </w:p>
                  </w:txbxContent>
                </v:textbox>
              </v:shape>
            </w:pict>
          </mc:Fallback>
        </mc:AlternateContent>
      </w:r>
    </w:p>
    <w:p w14:paraId="601EA2BB" w14:textId="0DD8CC18" w:rsidR="009421E7" w:rsidRPr="0058617C" w:rsidRDefault="009421E7" w:rsidP="009421E7">
      <w:pPr>
        <w:rPr>
          <w:b/>
          <w:bCs/>
          <w:lang w:val="sl-SI"/>
        </w:rPr>
        <w:sectPr w:rsidR="009421E7" w:rsidRPr="0058617C">
          <w:pgSz w:w="11906" w:h="16838"/>
          <w:pgMar w:top="1440" w:right="1440" w:bottom="1440" w:left="1440" w:header="708" w:footer="708" w:gutter="0"/>
          <w:cols w:space="708"/>
          <w:docGrid w:linePitch="360"/>
        </w:sectPr>
      </w:pPr>
    </w:p>
    <w:p w14:paraId="0FDE957B" w14:textId="77777777" w:rsidR="00FC2675" w:rsidRDefault="00736F2B" w:rsidP="00736F2B">
      <w:pPr>
        <w:pStyle w:val="Naslov1"/>
        <w:numPr>
          <w:ilvl w:val="0"/>
          <w:numId w:val="0"/>
        </w:numPr>
        <w:ind w:left="432" w:hanging="432"/>
        <w:rPr>
          <w:lang w:val="sl-SI"/>
        </w:rPr>
      </w:pPr>
      <w:bookmarkStart w:id="0" w:name="_Toc129003801"/>
      <w:bookmarkStart w:id="1" w:name="_Toc136287520"/>
      <w:r w:rsidRPr="0058617C">
        <w:rPr>
          <w:lang w:val="sl-SI"/>
        </w:rPr>
        <w:lastRenderedPageBreak/>
        <w:t>Kazalo</w:t>
      </w:r>
      <w:bookmarkEnd w:id="0"/>
      <w:bookmarkEnd w:id="1"/>
    </w:p>
    <w:sdt>
      <w:sdtPr>
        <w:rPr>
          <w:rFonts w:ascii="Verdana" w:eastAsiaTheme="minorHAnsi" w:hAnsi="Verdana" w:cstheme="minorBidi"/>
          <w:color w:val="auto"/>
          <w:sz w:val="20"/>
          <w:szCs w:val="24"/>
        </w:rPr>
        <w:id w:val="1629052853"/>
        <w:docPartObj>
          <w:docPartGallery w:val="Table of Contents"/>
          <w:docPartUnique/>
        </w:docPartObj>
      </w:sdtPr>
      <w:sdtEndPr>
        <w:rPr>
          <w:b/>
          <w:bCs/>
          <w:noProof/>
        </w:rPr>
      </w:sdtEndPr>
      <w:sdtContent>
        <w:p w14:paraId="5C2299D3" w14:textId="1614E722" w:rsidR="009F68FC" w:rsidRPr="009F68FC" w:rsidRDefault="009F68FC">
          <w:pPr>
            <w:pStyle w:val="NaslovTOC"/>
          </w:pPr>
        </w:p>
        <w:p w14:paraId="3973D9B2" w14:textId="1FBF80CF" w:rsidR="0018542D" w:rsidRDefault="009F68FC" w:rsidP="0018542D">
          <w:pPr>
            <w:pStyle w:val="Kazalovsebine1"/>
            <w:tabs>
              <w:tab w:val="right" w:leader="dot" w:pos="9040"/>
            </w:tabs>
            <w:spacing w:line="276" w:lineRule="auto"/>
            <w:rPr>
              <w:rFonts w:asciiTheme="minorHAnsi" w:eastAsiaTheme="minorEastAsia" w:hAnsiTheme="minorHAnsi"/>
              <w:noProof/>
              <w:kern w:val="2"/>
              <w:sz w:val="22"/>
              <w:szCs w:val="22"/>
              <w14:ligatures w14:val="standardContextual"/>
            </w:rPr>
          </w:pPr>
          <w:r w:rsidRPr="009F68FC">
            <w:fldChar w:fldCharType="begin"/>
          </w:r>
          <w:r w:rsidRPr="009F68FC">
            <w:instrText xml:space="preserve"> TOC \o "1-3" \h \z \u </w:instrText>
          </w:r>
          <w:r w:rsidRPr="009F68FC">
            <w:fldChar w:fldCharType="separate"/>
          </w:r>
          <w:hyperlink w:anchor="_Toc136287520" w:history="1">
            <w:r w:rsidR="0018542D" w:rsidRPr="00EE3A18">
              <w:rPr>
                <w:rStyle w:val="Hiperpovezava"/>
                <w:noProof/>
                <w:lang w:val="sl-SI"/>
              </w:rPr>
              <w:t>Kazalo</w:t>
            </w:r>
            <w:r w:rsidR="0018542D">
              <w:rPr>
                <w:noProof/>
                <w:webHidden/>
              </w:rPr>
              <w:tab/>
            </w:r>
            <w:r w:rsidR="0018542D">
              <w:rPr>
                <w:noProof/>
                <w:webHidden/>
              </w:rPr>
              <w:fldChar w:fldCharType="begin"/>
            </w:r>
            <w:r w:rsidR="0018542D">
              <w:rPr>
                <w:noProof/>
                <w:webHidden/>
              </w:rPr>
              <w:instrText xml:space="preserve"> PAGEREF _Toc136287520 \h </w:instrText>
            </w:r>
            <w:r w:rsidR="0018542D">
              <w:rPr>
                <w:noProof/>
                <w:webHidden/>
              </w:rPr>
            </w:r>
            <w:r w:rsidR="0018542D">
              <w:rPr>
                <w:noProof/>
                <w:webHidden/>
              </w:rPr>
              <w:fldChar w:fldCharType="separate"/>
            </w:r>
            <w:r w:rsidR="009378A1">
              <w:rPr>
                <w:noProof/>
                <w:webHidden/>
              </w:rPr>
              <w:t>2</w:t>
            </w:r>
            <w:r w:rsidR="0018542D">
              <w:rPr>
                <w:noProof/>
                <w:webHidden/>
              </w:rPr>
              <w:fldChar w:fldCharType="end"/>
            </w:r>
          </w:hyperlink>
        </w:p>
        <w:p w14:paraId="2C736253" w14:textId="572AE6B8" w:rsidR="0018542D" w:rsidRDefault="00000000" w:rsidP="0018542D">
          <w:pPr>
            <w:pStyle w:val="Kazalovsebine1"/>
            <w:tabs>
              <w:tab w:val="right" w:leader="dot" w:pos="9040"/>
            </w:tabs>
            <w:spacing w:line="276" w:lineRule="auto"/>
            <w:rPr>
              <w:rFonts w:asciiTheme="minorHAnsi" w:eastAsiaTheme="minorEastAsia" w:hAnsiTheme="minorHAnsi"/>
              <w:noProof/>
              <w:kern w:val="2"/>
              <w:sz w:val="22"/>
              <w:szCs w:val="22"/>
              <w14:ligatures w14:val="standardContextual"/>
            </w:rPr>
          </w:pPr>
          <w:hyperlink w:anchor="_Toc136287521" w:history="1">
            <w:r w:rsidR="0018542D" w:rsidRPr="00EE3A18">
              <w:rPr>
                <w:rStyle w:val="Hiperpovezava"/>
                <w:noProof/>
                <w:lang w:val="sl-SI"/>
              </w:rPr>
              <w:t>Seznam uporabljenih kratic</w:t>
            </w:r>
            <w:r w:rsidR="0018542D">
              <w:rPr>
                <w:noProof/>
                <w:webHidden/>
              </w:rPr>
              <w:tab/>
            </w:r>
            <w:r w:rsidR="0018542D">
              <w:rPr>
                <w:noProof/>
                <w:webHidden/>
              </w:rPr>
              <w:fldChar w:fldCharType="begin"/>
            </w:r>
            <w:r w:rsidR="0018542D">
              <w:rPr>
                <w:noProof/>
                <w:webHidden/>
              </w:rPr>
              <w:instrText xml:space="preserve"> PAGEREF _Toc136287521 \h </w:instrText>
            </w:r>
            <w:r w:rsidR="0018542D">
              <w:rPr>
                <w:noProof/>
                <w:webHidden/>
              </w:rPr>
            </w:r>
            <w:r w:rsidR="0018542D">
              <w:rPr>
                <w:noProof/>
                <w:webHidden/>
              </w:rPr>
              <w:fldChar w:fldCharType="separate"/>
            </w:r>
            <w:r w:rsidR="009378A1">
              <w:rPr>
                <w:noProof/>
                <w:webHidden/>
              </w:rPr>
              <w:t>3</w:t>
            </w:r>
            <w:r w:rsidR="0018542D">
              <w:rPr>
                <w:noProof/>
                <w:webHidden/>
              </w:rPr>
              <w:fldChar w:fldCharType="end"/>
            </w:r>
          </w:hyperlink>
        </w:p>
        <w:p w14:paraId="618FC9C4" w14:textId="21739B87" w:rsidR="0018542D" w:rsidRDefault="00000000" w:rsidP="0018542D">
          <w:pPr>
            <w:pStyle w:val="Kazalovsebine1"/>
            <w:tabs>
              <w:tab w:val="right" w:leader="dot" w:pos="9040"/>
            </w:tabs>
            <w:spacing w:line="276" w:lineRule="auto"/>
            <w:rPr>
              <w:rFonts w:asciiTheme="minorHAnsi" w:eastAsiaTheme="minorEastAsia" w:hAnsiTheme="minorHAnsi"/>
              <w:noProof/>
              <w:kern w:val="2"/>
              <w:sz w:val="22"/>
              <w:szCs w:val="22"/>
              <w14:ligatures w14:val="standardContextual"/>
            </w:rPr>
          </w:pPr>
          <w:hyperlink w:anchor="_Toc136287522" w:history="1">
            <w:r w:rsidR="0018542D" w:rsidRPr="00EE3A18">
              <w:rPr>
                <w:rStyle w:val="Hiperpovezava"/>
                <w:noProof/>
                <w:lang w:val="sl-SI"/>
              </w:rPr>
              <w:t>Povzetek</w:t>
            </w:r>
            <w:r w:rsidR="0018542D">
              <w:rPr>
                <w:noProof/>
                <w:webHidden/>
              </w:rPr>
              <w:tab/>
            </w:r>
            <w:r w:rsidR="0018542D">
              <w:rPr>
                <w:noProof/>
                <w:webHidden/>
              </w:rPr>
              <w:fldChar w:fldCharType="begin"/>
            </w:r>
            <w:r w:rsidR="0018542D">
              <w:rPr>
                <w:noProof/>
                <w:webHidden/>
              </w:rPr>
              <w:instrText xml:space="preserve"> PAGEREF _Toc136287522 \h </w:instrText>
            </w:r>
            <w:r w:rsidR="0018542D">
              <w:rPr>
                <w:noProof/>
                <w:webHidden/>
              </w:rPr>
            </w:r>
            <w:r w:rsidR="0018542D">
              <w:rPr>
                <w:noProof/>
                <w:webHidden/>
              </w:rPr>
              <w:fldChar w:fldCharType="separate"/>
            </w:r>
            <w:r w:rsidR="009378A1">
              <w:rPr>
                <w:noProof/>
                <w:webHidden/>
              </w:rPr>
              <w:t>4</w:t>
            </w:r>
            <w:r w:rsidR="0018542D">
              <w:rPr>
                <w:noProof/>
                <w:webHidden/>
              </w:rPr>
              <w:fldChar w:fldCharType="end"/>
            </w:r>
          </w:hyperlink>
        </w:p>
        <w:p w14:paraId="643C4635" w14:textId="12710D49" w:rsidR="0018542D" w:rsidRDefault="00000000" w:rsidP="0018542D">
          <w:pPr>
            <w:pStyle w:val="Kazalovsebine1"/>
            <w:tabs>
              <w:tab w:val="left" w:pos="400"/>
              <w:tab w:val="right" w:leader="dot" w:pos="9040"/>
            </w:tabs>
            <w:spacing w:line="276" w:lineRule="auto"/>
            <w:rPr>
              <w:rFonts w:asciiTheme="minorHAnsi" w:eastAsiaTheme="minorEastAsia" w:hAnsiTheme="minorHAnsi"/>
              <w:noProof/>
              <w:kern w:val="2"/>
              <w:sz w:val="22"/>
              <w:szCs w:val="22"/>
              <w14:ligatures w14:val="standardContextual"/>
            </w:rPr>
          </w:pPr>
          <w:hyperlink w:anchor="_Toc136287523" w:history="1">
            <w:r w:rsidR="0018542D" w:rsidRPr="00EE3A18">
              <w:rPr>
                <w:rStyle w:val="Hiperpovezava"/>
                <w:noProof/>
                <w:lang w:val="sl-SI"/>
              </w:rPr>
              <w:t>1</w:t>
            </w:r>
            <w:r w:rsidR="0018542D">
              <w:rPr>
                <w:rFonts w:asciiTheme="minorHAnsi" w:eastAsiaTheme="minorEastAsia" w:hAnsiTheme="minorHAnsi"/>
                <w:noProof/>
                <w:kern w:val="2"/>
                <w:sz w:val="22"/>
                <w:szCs w:val="22"/>
                <w14:ligatures w14:val="standardContextual"/>
              </w:rPr>
              <w:tab/>
            </w:r>
            <w:r w:rsidR="0018542D" w:rsidRPr="00EE3A18">
              <w:rPr>
                <w:rStyle w:val="Hiperpovezava"/>
                <w:noProof/>
                <w:lang w:val="sl-SI"/>
              </w:rPr>
              <w:t>Uvod</w:t>
            </w:r>
            <w:r w:rsidR="0018542D">
              <w:rPr>
                <w:noProof/>
                <w:webHidden/>
              </w:rPr>
              <w:tab/>
            </w:r>
            <w:r w:rsidR="0018542D">
              <w:rPr>
                <w:noProof/>
                <w:webHidden/>
              </w:rPr>
              <w:fldChar w:fldCharType="begin"/>
            </w:r>
            <w:r w:rsidR="0018542D">
              <w:rPr>
                <w:noProof/>
                <w:webHidden/>
              </w:rPr>
              <w:instrText xml:space="preserve"> PAGEREF _Toc136287523 \h </w:instrText>
            </w:r>
            <w:r w:rsidR="0018542D">
              <w:rPr>
                <w:noProof/>
                <w:webHidden/>
              </w:rPr>
            </w:r>
            <w:r w:rsidR="0018542D">
              <w:rPr>
                <w:noProof/>
                <w:webHidden/>
              </w:rPr>
              <w:fldChar w:fldCharType="separate"/>
            </w:r>
            <w:r w:rsidR="009378A1">
              <w:rPr>
                <w:noProof/>
                <w:webHidden/>
              </w:rPr>
              <w:t>7</w:t>
            </w:r>
            <w:r w:rsidR="0018542D">
              <w:rPr>
                <w:noProof/>
                <w:webHidden/>
              </w:rPr>
              <w:fldChar w:fldCharType="end"/>
            </w:r>
          </w:hyperlink>
        </w:p>
        <w:p w14:paraId="775E4F92" w14:textId="6970D185" w:rsidR="0018542D" w:rsidRPr="0018542D" w:rsidRDefault="00000000" w:rsidP="0018542D">
          <w:pPr>
            <w:pStyle w:val="Kazalovsebine2"/>
            <w:spacing w:line="276" w:lineRule="auto"/>
            <w:rPr>
              <w:rFonts w:asciiTheme="minorHAnsi" w:eastAsiaTheme="minorEastAsia" w:hAnsiTheme="minorHAnsi"/>
              <w:kern w:val="2"/>
              <w:sz w:val="20"/>
              <w:szCs w:val="20"/>
              <w14:ligatures w14:val="standardContextual"/>
            </w:rPr>
          </w:pPr>
          <w:hyperlink w:anchor="_Toc136287524" w:history="1">
            <w:r w:rsidR="0018542D" w:rsidRPr="0018542D">
              <w:rPr>
                <w:rStyle w:val="Hiperpovezava"/>
              </w:rPr>
              <w:t>1.1</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Predmet vrednotenja</w:t>
            </w:r>
            <w:r w:rsidR="0018542D" w:rsidRPr="0018542D">
              <w:rPr>
                <w:webHidden/>
              </w:rPr>
              <w:tab/>
            </w:r>
            <w:r w:rsidR="0018542D" w:rsidRPr="0018542D">
              <w:rPr>
                <w:webHidden/>
              </w:rPr>
              <w:fldChar w:fldCharType="begin"/>
            </w:r>
            <w:r w:rsidR="0018542D" w:rsidRPr="0018542D">
              <w:rPr>
                <w:webHidden/>
              </w:rPr>
              <w:instrText xml:space="preserve"> PAGEREF _Toc136287524 \h </w:instrText>
            </w:r>
            <w:r w:rsidR="0018542D" w:rsidRPr="0018542D">
              <w:rPr>
                <w:webHidden/>
              </w:rPr>
            </w:r>
            <w:r w:rsidR="0018542D" w:rsidRPr="0018542D">
              <w:rPr>
                <w:webHidden/>
              </w:rPr>
              <w:fldChar w:fldCharType="separate"/>
            </w:r>
            <w:r w:rsidR="009378A1">
              <w:rPr>
                <w:webHidden/>
              </w:rPr>
              <w:t>7</w:t>
            </w:r>
            <w:r w:rsidR="0018542D" w:rsidRPr="0018542D">
              <w:rPr>
                <w:webHidden/>
              </w:rPr>
              <w:fldChar w:fldCharType="end"/>
            </w:r>
          </w:hyperlink>
        </w:p>
        <w:p w14:paraId="781F7897" w14:textId="264C008E" w:rsidR="0018542D" w:rsidRPr="0018542D" w:rsidRDefault="00000000" w:rsidP="0018542D">
          <w:pPr>
            <w:pStyle w:val="Kazalovsebine2"/>
            <w:spacing w:line="276" w:lineRule="auto"/>
            <w:rPr>
              <w:rFonts w:asciiTheme="minorHAnsi" w:eastAsiaTheme="minorEastAsia" w:hAnsiTheme="minorHAnsi"/>
              <w:kern w:val="2"/>
              <w:sz w:val="20"/>
              <w:szCs w:val="20"/>
              <w14:ligatures w14:val="standardContextual"/>
            </w:rPr>
          </w:pPr>
          <w:hyperlink w:anchor="_Toc136287525" w:history="1">
            <w:r w:rsidR="0018542D" w:rsidRPr="0018542D">
              <w:rPr>
                <w:rStyle w:val="Hiperpovezava"/>
              </w:rPr>
              <w:t>1.2</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Nameni in cilji vrednotenja</w:t>
            </w:r>
            <w:r w:rsidR="0018542D" w:rsidRPr="0018542D">
              <w:rPr>
                <w:webHidden/>
              </w:rPr>
              <w:tab/>
            </w:r>
            <w:r w:rsidR="0018542D" w:rsidRPr="0018542D">
              <w:rPr>
                <w:webHidden/>
              </w:rPr>
              <w:fldChar w:fldCharType="begin"/>
            </w:r>
            <w:r w:rsidR="0018542D" w:rsidRPr="0018542D">
              <w:rPr>
                <w:webHidden/>
              </w:rPr>
              <w:instrText xml:space="preserve"> PAGEREF _Toc136287525 \h </w:instrText>
            </w:r>
            <w:r w:rsidR="0018542D" w:rsidRPr="0018542D">
              <w:rPr>
                <w:webHidden/>
              </w:rPr>
            </w:r>
            <w:r w:rsidR="0018542D" w:rsidRPr="0018542D">
              <w:rPr>
                <w:webHidden/>
              </w:rPr>
              <w:fldChar w:fldCharType="separate"/>
            </w:r>
            <w:r w:rsidR="009378A1">
              <w:rPr>
                <w:webHidden/>
              </w:rPr>
              <w:t>10</w:t>
            </w:r>
            <w:r w:rsidR="0018542D" w:rsidRPr="0018542D">
              <w:rPr>
                <w:webHidden/>
              </w:rPr>
              <w:fldChar w:fldCharType="end"/>
            </w:r>
          </w:hyperlink>
        </w:p>
        <w:p w14:paraId="6A623010" w14:textId="20E4E563" w:rsidR="0018542D" w:rsidRDefault="00000000" w:rsidP="0018542D">
          <w:pPr>
            <w:pStyle w:val="Kazalovsebine1"/>
            <w:tabs>
              <w:tab w:val="left" w:pos="400"/>
              <w:tab w:val="right" w:leader="dot" w:pos="9040"/>
            </w:tabs>
            <w:spacing w:line="276" w:lineRule="auto"/>
            <w:rPr>
              <w:rFonts w:asciiTheme="minorHAnsi" w:eastAsiaTheme="minorEastAsia" w:hAnsiTheme="minorHAnsi"/>
              <w:noProof/>
              <w:kern w:val="2"/>
              <w:sz w:val="22"/>
              <w:szCs w:val="22"/>
              <w14:ligatures w14:val="standardContextual"/>
            </w:rPr>
          </w:pPr>
          <w:hyperlink w:anchor="_Toc136287526" w:history="1">
            <w:r w:rsidR="0018542D" w:rsidRPr="00EE3A18">
              <w:rPr>
                <w:rStyle w:val="Hiperpovezava"/>
                <w:noProof/>
                <w:lang w:val="sl-SI"/>
              </w:rPr>
              <w:t>2</w:t>
            </w:r>
            <w:r w:rsidR="0018542D">
              <w:rPr>
                <w:rFonts w:asciiTheme="minorHAnsi" w:eastAsiaTheme="minorEastAsia" w:hAnsiTheme="minorHAnsi"/>
                <w:noProof/>
                <w:kern w:val="2"/>
                <w:sz w:val="22"/>
                <w:szCs w:val="22"/>
                <w14:ligatures w14:val="standardContextual"/>
              </w:rPr>
              <w:tab/>
            </w:r>
            <w:r w:rsidR="0018542D" w:rsidRPr="00EE3A18">
              <w:rPr>
                <w:rStyle w:val="Hiperpovezava"/>
                <w:noProof/>
                <w:lang w:val="sl-SI"/>
              </w:rPr>
              <w:t>Pregled intervencijske logike</w:t>
            </w:r>
            <w:r w:rsidR="0018542D">
              <w:rPr>
                <w:noProof/>
                <w:webHidden/>
              </w:rPr>
              <w:tab/>
            </w:r>
            <w:r w:rsidR="0018542D">
              <w:rPr>
                <w:noProof/>
                <w:webHidden/>
              </w:rPr>
              <w:fldChar w:fldCharType="begin"/>
            </w:r>
            <w:r w:rsidR="0018542D">
              <w:rPr>
                <w:noProof/>
                <w:webHidden/>
              </w:rPr>
              <w:instrText xml:space="preserve"> PAGEREF _Toc136287526 \h </w:instrText>
            </w:r>
            <w:r w:rsidR="0018542D">
              <w:rPr>
                <w:noProof/>
                <w:webHidden/>
              </w:rPr>
            </w:r>
            <w:r w:rsidR="0018542D">
              <w:rPr>
                <w:noProof/>
                <w:webHidden/>
              </w:rPr>
              <w:fldChar w:fldCharType="separate"/>
            </w:r>
            <w:r w:rsidR="009378A1">
              <w:rPr>
                <w:noProof/>
                <w:webHidden/>
              </w:rPr>
              <w:t>10</w:t>
            </w:r>
            <w:r w:rsidR="0018542D">
              <w:rPr>
                <w:noProof/>
                <w:webHidden/>
              </w:rPr>
              <w:fldChar w:fldCharType="end"/>
            </w:r>
          </w:hyperlink>
        </w:p>
        <w:p w14:paraId="53DAD5B7" w14:textId="36688AA6" w:rsidR="0018542D" w:rsidRPr="0018542D" w:rsidRDefault="00000000" w:rsidP="0018542D">
          <w:pPr>
            <w:pStyle w:val="Kazalovsebine2"/>
            <w:spacing w:line="276" w:lineRule="auto"/>
            <w:rPr>
              <w:rFonts w:asciiTheme="minorHAnsi" w:eastAsiaTheme="minorEastAsia" w:hAnsiTheme="minorHAnsi"/>
              <w:kern w:val="2"/>
              <w:sz w:val="20"/>
              <w:szCs w:val="20"/>
              <w14:ligatures w14:val="standardContextual"/>
            </w:rPr>
          </w:pPr>
          <w:hyperlink w:anchor="_Toc136287527" w:history="1">
            <w:r w:rsidR="0018542D" w:rsidRPr="0018542D">
              <w:rPr>
                <w:rStyle w:val="Hiperpovezava"/>
              </w:rPr>
              <w:t>2.1</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Pregled ciljev intervencijske logike</w:t>
            </w:r>
            <w:r w:rsidR="0018542D" w:rsidRPr="0018542D">
              <w:rPr>
                <w:webHidden/>
              </w:rPr>
              <w:tab/>
            </w:r>
            <w:r w:rsidR="0018542D" w:rsidRPr="0018542D">
              <w:rPr>
                <w:webHidden/>
              </w:rPr>
              <w:fldChar w:fldCharType="begin"/>
            </w:r>
            <w:r w:rsidR="0018542D" w:rsidRPr="0018542D">
              <w:rPr>
                <w:webHidden/>
              </w:rPr>
              <w:instrText xml:space="preserve"> PAGEREF _Toc136287527 \h </w:instrText>
            </w:r>
            <w:r w:rsidR="0018542D" w:rsidRPr="0018542D">
              <w:rPr>
                <w:webHidden/>
              </w:rPr>
            </w:r>
            <w:r w:rsidR="0018542D" w:rsidRPr="0018542D">
              <w:rPr>
                <w:webHidden/>
              </w:rPr>
              <w:fldChar w:fldCharType="separate"/>
            </w:r>
            <w:r w:rsidR="009378A1">
              <w:rPr>
                <w:webHidden/>
              </w:rPr>
              <w:t>11</w:t>
            </w:r>
            <w:r w:rsidR="0018542D" w:rsidRPr="0018542D">
              <w:rPr>
                <w:webHidden/>
              </w:rPr>
              <w:fldChar w:fldCharType="end"/>
            </w:r>
          </w:hyperlink>
        </w:p>
        <w:p w14:paraId="0D45A9A5" w14:textId="73BC6D00" w:rsidR="0018542D" w:rsidRDefault="00000000" w:rsidP="0018542D">
          <w:pPr>
            <w:pStyle w:val="Kazalovsebine1"/>
            <w:tabs>
              <w:tab w:val="left" w:pos="400"/>
              <w:tab w:val="right" w:leader="dot" w:pos="9040"/>
            </w:tabs>
            <w:spacing w:line="276" w:lineRule="auto"/>
            <w:rPr>
              <w:rFonts w:asciiTheme="minorHAnsi" w:eastAsiaTheme="minorEastAsia" w:hAnsiTheme="minorHAnsi"/>
              <w:noProof/>
              <w:kern w:val="2"/>
              <w:sz w:val="22"/>
              <w:szCs w:val="22"/>
              <w14:ligatures w14:val="standardContextual"/>
            </w:rPr>
          </w:pPr>
          <w:hyperlink w:anchor="_Toc136287528" w:history="1">
            <w:r w:rsidR="0018542D" w:rsidRPr="00EE3A18">
              <w:rPr>
                <w:rStyle w:val="Hiperpovezava"/>
                <w:noProof/>
                <w:lang w:val="sl-SI"/>
              </w:rPr>
              <w:t>3</w:t>
            </w:r>
            <w:r w:rsidR="0018542D">
              <w:rPr>
                <w:rFonts w:asciiTheme="minorHAnsi" w:eastAsiaTheme="minorEastAsia" w:hAnsiTheme="minorHAnsi"/>
                <w:noProof/>
                <w:kern w:val="2"/>
                <w:sz w:val="22"/>
                <w:szCs w:val="22"/>
                <w14:ligatures w14:val="standardContextual"/>
              </w:rPr>
              <w:tab/>
            </w:r>
            <w:r w:rsidR="0018542D" w:rsidRPr="00EE3A18">
              <w:rPr>
                <w:rStyle w:val="Hiperpovezava"/>
                <w:noProof/>
                <w:lang w:val="sl-SI"/>
              </w:rPr>
              <w:t>Metodologija in pristop k vrednotenju</w:t>
            </w:r>
            <w:r w:rsidR="0018542D">
              <w:rPr>
                <w:noProof/>
                <w:webHidden/>
              </w:rPr>
              <w:tab/>
            </w:r>
            <w:r w:rsidR="0018542D">
              <w:rPr>
                <w:noProof/>
                <w:webHidden/>
              </w:rPr>
              <w:fldChar w:fldCharType="begin"/>
            </w:r>
            <w:r w:rsidR="0018542D">
              <w:rPr>
                <w:noProof/>
                <w:webHidden/>
              </w:rPr>
              <w:instrText xml:space="preserve"> PAGEREF _Toc136287528 \h </w:instrText>
            </w:r>
            <w:r w:rsidR="0018542D">
              <w:rPr>
                <w:noProof/>
                <w:webHidden/>
              </w:rPr>
            </w:r>
            <w:r w:rsidR="0018542D">
              <w:rPr>
                <w:noProof/>
                <w:webHidden/>
              </w:rPr>
              <w:fldChar w:fldCharType="separate"/>
            </w:r>
            <w:r w:rsidR="009378A1">
              <w:rPr>
                <w:noProof/>
                <w:webHidden/>
              </w:rPr>
              <w:t>15</w:t>
            </w:r>
            <w:r w:rsidR="0018542D">
              <w:rPr>
                <w:noProof/>
                <w:webHidden/>
              </w:rPr>
              <w:fldChar w:fldCharType="end"/>
            </w:r>
          </w:hyperlink>
        </w:p>
        <w:p w14:paraId="4489E274" w14:textId="341ACEDD" w:rsidR="0018542D" w:rsidRDefault="00000000" w:rsidP="0018542D">
          <w:pPr>
            <w:pStyle w:val="Kazalovsebine1"/>
            <w:tabs>
              <w:tab w:val="left" w:pos="400"/>
              <w:tab w:val="right" w:leader="dot" w:pos="9040"/>
            </w:tabs>
            <w:spacing w:line="276" w:lineRule="auto"/>
            <w:rPr>
              <w:rFonts w:asciiTheme="minorHAnsi" w:eastAsiaTheme="minorEastAsia" w:hAnsiTheme="minorHAnsi"/>
              <w:noProof/>
              <w:kern w:val="2"/>
              <w:sz w:val="22"/>
              <w:szCs w:val="22"/>
              <w14:ligatures w14:val="standardContextual"/>
            </w:rPr>
          </w:pPr>
          <w:hyperlink w:anchor="_Toc136287529" w:history="1">
            <w:r w:rsidR="0018542D" w:rsidRPr="00EE3A18">
              <w:rPr>
                <w:rStyle w:val="Hiperpovezava"/>
                <w:noProof/>
                <w:lang w:val="sl-SI"/>
              </w:rPr>
              <w:t>4</w:t>
            </w:r>
            <w:r w:rsidR="0018542D">
              <w:rPr>
                <w:rFonts w:asciiTheme="minorHAnsi" w:eastAsiaTheme="minorEastAsia" w:hAnsiTheme="minorHAnsi"/>
                <w:noProof/>
                <w:kern w:val="2"/>
                <w:sz w:val="22"/>
                <w:szCs w:val="22"/>
                <w14:ligatures w14:val="standardContextual"/>
              </w:rPr>
              <w:tab/>
            </w:r>
            <w:r w:rsidR="0018542D" w:rsidRPr="00EE3A18">
              <w:rPr>
                <w:rStyle w:val="Hiperpovezava"/>
                <w:noProof/>
                <w:lang w:val="sl-SI"/>
              </w:rPr>
              <w:t>Ugotovitve vrednotenja</w:t>
            </w:r>
            <w:r w:rsidR="0018542D">
              <w:rPr>
                <w:noProof/>
                <w:webHidden/>
              </w:rPr>
              <w:tab/>
            </w:r>
            <w:r w:rsidR="0018542D">
              <w:rPr>
                <w:noProof/>
                <w:webHidden/>
              </w:rPr>
              <w:fldChar w:fldCharType="begin"/>
            </w:r>
            <w:r w:rsidR="0018542D">
              <w:rPr>
                <w:noProof/>
                <w:webHidden/>
              </w:rPr>
              <w:instrText xml:space="preserve"> PAGEREF _Toc136287529 \h </w:instrText>
            </w:r>
            <w:r w:rsidR="0018542D">
              <w:rPr>
                <w:noProof/>
                <w:webHidden/>
              </w:rPr>
            </w:r>
            <w:r w:rsidR="0018542D">
              <w:rPr>
                <w:noProof/>
                <w:webHidden/>
              </w:rPr>
              <w:fldChar w:fldCharType="separate"/>
            </w:r>
            <w:r w:rsidR="009378A1">
              <w:rPr>
                <w:noProof/>
                <w:webHidden/>
              </w:rPr>
              <w:t>16</w:t>
            </w:r>
            <w:r w:rsidR="0018542D">
              <w:rPr>
                <w:noProof/>
                <w:webHidden/>
              </w:rPr>
              <w:fldChar w:fldCharType="end"/>
            </w:r>
          </w:hyperlink>
        </w:p>
        <w:p w14:paraId="78C148DD" w14:textId="140C5E86" w:rsidR="0018542D" w:rsidRPr="0018542D" w:rsidRDefault="00000000" w:rsidP="0018542D">
          <w:pPr>
            <w:pStyle w:val="Kazalovsebine2"/>
            <w:tabs>
              <w:tab w:val="clear" w:pos="880"/>
            </w:tabs>
            <w:spacing w:line="276" w:lineRule="auto"/>
            <w:ind w:left="851" w:hanging="651"/>
            <w:rPr>
              <w:rFonts w:asciiTheme="minorHAnsi" w:eastAsiaTheme="minorEastAsia" w:hAnsiTheme="minorHAnsi"/>
              <w:kern w:val="2"/>
              <w:sz w:val="20"/>
              <w:szCs w:val="20"/>
              <w14:ligatures w14:val="standardContextual"/>
            </w:rPr>
          </w:pPr>
          <w:hyperlink w:anchor="_Toc136287530" w:history="1">
            <w:r w:rsidR="0018542D" w:rsidRPr="0018542D">
              <w:rPr>
                <w:rStyle w:val="Hiperpovezava"/>
              </w:rPr>
              <w:t>4.1</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Kakšna je uspešnost in učinkovitost na ravni javnih razpisov kot celote (tudi v povezavi z ustreznostjo pripravljenosti razpisne dokumentacije in na ravni izbranih operacij - raven in kakovost doseganja rezultatov)?</w:t>
            </w:r>
            <w:r w:rsidR="0018542D" w:rsidRPr="0018542D">
              <w:rPr>
                <w:webHidden/>
              </w:rPr>
              <w:tab/>
            </w:r>
            <w:r w:rsidR="0018542D" w:rsidRPr="0018542D">
              <w:rPr>
                <w:webHidden/>
              </w:rPr>
              <w:fldChar w:fldCharType="begin"/>
            </w:r>
            <w:r w:rsidR="0018542D" w:rsidRPr="0018542D">
              <w:rPr>
                <w:webHidden/>
              </w:rPr>
              <w:instrText xml:space="preserve"> PAGEREF _Toc136287530 \h </w:instrText>
            </w:r>
            <w:r w:rsidR="0018542D" w:rsidRPr="0018542D">
              <w:rPr>
                <w:webHidden/>
              </w:rPr>
            </w:r>
            <w:r w:rsidR="0018542D" w:rsidRPr="0018542D">
              <w:rPr>
                <w:webHidden/>
              </w:rPr>
              <w:fldChar w:fldCharType="separate"/>
            </w:r>
            <w:r w:rsidR="009378A1">
              <w:rPr>
                <w:webHidden/>
              </w:rPr>
              <w:t>16</w:t>
            </w:r>
            <w:r w:rsidR="0018542D" w:rsidRPr="0018542D">
              <w:rPr>
                <w:webHidden/>
              </w:rPr>
              <w:fldChar w:fldCharType="end"/>
            </w:r>
          </w:hyperlink>
        </w:p>
        <w:p w14:paraId="0D3DFB29" w14:textId="3055B6A4" w:rsidR="0018542D" w:rsidRPr="0018542D" w:rsidRDefault="00000000" w:rsidP="0018542D">
          <w:pPr>
            <w:pStyle w:val="Kazalovsebine2"/>
            <w:tabs>
              <w:tab w:val="clear" w:pos="880"/>
            </w:tabs>
            <w:spacing w:line="276" w:lineRule="auto"/>
            <w:ind w:left="851" w:hanging="651"/>
            <w:rPr>
              <w:rFonts w:asciiTheme="minorHAnsi" w:eastAsiaTheme="minorEastAsia" w:hAnsiTheme="minorHAnsi"/>
              <w:kern w:val="2"/>
              <w:sz w:val="20"/>
              <w:szCs w:val="20"/>
              <w14:ligatures w14:val="standardContextual"/>
            </w:rPr>
          </w:pPr>
          <w:hyperlink w:anchor="_Toc136287532" w:history="1">
            <w:r w:rsidR="0018542D" w:rsidRPr="0018542D">
              <w:rPr>
                <w:rStyle w:val="Hiperpovezava"/>
              </w:rPr>
              <w:t>4.2</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Ali so spremembe v javnih razpisih za sofinanciranje energetske prenove stavb v lasti in rabi občin glede na »prejšnje« javne razpise z ozirom na vsa navodila MZI za izvajanje operacij energetske prenove javnih stavb ustrezne?</w:t>
            </w:r>
            <w:r w:rsidR="0018542D" w:rsidRPr="0018542D">
              <w:rPr>
                <w:webHidden/>
              </w:rPr>
              <w:tab/>
            </w:r>
            <w:r w:rsidR="0018542D" w:rsidRPr="0018542D">
              <w:rPr>
                <w:webHidden/>
              </w:rPr>
              <w:fldChar w:fldCharType="begin"/>
            </w:r>
            <w:r w:rsidR="0018542D" w:rsidRPr="0018542D">
              <w:rPr>
                <w:webHidden/>
              </w:rPr>
              <w:instrText xml:space="preserve"> PAGEREF _Toc136287532 \h </w:instrText>
            </w:r>
            <w:r w:rsidR="0018542D" w:rsidRPr="0018542D">
              <w:rPr>
                <w:webHidden/>
              </w:rPr>
            </w:r>
            <w:r w:rsidR="0018542D" w:rsidRPr="0018542D">
              <w:rPr>
                <w:webHidden/>
              </w:rPr>
              <w:fldChar w:fldCharType="separate"/>
            </w:r>
            <w:r w:rsidR="009378A1">
              <w:rPr>
                <w:webHidden/>
              </w:rPr>
              <w:t>19</w:t>
            </w:r>
            <w:r w:rsidR="0018542D" w:rsidRPr="0018542D">
              <w:rPr>
                <w:webHidden/>
              </w:rPr>
              <w:fldChar w:fldCharType="end"/>
            </w:r>
          </w:hyperlink>
        </w:p>
        <w:p w14:paraId="1DD90DE4" w14:textId="0EC53E13" w:rsidR="0018542D" w:rsidRPr="0018542D" w:rsidRDefault="00000000" w:rsidP="0018542D">
          <w:pPr>
            <w:pStyle w:val="Kazalovsebine2"/>
            <w:tabs>
              <w:tab w:val="clear" w:pos="880"/>
            </w:tabs>
            <w:spacing w:line="276" w:lineRule="auto"/>
            <w:ind w:left="851" w:hanging="651"/>
            <w:rPr>
              <w:rFonts w:asciiTheme="minorHAnsi" w:eastAsiaTheme="minorEastAsia" w:hAnsiTheme="minorHAnsi"/>
              <w:kern w:val="2"/>
              <w:sz w:val="20"/>
              <w:szCs w:val="20"/>
              <w14:ligatures w14:val="standardContextual"/>
            </w:rPr>
          </w:pPr>
          <w:hyperlink w:anchor="_Toc136287533" w:history="1">
            <w:r w:rsidR="0018542D" w:rsidRPr="0018542D">
              <w:rPr>
                <w:rStyle w:val="Hiperpovezava"/>
              </w:rPr>
              <w:t>4.3</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Ali so spremembe v povabilih nosilnega posredniškega organa v obdobju 2016 do decembra 2021 z ozirom na vsa navodila MZI za izvajanje operacij energetske prenove javnih stavb ustrezne?</w:t>
            </w:r>
            <w:r w:rsidR="0018542D" w:rsidRPr="0018542D">
              <w:rPr>
                <w:webHidden/>
              </w:rPr>
              <w:tab/>
            </w:r>
            <w:r w:rsidR="0018542D" w:rsidRPr="0018542D">
              <w:rPr>
                <w:webHidden/>
              </w:rPr>
              <w:fldChar w:fldCharType="begin"/>
            </w:r>
            <w:r w:rsidR="0018542D" w:rsidRPr="0018542D">
              <w:rPr>
                <w:webHidden/>
              </w:rPr>
              <w:instrText xml:space="preserve"> PAGEREF _Toc136287533 \h </w:instrText>
            </w:r>
            <w:r w:rsidR="0018542D" w:rsidRPr="0018542D">
              <w:rPr>
                <w:webHidden/>
              </w:rPr>
            </w:r>
            <w:r w:rsidR="0018542D" w:rsidRPr="0018542D">
              <w:rPr>
                <w:webHidden/>
              </w:rPr>
              <w:fldChar w:fldCharType="separate"/>
            </w:r>
            <w:r w:rsidR="009378A1">
              <w:rPr>
                <w:webHidden/>
              </w:rPr>
              <w:t>19</w:t>
            </w:r>
            <w:r w:rsidR="0018542D" w:rsidRPr="0018542D">
              <w:rPr>
                <w:webHidden/>
              </w:rPr>
              <w:fldChar w:fldCharType="end"/>
            </w:r>
          </w:hyperlink>
        </w:p>
        <w:p w14:paraId="04B5A3F5" w14:textId="307EA2CC" w:rsidR="0018542D" w:rsidRPr="0018542D" w:rsidRDefault="00000000" w:rsidP="0018542D">
          <w:pPr>
            <w:pStyle w:val="Kazalovsebine2"/>
            <w:tabs>
              <w:tab w:val="clear" w:pos="880"/>
            </w:tabs>
            <w:spacing w:line="276" w:lineRule="auto"/>
            <w:ind w:left="851" w:hanging="651"/>
            <w:rPr>
              <w:rFonts w:asciiTheme="minorHAnsi" w:eastAsiaTheme="minorEastAsia" w:hAnsiTheme="minorHAnsi"/>
              <w:kern w:val="2"/>
              <w:sz w:val="20"/>
              <w:szCs w:val="20"/>
              <w14:ligatures w14:val="standardContextual"/>
            </w:rPr>
          </w:pPr>
          <w:hyperlink w:anchor="_Toc136287583" w:history="1">
            <w:r w:rsidR="0018542D" w:rsidRPr="0018542D">
              <w:rPr>
                <w:rStyle w:val="Hiperpovezava"/>
              </w:rPr>
              <w:t>4.4</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Kakšen je širši (spodbujevalni) vpliv na upravičence A in B?</w:t>
            </w:r>
            <w:r w:rsidR="0018542D" w:rsidRPr="0018542D">
              <w:rPr>
                <w:webHidden/>
              </w:rPr>
              <w:tab/>
            </w:r>
            <w:r w:rsidR="0018542D" w:rsidRPr="0018542D">
              <w:rPr>
                <w:webHidden/>
              </w:rPr>
              <w:fldChar w:fldCharType="begin"/>
            </w:r>
            <w:r w:rsidR="0018542D" w:rsidRPr="0018542D">
              <w:rPr>
                <w:webHidden/>
              </w:rPr>
              <w:instrText xml:space="preserve"> PAGEREF _Toc136287583 \h </w:instrText>
            </w:r>
            <w:r w:rsidR="0018542D" w:rsidRPr="0018542D">
              <w:rPr>
                <w:webHidden/>
              </w:rPr>
            </w:r>
            <w:r w:rsidR="0018542D" w:rsidRPr="0018542D">
              <w:rPr>
                <w:webHidden/>
              </w:rPr>
              <w:fldChar w:fldCharType="separate"/>
            </w:r>
            <w:r w:rsidR="009378A1">
              <w:rPr>
                <w:webHidden/>
              </w:rPr>
              <w:t>25</w:t>
            </w:r>
            <w:r w:rsidR="0018542D" w:rsidRPr="0018542D">
              <w:rPr>
                <w:webHidden/>
              </w:rPr>
              <w:fldChar w:fldCharType="end"/>
            </w:r>
          </w:hyperlink>
        </w:p>
        <w:p w14:paraId="0F8ABF10" w14:textId="0AE283E9" w:rsidR="0018542D" w:rsidRPr="0018542D" w:rsidRDefault="00000000" w:rsidP="0018542D">
          <w:pPr>
            <w:pStyle w:val="Kazalovsebine2"/>
            <w:tabs>
              <w:tab w:val="clear" w:pos="880"/>
            </w:tabs>
            <w:spacing w:line="276" w:lineRule="auto"/>
            <w:ind w:left="851" w:hanging="651"/>
            <w:rPr>
              <w:rFonts w:asciiTheme="minorHAnsi" w:eastAsiaTheme="minorEastAsia" w:hAnsiTheme="minorHAnsi"/>
              <w:kern w:val="2"/>
              <w:sz w:val="20"/>
              <w:szCs w:val="20"/>
              <w14:ligatures w14:val="standardContextual"/>
            </w:rPr>
          </w:pPr>
          <w:hyperlink w:anchor="_Toc136287587" w:history="1">
            <w:r w:rsidR="0018542D" w:rsidRPr="0018542D">
              <w:rPr>
                <w:rStyle w:val="Hiperpovezava"/>
              </w:rPr>
              <w:t>4.5</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Kakšna je učinkovitost izvajanja operacij in razlogi zaradi katerih prihaja do odstopanj (časovni okvir, mehanizmi spremljanja, učinkovita raba virov) za A in B?</w:t>
            </w:r>
            <w:r w:rsidR="0018542D" w:rsidRPr="0018542D">
              <w:rPr>
                <w:webHidden/>
              </w:rPr>
              <w:tab/>
            </w:r>
            <w:r w:rsidR="0018542D" w:rsidRPr="0018542D">
              <w:rPr>
                <w:webHidden/>
              </w:rPr>
              <w:fldChar w:fldCharType="begin"/>
            </w:r>
            <w:r w:rsidR="0018542D" w:rsidRPr="0018542D">
              <w:rPr>
                <w:webHidden/>
              </w:rPr>
              <w:instrText xml:space="preserve"> PAGEREF _Toc136287587 \h </w:instrText>
            </w:r>
            <w:r w:rsidR="0018542D" w:rsidRPr="0018542D">
              <w:rPr>
                <w:webHidden/>
              </w:rPr>
            </w:r>
            <w:r w:rsidR="0018542D" w:rsidRPr="0018542D">
              <w:rPr>
                <w:webHidden/>
              </w:rPr>
              <w:fldChar w:fldCharType="separate"/>
            </w:r>
            <w:r w:rsidR="009378A1">
              <w:rPr>
                <w:webHidden/>
              </w:rPr>
              <w:t>27</w:t>
            </w:r>
            <w:r w:rsidR="0018542D" w:rsidRPr="0018542D">
              <w:rPr>
                <w:webHidden/>
              </w:rPr>
              <w:fldChar w:fldCharType="end"/>
            </w:r>
          </w:hyperlink>
        </w:p>
        <w:p w14:paraId="71740EBC" w14:textId="32163BA4" w:rsidR="0018542D" w:rsidRPr="0018542D" w:rsidRDefault="00000000" w:rsidP="0018542D">
          <w:pPr>
            <w:pStyle w:val="Kazalovsebine2"/>
            <w:tabs>
              <w:tab w:val="clear" w:pos="880"/>
            </w:tabs>
            <w:spacing w:line="276" w:lineRule="auto"/>
            <w:ind w:left="851" w:hanging="651"/>
            <w:rPr>
              <w:rFonts w:asciiTheme="minorHAnsi" w:eastAsiaTheme="minorEastAsia" w:hAnsiTheme="minorHAnsi"/>
              <w:kern w:val="2"/>
              <w:sz w:val="20"/>
              <w:szCs w:val="20"/>
              <w14:ligatures w14:val="standardContextual"/>
            </w:rPr>
          </w:pPr>
          <w:hyperlink w:anchor="_Toc136287592" w:history="1">
            <w:r w:rsidR="0018542D" w:rsidRPr="0018542D">
              <w:rPr>
                <w:rStyle w:val="Hiperpovezava"/>
              </w:rPr>
              <w:t>4.6</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Kako se je uveljavilo javno-zasebno partnerstvo po principu energetskega pogodbeništva: kakšen je delež operacij izvedenih v skladu z ZJZP v obdobju 2016 do 2019 in kakšni so razlogi za (ne)izvedbo operacij kot javno-zasebno partnerstvo po principu energetskega pogodbeništva za A in B?</w:t>
            </w:r>
            <w:r w:rsidR="0018542D" w:rsidRPr="0018542D">
              <w:rPr>
                <w:webHidden/>
              </w:rPr>
              <w:tab/>
            </w:r>
            <w:r w:rsidR="0018542D" w:rsidRPr="0018542D">
              <w:rPr>
                <w:webHidden/>
              </w:rPr>
              <w:fldChar w:fldCharType="begin"/>
            </w:r>
            <w:r w:rsidR="0018542D" w:rsidRPr="0018542D">
              <w:rPr>
                <w:webHidden/>
              </w:rPr>
              <w:instrText xml:space="preserve"> PAGEREF _Toc136287592 \h </w:instrText>
            </w:r>
            <w:r w:rsidR="0018542D" w:rsidRPr="0018542D">
              <w:rPr>
                <w:webHidden/>
              </w:rPr>
            </w:r>
            <w:r w:rsidR="0018542D" w:rsidRPr="0018542D">
              <w:rPr>
                <w:webHidden/>
              </w:rPr>
              <w:fldChar w:fldCharType="separate"/>
            </w:r>
            <w:r w:rsidR="009378A1">
              <w:rPr>
                <w:webHidden/>
              </w:rPr>
              <w:t>29</w:t>
            </w:r>
            <w:r w:rsidR="0018542D" w:rsidRPr="0018542D">
              <w:rPr>
                <w:webHidden/>
              </w:rPr>
              <w:fldChar w:fldCharType="end"/>
            </w:r>
          </w:hyperlink>
        </w:p>
        <w:p w14:paraId="53B283D8" w14:textId="7425C956" w:rsidR="0018542D" w:rsidRPr="0018542D" w:rsidRDefault="00000000" w:rsidP="0018542D">
          <w:pPr>
            <w:pStyle w:val="Kazalovsebine2"/>
            <w:tabs>
              <w:tab w:val="clear" w:pos="880"/>
            </w:tabs>
            <w:spacing w:line="276" w:lineRule="auto"/>
            <w:ind w:left="851" w:hanging="651"/>
            <w:rPr>
              <w:rFonts w:asciiTheme="minorHAnsi" w:eastAsiaTheme="minorEastAsia" w:hAnsiTheme="minorHAnsi"/>
              <w:kern w:val="2"/>
              <w:sz w:val="20"/>
              <w:szCs w:val="20"/>
              <w14:ligatures w14:val="standardContextual"/>
            </w:rPr>
          </w:pPr>
          <w:hyperlink w:anchor="_Toc136287597" w:history="1">
            <w:r w:rsidR="0018542D" w:rsidRPr="0018542D">
              <w:rPr>
                <w:rStyle w:val="Hiperpovezava"/>
              </w:rPr>
              <w:t>4.7</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Kakšna je pričakovana trajnost doseženih rezultatov izbranih operacij za A in B?</w:t>
            </w:r>
            <w:r w:rsidR="0018542D" w:rsidRPr="0018542D">
              <w:rPr>
                <w:webHidden/>
              </w:rPr>
              <w:tab/>
            </w:r>
            <w:r w:rsidR="0018542D" w:rsidRPr="0018542D">
              <w:rPr>
                <w:webHidden/>
              </w:rPr>
              <w:fldChar w:fldCharType="begin"/>
            </w:r>
            <w:r w:rsidR="0018542D" w:rsidRPr="0018542D">
              <w:rPr>
                <w:webHidden/>
              </w:rPr>
              <w:instrText xml:space="preserve"> PAGEREF _Toc136287597 \h </w:instrText>
            </w:r>
            <w:r w:rsidR="0018542D" w:rsidRPr="0018542D">
              <w:rPr>
                <w:webHidden/>
              </w:rPr>
            </w:r>
            <w:r w:rsidR="0018542D" w:rsidRPr="0018542D">
              <w:rPr>
                <w:webHidden/>
              </w:rPr>
              <w:fldChar w:fldCharType="separate"/>
            </w:r>
            <w:r w:rsidR="009378A1">
              <w:rPr>
                <w:webHidden/>
              </w:rPr>
              <w:t>30</w:t>
            </w:r>
            <w:r w:rsidR="0018542D" w:rsidRPr="0018542D">
              <w:rPr>
                <w:webHidden/>
              </w:rPr>
              <w:fldChar w:fldCharType="end"/>
            </w:r>
          </w:hyperlink>
        </w:p>
        <w:p w14:paraId="2BF5EDAB" w14:textId="64D9DB7C" w:rsidR="0018542D" w:rsidRPr="0018542D" w:rsidRDefault="00000000" w:rsidP="0018542D">
          <w:pPr>
            <w:pStyle w:val="Kazalovsebine2"/>
            <w:tabs>
              <w:tab w:val="clear" w:pos="880"/>
            </w:tabs>
            <w:spacing w:line="276" w:lineRule="auto"/>
            <w:ind w:left="851" w:hanging="651"/>
            <w:rPr>
              <w:rFonts w:asciiTheme="minorHAnsi" w:eastAsiaTheme="minorEastAsia" w:hAnsiTheme="minorHAnsi"/>
              <w:kern w:val="2"/>
              <w:sz w:val="20"/>
              <w:szCs w:val="20"/>
              <w14:ligatures w14:val="standardContextual"/>
            </w:rPr>
          </w:pPr>
          <w:hyperlink w:anchor="_Toc136287602" w:history="1">
            <w:r w:rsidR="0018542D" w:rsidRPr="0018542D">
              <w:rPr>
                <w:rStyle w:val="Hiperpovezava"/>
              </w:rPr>
              <w:t>4.8</w:t>
            </w:r>
            <w:r w:rsidR="0018542D" w:rsidRPr="0018542D">
              <w:rPr>
                <w:rFonts w:asciiTheme="minorHAnsi" w:eastAsiaTheme="minorEastAsia" w:hAnsiTheme="minorHAnsi"/>
                <w:kern w:val="2"/>
                <w:sz w:val="20"/>
                <w:szCs w:val="20"/>
                <w14:ligatures w14:val="standardContextual"/>
              </w:rPr>
              <w:tab/>
            </w:r>
            <w:r w:rsidR="0018542D" w:rsidRPr="0018542D">
              <w:rPr>
                <w:rStyle w:val="Hiperpovezava"/>
              </w:rPr>
              <w:t>Kateri so primeri dobrih praks in koristne pridobljene izkušnje za A in B?</w:t>
            </w:r>
            <w:r w:rsidR="0018542D" w:rsidRPr="0018542D">
              <w:rPr>
                <w:webHidden/>
              </w:rPr>
              <w:tab/>
            </w:r>
            <w:r w:rsidR="0018542D" w:rsidRPr="0018542D">
              <w:rPr>
                <w:webHidden/>
              </w:rPr>
              <w:fldChar w:fldCharType="begin"/>
            </w:r>
            <w:r w:rsidR="0018542D" w:rsidRPr="0018542D">
              <w:rPr>
                <w:webHidden/>
              </w:rPr>
              <w:instrText xml:space="preserve"> PAGEREF _Toc136287602 \h </w:instrText>
            </w:r>
            <w:r w:rsidR="0018542D" w:rsidRPr="0018542D">
              <w:rPr>
                <w:webHidden/>
              </w:rPr>
            </w:r>
            <w:r w:rsidR="0018542D" w:rsidRPr="0018542D">
              <w:rPr>
                <w:webHidden/>
              </w:rPr>
              <w:fldChar w:fldCharType="separate"/>
            </w:r>
            <w:r w:rsidR="009378A1">
              <w:rPr>
                <w:webHidden/>
              </w:rPr>
              <w:t>31</w:t>
            </w:r>
            <w:r w:rsidR="0018542D" w:rsidRPr="0018542D">
              <w:rPr>
                <w:webHidden/>
              </w:rPr>
              <w:fldChar w:fldCharType="end"/>
            </w:r>
          </w:hyperlink>
        </w:p>
        <w:p w14:paraId="010535D8" w14:textId="657BF9AD" w:rsidR="0018542D" w:rsidRPr="0018542D" w:rsidRDefault="00000000" w:rsidP="0018542D">
          <w:pPr>
            <w:pStyle w:val="Kazalovsebine1"/>
            <w:tabs>
              <w:tab w:val="left" w:pos="400"/>
              <w:tab w:val="right" w:leader="dot" w:pos="9040"/>
            </w:tabs>
            <w:spacing w:line="276" w:lineRule="auto"/>
            <w:rPr>
              <w:rFonts w:asciiTheme="minorHAnsi" w:eastAsiaTheme="minorEastAsia" w:hAnsiTheme="minorHAnsi"/>
              <w:noProof/>
              <w:kern w:val="2"/>
              <w:sz w:val="22"/>
              <w:szCs w:val="22"/>
              <w14:ligatures w14:val="standardContextual"/>
            </w:rPr>
          </w:pPr>
          <w:hyperlink w:anchor="_Toc136287607" w:history="1">
            <w:r w:rsidR="0018542D" w:rsidRPr="0018542D">
              <w:rPr>
                <w:rStyle w:val="Hiperpovezava"/>
                <w:noProof/>
                <w:lang w:val="sl-SI"/>
              </w:rPr>
              <w:t>5</w:t>
            </w:r>
            <w:r w:rsidR="0018542D" w:rsidRPr="0018542D">
              <w:rPr>
                <w:rFonts w:asciiTheme="minorHAnsi" w:eastAsiaTheme="minorEastAsia" w:hAnsiTheme="minorHAnsi"/>
                <w:noProof/>
                <w:kern w:val="2"/>
                <w:sz w:val="22"/>
                <w:szCs w:val="22"/>
                <w14:ligatures w14:val="standardContextual"/>
              </w:rPr>
              <w:tab/>
            </w:r>
            <w:r w:rsidR="0018542D" w:rsidRPr="0018542D">
              <w:rPr>
                <w:rStyle w:val="Hiperpovezava"/>
                <w:noProof/>
                <w:lang w:val="sl-SI"/>
              </w:rPr>
              <w:t>Pregled opravljenih nalog</w:t>
            </w:r>
            <w:r w:rsidR="0018542D" w:rsidRPr="0018542D">
              <w:rPr>
                <w:noProof/>
                <w:webHidden/>
              </w:rPr>
              <w:tab/>
            </w:r>
            <w:r w:rsidR="0018542D" w:rsidRPr="0018542D">
              <w:rPr>
                <w:noProof/>
                <w:webHidden/>
              </w:rPr>
              <w:fldChar w:fldCharType="begin"/>
            </w:r>
            <w:r w:rsidR="0018542D" w:rsidRPr="0018542D">
              <w:rPr>
                <w:noProof/>
                <w:webHidden/>
              </w:rPr>
              <w:instrText xml:space="preserve"> PAGEREF _Toc136287607 \h </w:instrText>
            </w:r>
            <w:r w:rsidR="0018542D" w:rsidRPr="0018542D">
              <w:rPr>
                <w:noProof/>
                <w:webHidden/>
              </w:rPr>
            </w:r>
            <w:r w:rsidR="0018542D" w:rsidRPr="0018542D">
              <w:rPr>
                <w:noProof/>
                <w:webHidden/>
              </w:rPr>
              <w:fldChar w:fldCharType="separate"/>
            </w:r>
            <w:r w:rsidR="009378A1">
              <w:rPr>
                <w:noProof/>
                <w:webHidden/>
              </w:rPr>
              <w:t>34</w:t>
            </w:r>
            <w:r w:rsidR="0018542D" w:rsidRPr="0018542D">
              <w:rPr>
                <w:noProof/>
                <w:webHidden/>
              </w:rPr>
              <w:fldChar w:fldCharType="end"/>
            </w:r>
          </w:hyperlink>
        </w:p>
        <w:p w14:paraId="36741EBA" w14:textId="3FEF4EC0" w:rsidR="009F68FC" w:rsidRDefault="009F68FC" w:rsidP="0018542D">
          <w:pPr>
            <w:spacing w:line="276" w:lineRule="auto"/>
          </w:pPr>
          <w:r w:rsidRPr="009F68FC">
            <w:rPr>
              <w:b/>
              <w:bCs/>
              <w:noProof/>
            </w:rPr>
            <w:fldChar w:fldCharType="end"/>
          </w:r>
        </w:p>
      </w:sdtContent>
    </w:sdt>
    <w:p w14:paraId="0C5E4E0C" w14:textId="6B2CD80C" w:rsidR="00FC2675" w:rsidRPr="00FC2675" w:rsidRDefault="00FC2675" w:rsidP="004F4D37">
      <w:pPr>
        <w:pStyle w:val="NaslovTOC"/>
        <w:rPr>
          <w:lang w:val="sl-SI"/>
        </w:rPr>
      </w:pPr>
    </w:p>
    <w:p w14:paraId="36CAC83A" w14:textId="2D4FD5E6" w:rsidR="00736F2B" w:rsidRPr="0058617C" w:rsidRDefault="00736F2B" w:rsidP="00736F2B">
      <w:pPr>
        <w:pStyle w:val="Naslov1"/>
        <w:numPr>
          <w:ilvl w:val="0"/>
          <w:numId w:val="0"/>
        </w:numPr>
        <w:ind w:left="432" w:hanging="432"/>
        <w:rPr>
          <w:lang w:val="sl-SI"/>
        </w:rPr>
      </w:pPr>
      <w:r w:rsidRPr="0058617C">
        <w:rPr>
          <w:lang w:val="sl-SI"/>
        </w:rPr>
        <w:br w:type="page"/>
      </w:r>
    </w:p>
    <w:p w14:paraId="18272C52" w14:textId="21ADD0ED" w:rsidR="00783018" w:rsidRPr="0058617C" w:rsidRDefault="0083294F" w:rsidP="0077373F">
      <w:pPr>
        <w:pStyle w:val="Naslov1"/>
        <w:numPr>
          <w:ilvl w:val="0"/>
          <w:numId w:val="0"/>
        </w:numPr>
        <w:ind w:left="432" w:hanging="432"/>
        <w:rPr>
          <w:lang w:val="sl-SI"/>
        </w:rPr>
      </w:pPr>
      <w:bookmarkStart w:id="2" w:name="_Toc129003802"/>
      <w:bookmarkStart w:id="3" w:name="_Toc136287521"/>
      <w:r w:rsidRPr="0058617C">
        <w:rPr>
          <w:lang w:val="sl-SI"/>
        </w:rPr>
        <w:lastRenderedPageBreak/>
        <w:t xml:space="preserve">Seznam uporabljenih </w:t>
      </w:r>
      <w:r w:rsidR="008F22B1" w:rsidRPr="0058617C">
        <w:rPr>
          <w:lang w:val="sl-SI"/>
        </w:rPr>
        <w:t>kratic</w:t>
      </w:r>
      <w:bookmarkEnd w:id="2"/>
      <w:bookmarkEnd w:id="3"/>
      <w:r w:rsidR="008F22B1" w:rsidRPr="0058617C">
        <w:rPr>
          <w:lang w:val="sl-SI"/>
        </w:rPr>
        <w:t xml:space="preserve"> </w:t>
      </w:r>
    </w:p>
    <w:tbl>
      <w:tblPr>
        <w:tblW w:w="9026" w:type="dxa"/>
        <w:tblLook w:val="04A0" w:firstRow="1" w:lastRow="0" w:firstColumn="1" w:lastColumn="0" w:noHBand="0" w:noVBand="1"/>
      </w:tblPr>
      <w:tblGrid>
        <w:gridCol w:w="1115"/>
        <w:gridCol w:w="7911"/>
      </w:tblGrid>
      <w:tr w:rsidR="00524C20" w:rsidRPr="0058617C" w14:paraId="7AA7AF14" w14:textId="77777777" w:rsidTr="00524C20">
        <w:trPr>
          <w:trHeight w:val="280"/>
        </w:trPr>
        <w:tc>
          <w:tcPr>
            <w:tcW w:w="1115" w:type="dxa"/>
            <w:noWrap/>
            <w:vAlign w:val="bottom"/>
            <w:hideMark/>
          </w:tcPr>
          <w:p w14:paraId="56526BE7"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EKP</w:t>
            </w:r>
          </w:p>
        </w:tc>
        <w:tc>
          <w:tcPr>
            <w:tcW w:w="7911" w:type="dxa"/>
            <w:noWrap/>
            <w:vAlign w:val="bottom"/>
            <w:hideMark/>
          </w:tcPr>
          <w:p w14:paraId="33024F44" w14:textId="1CDA6E36" w:rsidR="00D5547D" w:rsidRPr="00D5547D" w:rsidRDefault="00524C20">
            <w:pPr>
              <w:spacing w:after="0"/>
              <w:jc w:val="left"/>
              <w:rPr>
                <w:rFonts w:eastAsia="Verdana" w:cs="Verdana"/>
                <w:color w:val="000000"/>
                <w:szCs w:val="18"/>
                <w:lang w:val="sl-SI" w:eastAsia="en-GB"/>
              </w:rPr>
            </w:pPr>
            <w:r w:rsidRPr="0058617C">
              <w:rPr>
                <w:rFonts w:eastAsia="Verdana" w:cs="Verdana"/>
                <w:color w:val="000000"/>
                <w:szCs w:val="18"/>
                <w:lang w:val="sl-SI" w:eastAsia="en-GB"/>
              </w:rPr>
              <w:t>Evropska kohezijska politika</w:t>
            </w:r>
          </w:p>
        </w:tc>
      </w:tr>
      <w:tr w:rsidR="00D5547D" w:rsidRPr="0058617C" w14:paraId="4EFBB3DF" w14:textId="77777777" w:rsidTr="00524C20">
        <w:trPr>
          <w:trHeight w:val="280"/>
        </w:trPr>
        <w:tc>
          <w:tcPr>
            <w:tcW w:w="1115" w:type="dxa"/>
            <w:noWrap/>
            <w:vAlign w:val="bottom"/>
          </w:tcPr>
          <w:p w14:paraId="24C2CBC2" w14:textId="3620BA67" w:rsidR="00D5547D" w:rsidRPr="0058617C" w:rsidRDefault="00D5547D">
            <w:pPr>
              <w:spacing w:after="0"/>
              <w:jc w:val="left"/>
              <w:rPr>
                <w:rFonts w:eastAsia="Times New Roman" w:cs="Calibri"/>
                <w:color w:val="000000"/>
                <w:szCs w:val="18"/>
                <w:lang w:val="sl-SI" w:eastAsia="en-GB"/>
              </w:rPr>
            </w:pPr>
            <w:r>
              <w:rPr>
                <w:rFonts w:eastAsia="Times New Roman" w:cs="Calibri"/>
                <w:color w:val="000000"/>
                <w:szCs w:val="18"/>
                <w:lang w:val="sl-SI" w:eastAsia="en-GB"/>
              </w:rPr>
              <w:t>ESS</w:t>
            </w:r>
          </w:p>
        </w:tc>
        <w:tc>
          <w:tcPr>
            <w:tcW w:w="7911" w:type="dxa"/>
            <w:noWrap/>
            <w:vAlign w:val="bottom"/>
          </w:tcPr>
          <w:p w14:paraId="600F88B0" w14:textId="32D31EEC" w:rsidR="00D5547D" w:rsidRPr="0058617C" w:rsidRDefault="00D5547D">
            <w:pPr>
              <w:spacing w:after="0"/>
              <w:jc w:val="left"/>
              <w:rPr>
                <w:rFonts w:eastAsia="Verdana" w:cs="Verdana"/>
                <w:color w:val="000000"/>
                <w:szCs w:val="18"/>
                <w:lang w:val="sl-SI" w:eastAsia="en-GB"/>
              </w:rPr>
            </w:pPr>
            <w:r>
              <w:rPr>
                <w:rFonts w:eastAsia="Verdana" w:cs="Verdana"/>
                <w:color w:val="000000"/>
                <w:szCs w:val="18"/>
                <w:lang w:val="sl-SI" w:eastAsia="en-GB"/>
              </w:rPr>
              <w:t>Evropski socialni sklad</w:t>
            </w:r>
          </w:p>
        </w:tc>
      </w:tr>
      <w:tr w:rsidR="00D5547D" w:rsidRPr="0058617C" w14:paraId="5F4C0E1E" w14:textId="77777777" w:rsidTr="00524C20">
        <w:trPr>
          <w:trHeight w:val="280"/>
        </w:trPr>
        <w:tc>
          <w:tcPr>
            <w:tcW w:w="1115" w:type="dxa"/>
            <w:noWrap/>
            <w:vAlign w:val="bottom"/>
          </w:tcPr>
          <w:p w14:paraId="62B2CC51" w14:textId="07271346" w:rsidR="00D5547D" w:rsidRDefault="00D5547D">
            <w:pPr>
              <w:spacing w:after="0"/>
              <w:jc w:val="left"/>
              <w:rPr>
                <w:rFonts w:eastAsia="Times New Roman" w:cs="Calibri"/>
                <w:color w:val="000000"/>
                <w:szCs w:val="18"/>
                <w:lang w:val="sl-SI" w:eastAsia="en-GB"/>
              </w:rPr>
            </w:pPr>
            <w:r>
              <w:rPr>
                <w:rFonts w:eastAsia="Times New Roman" w:cs="Calibri"/>
                <w:color w:val="000000"/>
                <w:szCs w:val="18"/>
                <w:lang w:val="sl-SI" w:eastAsia="en-GB"/>
              </w:rPr>
              <w:t>ESRR</w:t>
            </w:r>
          </w:p>
        </w:tc>
        <w:tc>
          <w:tcPr>
            <w:tcW w:w="7911" w:type="dxa"/>
            <w:noWrap/>
            <w:vAlign w:val="bottom"/>
          </w:tcPr>
          <w:p w14:paraId="0055312C" w14:textId="634265E5" w:rsidR="00D5547D" w:rsidRDefault="00D5547D">
            <w:pPr>
              <w:spacing w:after="0"/>
              <w:jc w:val="left"/>
              <w:rPr>
                <w:rFonts w:eastAsia="Verdana" w:cs="Verdana"/>
                <w:color w:val="000000"/>
                <w:szCs w:val="18"/>
                <w:lang w:val="sl-SI" w:eastAsia="en-GB"/>
              </w:rPr>
            </w:pPr>
            <w:r>
              <w:rPr>
                <w:rFonts w:eastAsia="Verdana" w:cs="Verdana"/>
                <w:color w:val="000000"/>
                <w:szCs w:val="18"/>
                <w:lang w:val="sl-SI" w:eastAsia="en-GB"/>
              </w:rPr>
              <w:t>Evrop</w:t>
            </w:r>
            <w:r w:rsidR="005F7CDE">
              <w:rPr>
                <w:rFonts w:eastAsia="Verdana" w:cs="Verdana"/>
                <w:color w:val="000000"/>
                <w:szCs w:val="18"/>
                <w:lang w:val="sl-SI" w:eastAsia="en-GB"/>
              </w:rPr>
              <w:t>s</w:t>
            </w:r>
            <w:r>
              <w:rPr>
                <w:rFonts w:eastAsia="Verdana" w:cs="Verdana"/>
                <w:color w:val="000000"/>
                <w:szCs w:val="18"/>
                <w:lang w:val="sl-SI" w:eastAsia="en-GB"/>
              </w:rPr>
              <w:t>ki sklad</w:t>
            </w:r>
            <w:r w:rsidR="005F7CDE">
              <w:rPr>
                <w:rFonts w:eastAsia="Verdana" w:cs="Verdana"/>
                <w:color w:val="000000"/>
                <w:szCs w:val="18"/>
                <w:lang w:val="sl-SI" w:eastAsia="en-GB"/>
              </w:rPr>
              <w:t xml:space="preserve"> za regionalni razvoj</w:t>
            </w:r>
          </w:p>
        </w:tc>
      </w:tr>
      <w:tr w:rsidR="00524C20" w:rsidRPr="0058617C" w14:paraId="0893F00E" w14:textId="77777777" w:rsidTr="00524C20">
        <w:trPr>
          <w:trHeight w:val="280"/>
        </w:trPr>
        <w:tc>
          <w:tcPr>
            <w:tcW w:w="1115" w:type="dxa"/>
            <w:noWrap/>
            <w:vAlign w:val="bottom"/>
            <w:hideMark/>
          </w:tcPr>
          <w:p w14:paraId="0DF48822"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JZP</w:t>
            </w:r>
          </w:p>
        </w:tc>
        <w:tc>
          <w:tcPr>
            <w:tcW w:w="7911" w:type="dxa"/>
            <w:noWrap/>
            <w:vAlign w:val="bottom"/>
            <w:hideMark/>
          </w:tcPr>
          <w:p w14:paraId="7917292F" w14:textId="77777777" w:rsidR="00524C20" w:rsidRPr="0058617C" w:rsidRDefault="00524C20">
            <w:pPr>
              <w:spacing w:after="0"/>
              <w:jc w:val="left"/>
              <w:rPr>
                <w:rFonts w:eastAsia="Verdana" w:cs="Verdana"/>
                <w:color w:val="000000"/>
                <w:szCs w:val="18"/>
                <w:lang w:val="sl-SI" w:eastAsia="en-GB"/>
              </w:rPr>
            </w:pPr>
            <w:r w:rsidRPr="0058617C">
              <w:rPr>
                <w:rFonts w:eastAsia="Verdana" w:cs="Verdana"/>
                <w:color w:val="000000"/>
                <w:szCs w:val="18"/>
                <w:lang w:val="sl-SI" w:eastAsia="en-GB"/>
              </w:rPr>
              <w:t>Javno zasebno partnerstvo</w:t>
            </w:r>
          </w:p>
        </w:tc>
      </w:tr>
      <w:tr w:rsidR="00524C20" w:rsidRPr="0058617C" w14:paraId="69687460" w14:textId="77777777" w:rsidTr="00524C20">
        <w:trPr>
          <w:trHeight w:val="280"/>
        </w:trPr>
        <w:tc>
          <w:tcPr>
            <w:tcW w:w="1115" w:type="dxa"/>
            <w:noWrap/>
            <w:vAlign w:val="bottom"/>
            <w:hideMark/>
          </w:tcPr>
          <w:p w14:paraId="2E6D05DB"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KS</w:t>
            </w:r>
          </w:p>
        </w:tc>
        <w:tc>
          <w:tcPr>
            <w:tcW w:w="7911" w:type="dxa"/>
            <w:noWrap/>
            <w:vAlign w:val="bottom"/>
            <w:hideMark/>
          </w:tcPr>
          <w:p w14:paraId="278661F3" w14:textId="77777777" w:rsidR="00524C20" w:rsidRPr="0058617C" w:rsidRDefault="00524C20">
            <w:pPr>
              <w:spacing w:after="0"/>
              <w:jc w:val="left"/>
              <w:rPr>
                <w:rFonts w:eastAsia="Times New Roman" w:cs="Calibri"/>
                <w:color w:val="000000"/>
                <w:szCs w:val="18"/>
                <w:lang w:val="sl-SI" w:eastAsia="en-GB"/>
              </w:rPr>
            </w:pPr>
            <w:r w:rsidRPr="0058617C">
              <w:rPr>
                <w:rFonts w:eastAsia="Verdana" w:cs="Verdana"/>
                <w:color w:val="000000"/>
                <w:szCs w:val="18"/>
                <w:lang w:val="sl-SI" w:eastAsia="en-GB"/>
              </w:rPr>
              <w:t xml:space="preserve">Kohezijski sklad  </w:t>
            </w:r>
          </w:p>
        </w:tc>
      </w:tr>
      <w:tr w:rsidR="00C77940" w:rsidRPr="0058617C" w14:paraId="59BE0C73" w14:textId="77777777" w:rsidTr="00524C20">
        <w:trPr>
          <w:trHeight w:val="280"/>
        </w:trPr>
        <w:tc>
          <w:tcPr>
            <w:tcW w:w="1115" w:type="dxa"/>
            <w:noWrap/>
            <w:vAlign w:val="bottom"/>
          </w:tcPr>
          <w:p w14:paraId="512D0993" w14:textId="08E76F37" w:rsidR="00C77940" w:rsidRPr="0058617C" w:rsidRDefault="00C77940">
            <w:pPr>
              <w:spacing w:after="0"/>
              <w:jc w:val="left"/>
              <w:rPr>
                <w:rFonts w:eastAsia="Times New Roman" w:cs="Calibri"/>
                <w:color w:val="000000"/>
                <w:szCs w:val="18"/>
                <w:lang w:val="sl-SI" w:eastAsia="en-GB"/>
              </w:rPr>
            </w:pPr>
            <w:r w:rsidRPr="00C77940">
              <w:rPr>
                <w:rFonts w:eastAsia="Times New Roman" w:cs="Calibri"/>
                <w:color w:val="000000"/>
                <w:szCs w:val="18"/>
                <w:lang w:val="sl-SI" w:eastAsia="en-GB"/>
              </w:rPr>
              <w:t>NEPN</w:t>
            </w:r>
          </w:p>
        </w:tc>
        <w:tc>
          <w:tcPr>
            <w:tcW w:w="7911" w:type="dxa"/>
            <w:noWrap/>
            <w:vAlign w:val="bottom"/>
          </w:tcPr>
          <w:p w14:paraId="47D5377A" w14:textId="6CFE6F76" w:rsidR="00C77940" w:rsidRPr="0058617C" w:rsidRDefault="0013457C">
            <w:pPr>
              <w:spacing w:after="0"/>
              <w:jc w:val="left"/>
              <w:rPr>
                <w:rFonts w:eastAsia="Verdana" w:cs="Verdana"/>
                <w:color w:val="000000"/>
                <w:szCs w:val="18"/>
                <w:lang w:val="sl-SI" w:eastAsia="en-GB"/>
              </w:rPr>
            </w:pPr>
            <w:r w:rsidRPr="0013457C">
              <w:rPr>
                <w:rFonts w:eastAsia="Verdana" w:cs="Verdana"/>
                <w:color w:val="000000"/>
                <w:szCs w:val="18"/>
                <w:lang w:val="sl-SI" w:eastAsia="en-GB"/>
              </w:rPr>
              <w:t>Nacionalni energetski in podnebni načrt</w:t>
            </w:r>
          </w:p>
        </w:tc>
      </w:tr>
      <w:tr w:rsidR="00524C20" w:rsidRPr="0058617C" w14:paraId="2D23EEB8" w14:textId="77777777" w:rsidTr="00524C20">
        <w:trPr>
          <w:trHeight w:val="280"/>
        </w:trPr>
        <w:tc>
          <w:tcPr>
            <w:tcW w:w="1115" w:type="dxa"/>
            <w:noWrap/>
            <w:vAlign w:val="bottom"/>
            <w:hideMark/>
          </w:tcPr>
          <w:p w14:paraId="6745838E"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OP</w:t>
            </w:r>
          </w:p>
        </w:tc>
        <w:tc>
          <w:tcPr>
            <w:tcW w:w="7911" w:type="dxa"/>
            <w:noWrap/>
            <w:vAlign w:val="bottom"/>
            <w:hideMark/>
          </w:tcPr>
          <w:p w14:paraId="70D4C203"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Operativni program za izvajanje evropske kohezijske politike v obdobju 2014-2020</w:t>
            </w:r>
          </w:p>
        </w:tc>
      </w:tr>
      <w:tr w:rsidR="00524C20" w:rsidRPr="0058617C" w14:paraId="7D4B3DB2" w14:textId="77777777" w:rsidTr="00524C20">
        <w:trPr>
          <w:trHeight w:val="280"/>
        </w:trPr>
        <w:tc>
          <w:tcPr>
            <w:tcW w:w="1115" w:type="dxa"/>
            <w:noWrap/>
            <w:vAlign w:val="bottom"/>
            <w:hideMark/>
          </w:tcPr>
          <w:p w14:paraId="5689C59C"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PN</w:t>
            </w:r>
          </w:p>
        </w:tc>
        <w:tc>
          <w:tcPr>
            <w:tcW w:w="7911" w:type="dxa"/>
            <w:noWrap/>
            <w:vAlign w:val="bottom"/>
            <w:hideMark/>
          </w:tcPr>
          <w:p w14:paraId="7E6ED76C"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Prednostna naložba</w:t>
            </w:r>
          </w:p>
        </w:tc>
      </w:tr>
      <w:tr w:rsidR="00524C20" w:rsidRPr="0058617C" w14:paraId="72B93713" w14:textId="77777777" w:rsidTr="00524C20">
        <w:trPr>
          <w:trHeight w:val="280"/>
        </w:trPr>
        <w:tc>
          <w:tcPr>
            <w:tcW w:w="1115" w:type="dxa"/>
            <w:noWrap/>
            <w:vAlign w:val="bottom"/>
            <w:hideMark/>
          </w:tcPr>
          <w:p w14:paraId="4A8AD26B"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PO</w:t>
            </w:r>
          </w:p>
        </w:tc>
        <w:tc>
          <w:tcPr>
            <w:tcW w:w="7911" w:type="dxa"/>
            <w:noWrap/>
            <w:vAlign w:val="bottom"/>
            <w:hideMark/>
          </w:tcPr>
          <w:p w14:paraId="4AB73D58"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Posredniški organ</w:t>
            </w:r>
          </w:p>
        </w:tc>
      </w:tr>
      <w:tr w:rsidR="00524C20" w:rsidRPr="0058617C" w14:paraId="141AAD13" w14:textId="77777777" w:rsidTr="00524C20">
        <w:trPr>
          <w:trHeight w:val="280"/>
        </w:trPr>
        <w:tc>
          <w:tcPr>
            <w:tcW w:w="1115" w:type="dxa"/>
            <w:noWrap/>
            <w:vAlign w:val="bottom"/>
            <w:hideMark/>
          </w:tcPr>
          <w:p w14:paraId="4682D980"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PS</w:t>
            </w:r>
          </w:p>
        </w:tc>
        <w:tc>
          <w:tcPr>
            <w:tcW w:w="7911" w:type="dxa"/>
            <w:noWrap/>
            <w:vAlign w:val="bottom"/>
            <w:hideMark/>
          </w:tcPr>
          <w:p w14:paraId="24DED83F"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Partnerski sporazum med Slovenijo in Evropsko komisijo za obdobje 2014-2020</w:t>
            </w:r>
          </w:p>
        </w:tc>
      </w:tr>
      <w:tr w:rsidR="00524C20" w:rsidRPr="0058617C" w14:paraId="20FBCEA3" w14:textId="77777777" w:rsidTr="00524C20">
        <w:trPr>
          <w:trHeight w:val="280"/>
        </w:trPr>
        <w:tc>
          <w:tcPr>
            <w:tcW w:w="1115" w:type="dxa"/>
            <w:noWrap/>
            <w:vAlign w:val="bottom"/>
            <w:hideMark/>
          </w:tcPr>
          <w:p w14:paraId="5E6E709E"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SC</w:t>
            </w:r>
          </w:p>
        </w:tc>
        <w:tc>
          <w:tcPr>
            <w:tcW w:w="7911" w:type="dxa"/>
            <w:noWrap/>
            <w:vAlign w:val="bottom"/>
            <w:hideMark/>
          </w:tcPr>
          <w:p w14:paraId="4DE33883" w14:textId="77777777" w:rsidR="00524C20" w:rsidRPr="0058617C" w:rsidRDefault="00524C20">
            <w:pPr>
              <w:spacing w:after="0"/>
              <w:jc w:val="left"/>
              <w:rPr>
                <w:rFonts w:eastAsia="Times New Roman" w:cs="Calibri"/>
                <w:color w:val="000000"/>
                <w:szCs w:val="18"/>
                <w:lang w:val="sl-SI" w:eastAsia="en-GB"/>
              </w:rPr>
            </w:pPr>
            <w:r w:rsidRPr="0058617C">
              <w:rPr>
                <w:rFonts w:eastAsia="Times New Roman" w:cs="Calibri"/>
                <w:color w:val="000000"/>
                <w:szCs w:val="18"/>
                <w:lang w:val="sl-SI" w:eastAsia="en-GB"/>
              </w:rPr>
              <w:t>Specifični cilj</w:t>
            </w:r>
          </w:p>
        </w:tc>
      </w:tr>
      <w:tr w:rsidR="00524C20" w:rsidRPr="0058617C" w14:paraId="50DC3FD9" w14:textId="77777777" w:rsidTr="00524C20">
        <w:trPr>
          <w:trHeight w:val="280"/>
        </w:trPr>
        <w:tc>
          <w:tcPr>
            <w:tcW w:w="1115" w:type="dxa"/>
            <w:noWrap/>
            <w:vAlign w:val="bottom"/>
            <w:hideMark/>
          </w:tcPr>
          <w:p w14:paraId="7732FCE8" w14:textId="24763523" w:rsidR="00524C20" w:rsidRPr="0058617C" w:rsidRDefault="00371E8D">
            <w:pPr>
              <w:spacing w:after="0"/>
              <w:jc w:val="left"/>
              <w:rPr>
                <w:rFonts w:eastAsia="Times New Roman" w:cs="Calibri"/>
                <w:color w:val="000000"/>
                <w:szCs w:val="18"/>
                <w:lang w:val="sl-SI" w:eastAsia="en-GB"/>
              </w:rPr>
            </w:pPr>
            <w:r>
              <w:rPr>
                <w:rFonts w:eastAsia="Times New Roman" w:cs="Calibri"/>
                <w:color w:val="000000"/>
                <w:szCs w:val="18"/>
                <w:lang w:val="sl-SI" w:eastAsia="en-GB"/>
              </w:rPr>
              <w:t>MKRR</w:t>
            </w:r>
          </w:p>
        </w:tc>
        <w:tc>
          <w:tcPr>
            <w:tcW w:w="7911" w:type="dxa"/>
            <w:noWrap/>
            <w:vAlign w:val="bottom"/>
            <w:hideMark/>
          </w:tcPr>
          <w:p w14:paraId="7A1D4B3C" w14:textId="2B5EE3BF" w:rsidR="00524C20" w:rsidRPr="0058617C" w:rsidRDefault="00136F12">
            <w:pPr>
              <w:spacing w:after="0"/>
              <w:jc w:val="left"/>
              <w:rPr>
                <w:rFonts w:eastAsia="Times New Roman" w:cs="Calibri"/>
                <w:color w:val="000000"/>
                <w:szCs w:val="18"/>
                <w:lang w:val="sl-SI" w:eastAsia="en-GB"/>
              </w:rPr>
            </w:pPr>
            <w:r>
              <w:rPr>
                <w:rFonts w:eastAsia="Times New Roman" w:cs="Calibri"/>
                <w:color w:val="000000"/>
                <w:szCs w:val="18"/>
                <w:lang w:val="sl-SI" w:eastAsia="en-GB"/>
              </w:rPr>
              <w:t xml:space="preserve">Ministrstvo za kohezijo in regionalni razvoj (prej </w:t>
            </w:r>
            <w:r w:rsidRPr="0058617C">
              <w:rPr>
                <w:rFonts w:eastAsia="Times New Roman" w:cs="Calibri"/>
                <w:color w:val="000000"/>
                <w:szCs w:val="18"/>
                <w:lang w:val="sl-SI" w:eastAsia="en-GB"/>
              </w:rPr>
              <w:t>Služba Vlade RS za razvoj in evropsko kohezijsko politiko</w:t>
            </w:r>
            <w:r>
              <w:rPr>
                <w:rFonts w:eastAsia="Times New Roman" w:cs="Calibri"/>
                <w:color w:val="000000"/>
                <w:szCs w:val="18"/>
                <w:lang w:val="sl-SI" w:eastAsia="en-GB"/>
              </w:rPr>
              <w:t>)</w:t>
            </w:r>
          </w:p>
        </w:tc>
      </w:tr>
      <w:tr w:rsidR="00B33E19" w:rsidRPr="0058617C" w14:paraId="40A2BF71" w14:textId="77777777" w:rsidTr="00524C20">
        <w:trPr>
          <w:trHeight w:val="280"/>
        </w:trPr>
        <w:tc>
          <w:tcPr>
            <w:tcW w:w="1115" w:type="dxa"/>
            <w:noWrap/>
            <w:vAlign w:val="bottom"/>
          </w:tcPr>
          <w:p w14:paraId="0530C032" w14:textId="482B1F1F" w:rsidR="00B33E19" w:rsidRPr="0058617C" w:rsidRDefault="00B33E19">
            <w:pPr>
              <w:spacing w:after="0"/>
              <w:jc w:val="left"/>
              <w:rPr>
                <w:rFonts w:eastAsia="Times New Roman" w:cs="Calibri"/>
                <w:color w:val="000000"/>
                <w:szCs w:val="18"/>
                <w:lang w:val="sl-SI" w:eastAsia="en-GB"/>
              </w:rPr>
            </w:pPr>
            <w:r>
              <w:rPr>
                <w:rFonts w:eastAsia="Times New Roman" w:cs="Calibri"/>
                <w:color w:val="000000"/>
                <w:szCs w:val="18"/>
                <w:lang w:val="sl-SI" w:eastAsia="en-GB"/>
              </w:rPr>
              <w:t>TC</w:t>
            </w:r>
          </w:p>
        </w:tc>
        <w:tc>
          <w:tcPr>
            <w:tcW w:w="7911" w:type="dxa"/>
            <w:noWrap/>
            <w:vAlign w:val="bottom"/>
          </w:tcPr>
          <w:p w14:paraId="3A49E9FF" w14:textId="3F0E6489" w:rsidR="00B33E19" w:rsidRPr="0058617C" w:rsidRDefault="00B33E19">
            <w:pPr>
              <w:spacing w:after="0"/>
              <w:jc w:val="left"/>
              <w:rPr>
                <w:rFonts w:eastAsia="Times New Roman" w:cs="Calibri"/>
                <w:color w:val="000000"/>
                <w:szCs w:val="18"/>
                <w:lang w:val="sl-SI" w:eastAsia="en-GB"/>
              </w:rPr>
            </w:pPr>
            <w:r>
              <w:rPr>
                <w:rFonts w:eastAsia="Times New Roman" w:cs="Calibri"/>
                <w:color w:val="000000"/>
                <w:szCs w:val="18"/>
                <w:lang w:val="sl-SI" w:eastAsia="en-GB"/>
              </w:rPr>
              <w:t>Tematski cilj</w:t>
            </w:r>
          </w:p>
        </w:tc>
      </w:tr>
    </w:tbl>
    <w:p w14:paraId="2434E433" w14:textId="2C8A35D5" w:rsidR="0077373F" w:rsidRPr="0058617C" w:rsidRDefault="00524C20" w:rsidP="0077373F">
      <w:pPr>
        <w:rPr>
          <w:lang w:val="sl-SI"/>
        </w:rPr>
      </w:pPr>
      <w:r w:rsidRPr="0058617C">
        <w:rPr>
          <w:lang w:val="sl-SI"/>
        </w:rPr>
        <w:t xml:space="preserve"> </w:t>
      </w:r>
      <w:r w:rsidR="0077373F" w:rsidRPr="0058617C">
        <w:rPr>
          <w:lang w:val="sl-SI"/>
        </w:rPr>
        <w:br w:type="page"/>
      </w:r>
    </w:p>
    <w:p w14:paraId="15ED5B13" w14:textId="67F818E8" w:rsidR="00F606F5" w:rsidRDefault="00F606F5" w:rsidP="00F606F5">
      <w:pPr>
        <w:pStyle w:val="Naslov1"/>
        <w:numPr>
          <w:ilvl w:val="0"/>
          <w:numId w:val="0"/>
        </w:numPr>
        <w:ind w:left="432" w:hanging="432"/>
        <w:rPr>
          <w:lang w:val="sl-SI"/>
        </w:rPr>
      </w:pPr>
      <w:bookmarkStart w:id="4" w:name="_Toc136287522"/>
      <w:bookmarkStart w:id="5" w:name="_Toc129003803"/>
      <w:r>
        <w:rPr>
          <w:lang w:val="sl-SI"/>
        </w:rPr>
        <w:lastRenderedPageBreak/>
        <w:t>Povzetek</w:t>
      </w:r>
      <w:bookmarkEnd w:id="4"/>
    </w:p>
    <w:p w14:paraId="4CD41F8C" w14:textId="77777777" w:rsidR="002714F0" w:rsidRDefault="002714F0" w:rsidP="00F606F5">
      <w:pPr>
        <w:rPr>
          <w:lang w:val="sl-SI"/>
        </w:rPr>
      </w:pPr>
    </w:p>
    <w:p w14:paraId="36BAEFF4" w14:textId="77777777" w:rsidR="001269D0" w:rsidRPr="001269D0" w:rsidRDefault="001269D0" w:rsidP="001269D0">
      <w:pPr>
        <w:rPr>
          <w:lang w:val="sl-SI"/>
        </w:rPr>
      </w:pPr>
      <w:r w:rsidRPr="001269D0">
        <w:rPr>
          <w:lang w:val="sl-SI"/>
        </w:rPr>
        <w:t xml:space="preserve">Vrednotenje specifičnega cilja Povečanje učinkovitosti rabe energije v javnem sektorju je obsegalo </w:t>
      </w:r>
      <w:r w:rsidRPr="001269D0">
        <w:rPr>
          <w:b/>
          <w:bCs/>
          <w:lang w:val="sl-SI"/>
        </w:rPr>
        <w:t xml:space="preserve">6 javnih razpisov </w:t>
      </w:r>
      <w:r w:rsidRPr="001269D0">
        <w:rPr>
          <w:lang w:val="sl-SI"/>
        </w:rPr>
        <w:t xml:space="preserve">za sofinanciranje energetske prenove stavb v lasti in rabi občin (skupaj </w:t>
      </w:r>
      <w:r w:rsidRPr="001269D0">
        <w:rPr>
          <w:b/>
          <w:bCs/>
          <w:lang w:val="sl-SI"/>
        </w:rPr>
        <w:t>87 operacij</w:t>
      </w:r>
      <w:r w:rsidRPr="001269D0">
        <w:rPr>
          <w:lang w:val="sl-SI"/>
        </w:rPr>
        <w:t xml:space="preserve">) in </w:t>
      </w:r>
      <w:r w:rsidRPr="001269D0">
        <w:rPr>
          <w:b/>
          <w:bCs/>
          <w:lang w:val="sl-SI"/>
        </w:rPr>
        <w:t>13 povabil</w:t>
      </w:r>
      <w:r w:rsidRPr="001269D0">
        <w:rPr>
          <w:lang w:val="sl-SI"/>
        </w:rPr>
        <w:t xml:space="preserve"> nosilnega posredniškega organa za operacije sofinanciranja energetske prenove javnih stavb ožjega in širšega javnega sektorja (</w:t>
      </w:r>
      <w:r w:rsidRPr="001269D0">
        <w:rPr>
          <w:b/>
          <w:bCs/>
          <w:lang w:val="sl-SI"/>
        </w:rPr>
        <w:t>43 operacij</w:t>
      </w:r>
      <w:r w:rsidRPr="001269D0">
        <w:rPr>
          <w:lang w:val="sl-SI"/>
        </w:rPr>
        <w:t xml:space="preserve">).  Namen vrednotenja je bilo preveriti uspešnost in učinkovitost izvajanja ukrepov, ugotoviti ustreznost izvedenih ukrepov, preveriti učinkovitost in uspešnost izvedenih projektov ter podati oceno o samem procesu izvajanja in o doseženih rezultatih kot tudi o vplivu spodbud. Vrednotenje je bilo sestavljeno iz 8 v naprej zastavljenih vprašanj za vrednotenje. </w:t>
      </w:r>
    </w:p>
    <w:p w14:paraId="3C9438D6" w14:textId="77777777" w:rsidR="001269D0" w:rsidRPr="001269D0" w:rsidRDefault="001269D0" w:rsidP="001269D0">
      <w:pPr>
        <w:rPr>
          <w:lang w:val="sl-SI"/>
        </w:rPr>
      </w:pPr>
      <w:r w:rsidRPr="001269D0">
        <w:rPr>
          <w:lang w:val="sl-SI"/>
        </w:rPr>
        <w:t xml:space="preserve">Vrednotenje je pokazalo, da se </w:t>
      </w:r>
      <w:r w:rsidRPr="001269D0">
        <w:rPr>
          <w:b/>
          <w:bCs/>
          <w:lang w:val="sl-SI"/>
        </w:rPr>
        <w:t>realizacija načrtovanih energetskih prenov zamika</w:t>
      </w:r>
      <w:r w:rsidRPr="001269D0">
        <w:rPr>
          <w:lang w:val="sl-SI"/>
        </w:rPr>
        <w:t xml:space="preserve"> v zadnje leto obdobja upravičenosti, kar predstavlja visoko </w:t>
      </w:r>
      <w:r w:rsidRPr="001269D0">
        <w:rPr>
          <w:b/>
          <w:bCs/>
          <w:lang w:val="sl-SI"/>
        </w:rPr>
        <w:t>tveganje</w:t>
      </w:r>
      <w:r w:rsidRPr="001269D0">
        <w:rPr>
          <w:lang w:val="sl-SI"/>
        </w:rPr>
        <w:t xml:space="preserve"> za dosego načrtovanega rezultata OP. Razlog za to je </w:t>
      </w:r>
      <w:r w:rsidRPr="001269D0">
        <w:rPr>
          <w:b/>
          <w:bCs/>
          <w:lang w:val="sl-SI"/>
        </w:rPr>
        <w:t xml:space="preserve">dolžina </w:t>
      </w:r>
      <w:r w:rsidRPr="001269D0">
        <w:rPr>
          <w:lang w:val="sl-SI"/>
        </w:rPr>
        <w:t xml:space="preserve">projektnega cikla kot tudi </w:t>
      </w:r>
      <w:r w:rsidRPr="001269D0">
        <w:rPr>
          <w:b/>
          <w:bCs/>
          <w:lang w:val="sl-SI"/>
        </w:rPr>
        <w:t>hitrost</w:t>
      </w:r>
      <w:r w:rsidRPr="001269D0">
        <w:rPr>
          <w:lang w:val="sl-SI"/>
        </w:rPr>
        <w:t xml:space="preserve"> izvedbe energetskih prenov, ki sta v trenutnem sistemu izvajanja prepočasna za doseganje zastavljenih ciljev OP in zahtev Direktive o energetski učinkovitosti. Upoštevajoč trenutno dinamiko energetskih prenov bi občine potrebovale še vsaj 10 let, ministrstva pa kar 35 let, da bi prenovili vse svoje objekte. Občine imajo v povprečju prenovljenih 57 % objektov (enako velja za tlorisno površino), ministrstva pa so v povprečju obnovila 13% vseh objektov oziroma 21% tlorisne površine.   </w:t>
      </w:r>
    </w:p>
    <w:p w14:paraId="1D553160" w14:textId="77777777" w:rsidR="001269D0" w:rsidRPr="001269D0" w:rsidRDefault="001269D0" w:rsidP="001269D0">
      <w:pPr>
        <w:rPr>
          <w:lang w:val="sl-SI"/>
        </w:rPr>
      </w:pPr>
      <w:r w:rsidRPr="001269D0">
        <w:rPr>
          <w:lang w:val="sl-SI"/>
        </w:rPr>
        <w:t xml:space="preserve">Za večji in hitrejši obseg energetskih prenov bi bilo potrebno zagotoviti ne le </w:t>
      </w:r>
      <w:r w:rsidRPr="001269D0">
        <w:rPr>
          <w:b/>
          <w:bCs/>
          <w:lang w:val="sl-SI"/>
        </w:rPr>
        <w:t>večji obseg</w:t>
      </w:r>
      <w:r w:rsidRPr="001269D0">
        <w:rPr>
          <w:lang w:val="sl-SI"/>
        </w:rPr>
        <w:t xml:space="preserve"> lastnih (nacionalnih) sredstev, pač pa v primeru sofinanciranja iz EU sredstev tudi </w:t>
      </w:r>
      <w:r w:rsidRPr="001269D0">
        <w:rPr>
          <w:b/>
          <w:bCs/>
          <w:lang w:val="sl-SI"/>
        </w:rPr>
        <w:t>višjo stopnjo sofinanciranja</w:t>
      </w:r>
      <w:r w:rsidRPr="001269D0">
        <w:rPr>
          <w:lang w:val="sl-SI"/>
        </w:rPr>
        <w:t xml:space="preserve">. Identificirani </w:t>
      </w:r>
      <w:r w:rsidRPr="001269D0">
        <w:rPr>
          <w:b/>
          <w:bCs/>
          <w:lang w:val="sl-SI"/>
        </w:rPr>
        <w:t>izzivi oziroma slabosti</w:t>
      </w:r>
      <w:r w:rsidRPr="001269D0">
        <w:rPr>
          <w:lang w:val="sl-SI"/>
        </w:rPr>
        <w:t xml:space="preserve"> trenutnega sistema izvajanja so pozen začetek implementacije (priprava razpisov, pozivov, navodil), zahtevnost/kompleksnost projektne dokumentacije in poročanja, decentralizirano izvajanje projektov, decentralizirano financiranje v smislu iskanja lastnih sredstev za finančno zahtevne celovite prenove, pomanjkanje kadrovskih virov, specializiranega znanja in izkušenj ter izredno dolgi projektni cikli. V zadnjem letu pa tudi pomanjkanje izvajalcev del. Upravičenci so predlagali višjo vrednost spodbud, nacionalno financiranje, poenostavitev izvajanja projektov, delne energetske prenove, strokovno podporo ter daljše obdobje upravičenosti.</w:t>
      </w:r>
    </w:p>
    <w:p w14:paraId="6853FC3A" w14:textId="77777777" w:rsidR="001269D0" w:rsidRPr="001269D0" w:rsidRDefault="001269D0" w:rsidP="001269D0">
      <w:pPr>
        <w:rPr>
          <w:lang w:val="sl-SI"/>
        </w:rPr>
      </w:pPr>
      <w:r w:rsidRPr="001269D0">
        <w:rPr>
          <w:lang w:val="sl-SI"/>
        </w:rPr>
        <w:t xml:space="preserve">Ocena </w:t>
      </w:r>
      <w:r w:rsidRPr="001269D0">
        <w:rPr>
          <w:b/>
          <w:bCs/>
          <w:lang w:val="sl-SI"/>
        </w:rPr>
        <w:t>širšega (spodbujevalnega) vpliva</w:t>
      </w:r>
      <w:r w:rsidRPr="001269D0">
        <w:rPr>
          <w:lang w:val="sl-SI"/>
        </w:rPr>
        <w:t xml:space="preserve"> na upravičence pokaže, da so imela sredstva srednje močan ali zelo močan vpliv na zmanjšanje porabe energije, stroškov energentov, </w:t>
      </w:r>
      <w:proofErr w:type="spellStart"/>
      <w:r w:rsidRPr="001269D0">
        <w:rPr>
          <w:lang w:val="sl-SI"/>
        </w:rPr>
        <w:t>ogljičnega</w:t>
      </w:r>
      <w:proofErr w:type="spellEnd"/>
      <w:r w:rsidRPr="001269D0">
        <w:rPr>
          <w:lang w:val="sl-SI"/>
        </w:rPr>
        <w:t xml:space="preserve"> odtisa, potreb po hlajenju izboljšanje delovnih pogojev, kakovosti zraka in povečanje ugleda upravičencev. </w:t>
      </w:r>
      <w:r w:rsidRPr="001269D0">
        <w:rPr>
          <w:b/>
          <w:bCs/>
          <w:lang w:val="sl-SI"/>
        </w:rPr>
        <w:t>Multiplikator</w:t>
      </w:r>
      <w:r w:rsidRPr="001269D0">
        <w:rPr>
          <w:lang w:val="sl-SI"/>
        </w:rPr>
        <w:t xml:space="preserve"> EU sredstev znaša 1,74, kar pomeni, da je 45 milijonov EUR evropskih sredstev mobiliziralo dodatnih 79 milijonov zasebnih in javnih sredstev. </w:t>
      </w:r>
      <w:r w:rsidRPr="001269D0">
        <w:rPr>
          <w:b/>
          <w:bCs/>
          <w:lang w:val="sl-SI"/>
        </w:rPr>
        <w:t>Trajnost</w:t>
      </w:r>
      <w:r w:rsidRPr="001269D0">
        <w:rPr>
          <w:lang w:val="sl-SI"/>
        </w:rPr>
        <w:t xml:space="preserve"> doseženih rezultatov operacij upravičenci ocenjujejo kot dolgoročno (nad 10 let).</w:t>
      </w:r>
    </w:p>
    <w:p w14:paraId="79001A6E" w14:textId="77777777" w:rsidR="001269D0" w:rsidRPr="001269D0" w:rsidRDefault="001269D0" w:rsidP="001269D0">
      <w:pPr>
        <w:rPr>
          <w:lang w:val="sl-SI"/>
        </w:rPr>
      </w:pPr>
      <w:r w:rsidRPr="001269D0">
        <w:rPr>
          <w:lang w:val="sl-SI"/>
        </w:rPr>
        <w:t xml:space="preserve">Skupaj je bilo kar </w:t>
      </w:r>
      <w:r w:rsidRPr="001269D0">
        <w:rPr>
          <w:b/>
          <w:bCs/>
          <w:lang w:val="sl-SI"/>
        </w:rPr>
        <w:t>36% vseh operacij</w:t>
      </w:r>
      <w:r w:rsidRPr="001269D0">
        <w:rPr>
          <w:lang w:val="sl-SI"/>
        </w:rPr>
        <w:t xml:space="preserve"> oziroma </w:t>
      </w:r>
      <w:r w:rsidRPr="001269D0">
        <w:rPr>
          <w:b/>
          <w:bCs/>
          <w:lang w:val="sl-SI"/>
        </w:rPr>
        <w:t>45% vseh načrtovanih obnov</w:t>
      </w:r>
      <w:r w:rsidRPr="001269D0">
        <w:rPr>
          <w:lang w:val="sl-SI"/>
        </w:rPr>
        <w:t xml:space="preserve"> </w:t>
      </w:r>
      <w:r w:rsidRPr="001269D0">
        <w:rPr>
          <w:b/>
          <w:bCs/>
          <w:lang w:val="sl-SI"/>
        </w:rPr>
        <w:t>v m2</w:t>
      </w:r>
      <w:r w:rsidRPr="001269D0">
        <w:rPr>
          <w:lang w:val="sl-SI"/>
        </w:rPr>
        <w:t xml:space="preserve"> izvedenih </w:t>
      </w:r>
      <w:r w:rsidRPr="001269D0">
        <w:rPr>
          <w:b/>
          <w:bCs/>
          <w:lang w:val="sl-SI"/>
        </w:rPr>
        <w:t>po sistemu JZP</w:t>
      </w:r>
      <w:r w:rsidRPr="001269D0">
        <w:rPr>
          <w:lang w:val="sl-SI"/>
        </w:rPr>
        <w:t xml:space="preserve">, zato lahko trdimo, da so te naložbe pomembno pripomogle k njegovi uveljavitvi. Da bi se JZP lahko še nadalje uveljavljali, tudi s podporo EU sredstev, bi bilo potrebno razmisliti ali o združevanju projektov celovitih energetskih prenov, s čimer bi investicijsko nezanimivi projekti lahko v sklopu več projektov postali zanimivi, ali o financiranju tudi delnih energetskih prenov, kar bi sicer pospešilo obseg prenov in razbremenilo lastna sredstva upravičencev. </w:t>
      </w:r>
    </w:p>
    <w:p w14:paraId="1402D43E" w14:textId="77777777" w:rsidR="001269D0" w:rsidRPr="001269D0" w:rsidRDefault="001269D0" w:rsidP="001269D0">
      <w:pPr>
        <w:rPr>
          <w:lang w:val="sl-SI"/>
        </w:rPr>
      </w:pPr>
      <w:r w:rsidRPr="001269D0">
        <w:rPr>
          <w:b/>
          <w:bCs/>
          <w:lang w:val="sl-SI"/>
        </w:rPr>
        <w:t>Primeri dobrih praks</w:t>
      </w:r>
      <w:r w:rsidRPr="001269D0">
        <w:rPr>
          <w:lang w:val="sl-SI"/>
        </w:rPr>
        <w:t xml:space="preserve"> v EU pokažejo veliko dodano vrednost centraliziranega pristopa določanja prioritet, terminskega in finančnega načrta energetskih prenov. Za doseganje ekonomije obsega je ključno ne le </w:t>
      </w:r>
      <w:r w:rsidRPr="001269D0">
        <w:rPr>
          <w:b/>
          <w:bCs/>
          <w:lang w:val="sl-SI"/>
        </w:rPr>
        <w:t>združevanje projektov</w:t>
      </w:r>
      <w:r w:rsidRPr="001269D0">
        <w:rPr>
          <w:lang w:val="sl-SI"/>
        </w:rPr>
        <w:t xml:space="preserve"> pač pa tudi </w:t>
      </w:r>
      <w:r w:rsidRPr="001269D0">
        <w:rPr>
          <w:b/>
          <w:bCs/>
          <w:lang w:val="sl-SI"/>
        </w:rPr>
        <w:t>združevanje različnih virov financiranja</w:t>
      </w:r>
      <w:r w:rsidRPr="001269D0">
        <w:rPr>
          <w:lang w:val="sl-SI"/>
        </w:rPr>
        <w:t xml:space="preserve"> (EU sredstev, lastna sredstva, prihranki iz obstoječih projektov prenov, posojila in podobno). Pretekle izkušnje nam več kot očitno pokažejo, da EU sredstva niso zadostna, da bi lahko hitro zaprla identificirane vrzeli, v kolikor bomo tudi v prihodnje nadaljevali s trenutno dinamiko in načinom implementacije energetskih prenov. Razpršena implementacija energetskih prenov namreč več kot očitno predstavlja </w:t>
      </w:r>
      <w:r w:rsidRPr="001269D0">
        <w:rPr>
          <w:lang w:val="sl-SI"/>
        </w:rPr>
        <w:lastRenderedPageBreak/>
        <w:t xml:space="preserve">visoko tveganje za dosego začrtanih ciljev. Posamezna ministrstva se soočajo z izzivi, kot so zagotavljanje integralnih proračunskih sredstev, kadrovsko – organizacijske kapacitete, specifično znanje in izkušnje povezane z energetskimi prenovami. Ta izziv postane toliko večji, ko so prijavitelji projektov energetskih prenov iz širšega javnega sektorja in pod okriljem posameznega ministrstva (javni zavodi, domovi za ostarele, srednje šole, univerze ipd.). Enako velja tudi za občine, katerih največji izziv je prav tako zagotavljanje lastnih sredstev in kompleksnost samih postopkov. Občine so dodatno zakonsko omejene, ker se ne smejo zadolževati pri tujih finančnih institucijah, čeprav so pogoji financiranja pogosto ugodnejši. Zaradi vsega navedenega bi lahko centralizacija procesa prenove tudi v finančnem delu bistveno pripomogla k hitrejšemu procesu energetskih prenov, kar potrjujejo izkušnje tudi drugih držav EU.  </w:t>
      </w:r>
    </w:p>
    <w:p w14:paraId="7C2B2F5F" w14:textId="77777777" w:rsidR="00E13392" w:rsidRDefault="00E13392" w:rsidP="00F606F5">
      <w:pPr>
        <w:rPr>
          <w:lang w:val="sl-SI"/>
        </w:rPr>
      </w:pPr>
    </w:p>
    <w:p w14:paraId="47297653" w14:textId="4AF99415" w:rsidR="006D73DE" w:rsidRPr="006D73DE" w:rsidRDefault="001F352A" w:rsidP="006D73DE">
      <w:pPr>
        <w:spacing w:after="0"/>
        <w:rPr>
          <w:b/>
          <w:bCs/>
          <w:lang w:val="en-GB"/>
        </w:rPr>
      </w:pPr>
      <w:r>
        <w:rPr>
          <w:b/>
          <w:bCs/>
          <w:lang w:val="en-GB"/>
        </w:rPr>
        <w:t xml:space="preserve">Executive </w:t>
      </w:r>
      <w:r w:rsidR="006D73DE" w:rsidRPr="006D73DE">
        <w:rPr>
          <w:b/>
          <w:bCs/>
          <w:lang w:val="en-GB"/>
        </w:rPr>
        <w:t>Summary</w:t>
      </w:r>
    </w:p>
    <w:p w14:paraId="3BE695CC" w14:textId="77777777" w:rsidR="006D73DE" w:rsidRPr="006D73DE" w:rsidRDefault="006D73DE" w:rsidP="006D73DE">
      <w:pPr>
        <w:spacing w:after="0"/>
        <w:rPr>
          <w:highlight w:val="yellow"/>
          <w:lang w:val="en-GB"/>
        </w:rPr>
      </w:pPr>
    </w:p>
    <w:p w14:paraId="25BE23E7" w14:textId="475A6FA3" w:rsidR="006D73DE" w:rsidRPr="006D73DE" w:rsidRDefault="006D73DE" w:rsidP="006D73DE">
      <w:pPr>
        <w:spacing w:after="0"/>
        <w:rPr>
          <w:lang w:val="en-GB"/>
        </w:rPr>
      </w:pPr>
      <w:r w:rsidRPr="006D73DE">
        <w:rPr>
          <w:lang w:val="en-GB"/>
        </w:rPr>
        <w:t>Evaluation of the specific objective "</w:t>
      </w:r>
      <w:r w:rsidRPr="00F8243F">
        <w:rPr>
          <w:b/>
          <w:bCs/>
          <w:lang w:val="en-GB"/>
        </w:rPr>
        <w:t>Increasing energy efficiency in the public sector</w:t>
      </w:r>
      <w:r w:rsidRPr="006D73DE">
        <w:rPr>
          <w:lang w:val="en-GB"/>
        </w:rPr>
        <w:t xml:space="preserve">" </w:t>
      </w:r>
      <w:r w:rsidR="00ED1456">
        <w:rPr>
          <w:lang w:val="en-GB"/>
        </w:rPr>
        <w:t xml:space="preserve">included </w:t>
      </w:r>
      <w:r w:rsidRPr="00F8243F">
        <w:rPr>
          <w:b/>
          <w:bCs/>
          <w:lang w:val="en-GB"/>
        </w:rPr>
        <w:t>6 public calls</w:t>
      </w:r>
      <w:r w:rsidRPr="006D73DE">
        <w:rPr>
          <w:lang w:val="en-GB"/>
        </w:rPr>
        <w:t xml:space="preserve"> for co-financing energy renovations of buildings owned and used by municipalities (a total of </w:t>
      </w:r>
      <w:r w:rsidRPr="00F8243F">
        <w:rPr>
          <w:b/>
          <w:bCs/>
          <w:lang w:val="en-GB"/>
        </w:rPr>
        <w:t>87 operations</w:t>
      </w:r>
      <w:r w:rsidRPr="006D73DE">
        <w:rPr>
          <w:lang w:val="en-GB"/>
        </w:rPr>
        <w:t>)</w:t>
      </w:r>
      <w:r w:rsidR="000A2B2E">
        <w:rPr>
          <w:lang w:val="en-GB"/>
        </w:rPr>
        <w:t>;</w:t>
      </w:r>
      <w:r w:rsidRPr="006D73DE">
        <w:rPr>
          <w:lang w:val="en-GB"/>
        </w:rPr>
        <w:t xml:space="preserve"> </w:t>
      </w:r>
      <w:r w:rsidR="000A2B2E">
        <w:rPr>
          <w:lang w:val="en-GB"/>
        </w:rPr>
        <w:t>as well as</w:t>
      </w:r>
      <w:r w:rsidRPr="006D73DE">
        <w:rPr>
          <w:lang w:val="en-GB"/>
        </w:rPr>
        <w:t xml:space="preserve"> </w:t>
      </w:r>
      <w:r w:rsidRPr="00F8243F">
        <w:rPr>
          <w:b/>
          <w:bCs/>
          <w:lang w:val="en-GB"/>
        </w:rPr>
        <w:t>13 invitations</w:t>
      </w:r>
      <w:r w:rsidRPr="006D73DE">
        <w:rPr>
          <w:lang w:val="en-GB"/>
        </w:rPr>
        <w:t xml:space="preserve"> by the implementing intermediary body for co-financing energy renovations of </w:t>
      </w:r>
      <w:r>
        <w:rPr>
          <w:lang w:val="en-GB"/>
        </w:rPr>
        <w:t xml:space="preserve">government owned </w:t>
      </w:r>
      <w:r w:rsidRPr="006D73DE">
        <w:rPr>
          <w:lang w:val="en-GB"/>
        </w:rPr>
        <w:t>public buildings (</w:t>
      </w:r>
      <w:r w:rsidRPr="00F8243F">
        <w:rPr>
          <w:b/>
          <w:bCs/>
          <w:lang w:val="en-GB"/>
        </w:rPr>
        <w:t>43 operations</w:t>
      </w:r>
      <w:r w:rsidRPr="006D73DE">
        <w:rPr>
          <w:lang w:val="en-GB"/>
        </w:rPr>
        <w:t>). The purpose of the evaluation was to assess the effectiveness of the implement</w:t>
      </w:r>
      <w:r>
        <w:rPr>
          <w:lang w:val="en-GB"/>
        </w:rPr>
        <w:t>ed measures</w:t>
      </w:r>
      <w:r w:rsidRPr="006D73DE">
        <w:rPr>
          <w:lang w:val="en-GB"/>
        </w:rPr>
        <w:t>, determine the</w:t>
      </w:r>
      <w:r>
        <w:rPr>
          <w:lang w:val="en-GB"/>
        </w:rPr>
        <w:t>ir</w:t>
      </w:r>
      <w:r w:rsidRPr="006D73DE">
        <w:rPr>
          <w:lang w:val="en-GB"/>
        </w:rPr>
        <w:t xml:space="preserve"> adequacy, assess the efficiency and success of the implemented projects</w:t>
      </w:r>
      <w:r w:rsidR="00D65425">
        <w:rPr>
          <w:lang w:val="en-GB"/>
        </w:rPr>
        <w:t xml:space="preserve"> (operations)</w:t>
      </w:r>
      <w:r w:rsidRPr="006D73DE">
        <w:rPr>
          <w:lang w:val="en-GB"/>
        </w:rPr>
        <w:t xml:space="preserve">, assess the implementation process, achieved results, and the impact of </w:t>
      </w:r>
      <w:r w:rsidR="00ED1456">
        <w:rPr>
          <w:lang w:val="en-GB"/>
        </w:rPr>
        <w:t>the implemented projects</w:t>
      </w:r>
      <w:r w:rsidRPr="006D73DE">
        <w:rPr>
          <w:lang w:val="en-GB"/>
        </w:rPr>
        <w:t>. The evaluation consisted of 8 predefined evaluation questions.</w:t>
      </w:r>
    </w:p>
    <w:p w14:paraId="0A740C72" w14:textId="77777777" w:rsidR="006D73DE" w:rsidRPr="006D73DE" w:rsidRDefault="006D73DE" w:rsidP="006D73DE">
      <w:pPr>
        <w:spacing w:after="0"/>
        <w:rPr>
          <w:lang w:val="en-GB"/>
        </w:rPr>
      </w:pPr>
    </w:p>
    <w:p w14:paraId="1545BDA1" w14:textId="4FB53483" w:rsidR="006B793F" w:rsidRDefault="006D73DE" w:rsidP="006D73DE">
      <w:pPr>
        <w:spacing w:after="0"/>
        <w:rPr>
          <w:lang w:val="en-GB"/>
        </w:rPr>
      </w:pPr>
      <w:r w:rsidRPr="006D73DE">
        <w:rPr>
          <w:lang w:val="en-GB"/>
        </w:rPr>
        <w:t xml:space="preserve">The evaluation revealed that the </w:t>
      </w:r>
      <w:r w:rsidR="00ED1456" w:rsidRPr="00F8243F">
        <w:rPr>
          <w:b/>
          <w:bCs/>
          <w:lang w:val="en-GB"/>
        </w:rPr>
        <w:t>implementation</w:t>
      </w:r>
      <w:r w:rsidRPr="00F8243F">
        <w:rPr>
          <w:b/>
          <w:bCs/>
          <w:lang w:val="en-GB"/>
        </w:rPr>
        <w:t xml:space="preserve"> of planned energy renovations is </w:t>
      </w:r>
      <w:proofErr w:type="gramStart"/>
      <w:r w:rsidRPr="00F8243F">
        <w:rPr>
          <w:b/>
          <w:bCs/>
          <w:lang w:val="en-GB"/>
        </w:rPr>
        <w:t>delayed</w:t>
      </w:r>
      <w:r w:rsidR="00F11D24">
        <w:rPr>
          <w:b/>
          <w:bCs/>
          <w:lang w:val="en-GB"/>
        </w:rPr>
        <w:t>,</w:t>
      </w:r>
      <w:r w:rsidR="003A1713">
        <w:rPr>
          <w:lang w:val="en-GB"/>
        </w:rPr>
        <w:t xml:space="preserve"> and</w:t>
      </w:r>
      <w:proofErr w:type="gramEnd"/>
      <w:r w:rsidR="003A1713">
        <w:rPr>
          <w:lang w:val="en-GB"/>
        </w:rPr>
        <w:t xml:space="preserve"> concentrated in</w:t>
      </w:r>
      <w:r w:rsidR="00ED1456">
        <w:rPr>
          <w:lang w:val="en-GB"/>
        </w:rPr>
        <w:t xml:space="preserve"> the</w:t>
      </w:r>
      <w:r w:rsidRPr="006D73DE">
        <w:rPr>
          <w:lang w:val="en-GB"/>
        </w:rPr>
        <w:t xml:space="preserve"> final year of the eligibility period, posing a high</w:t>
      </w:r>
      <w:r w:rsidRPr="00F8243F">
        <w:rPr>
          <w:b/>
          <w:bCs/>
          <w:lang w:val="en-GB"/>
        </w:rPr>
        <w:t xml:space="preserve"> risk</w:t>
      </w:r>
      <w:r w:rsidRPr="006D73DE">
        <w:rPr>
          <w:lang w:val="en-GB"/>
        </w:rPr>
        <w:t xml:space="preserve"> to </w:t>
      </w:r>
      <w:r w:rsidR="00247D71">
        <w:rPr>
          <w:lang w:val="en-GB"/>
        </w:rPr>
        <w:t xml:space="preserve">the </w:t>
      </w:r>
      <w:r w:rsidRPr="006D73DE">
        <w:rPr>
          <w:lang w:val="en-GB"/>
        </w:rPr>
        <w:t>achieve</w:t>
      </w:r>
      <w:r w:rsidR="00247D71">
        <w:rPr>
          <w:lang w:val="en-GB"/>
        </w:rPr>
        <w:t xml:space="preserve">ment of </w:t>
      </w:r>
      <w:r w:rsidRPr="006D73DE">
        <w:rPr>
          <w:lang w:val="en-GB"/>
        </w:rPr>
        <w:t xml:space="preserve">the planned results of the Operational Program. The reason for this delay is the </w:t>
      </w:r>
      <w:r w:rsidRPr="00F8243F">
        <w:rPr>
          <w:b/>
          <w:bCs/>
          <w:lang w:val="en-GB"/>
        </w:rPr>
        <w:t>length</w:t>
      </w:r>
      <w:r w:rsidRPr="006D73DE">
        <w:rPr>
          <w:lang w:val="en-GB"/>
        </w:rPr>
        <w:t xml:space="preserve"> of the project cycle</w:t>
      </w:r>
      <w:r w:rsidR="00C531BC">
        <w:rPr>
          <w:lang w:val="en-GB"/>
        </w:rPr>
        <w:t>,</w:t>
      </w:r>
      <w:r w:rsidRPr="006D73DE">
        <w:rPr>
          <w:lang w:val="en-GB"/>
        </w:rPr>
        <w:t xml:space="preserve"> and the </w:t>
      </w:r>
      <w:r w:rsidRPr="00F8243F">
        <w:rPr>
          <w:b/>
          <w:bCs/>
          <w:lang w:val="en-GB"/>
        </w:rPr>
        <w:t>slow pace</w:t>
      </w:r>
      <w:r w:rsidRPr="006D73DE">
        <w:rPr>
          <w:lang w:val="en-GB"/>
        </w:rPr>
        <w:t xml:space="preserve"> of energy renovations within the current implementation system</w:t>
      </w:r>
      <w:r w:rsidR="003A1713">
        <w:rPr>
          <w:lang w:val="en-GB"/>
        </w:rPr>
        <w:t xml:space="preserve">. </w:t>
      </w:r>
      <w:r w:rsidR="00247D71">
        <w:rPr>
          <w:lang w:val="en-GB"/>
        </w:rPr>
        <w:t>The</w:t>
      </w:r>
      <w:r w:rsidRPr="006D73DE">
        <w:rPr>
          <w:lang w:val="en-GB"/>
        </w:rPr>
        <w:t xml:space="preserve"> current dynamics of energy renovations</w:t>
      </w:r>
      <w:r w:rsidR="003A1713">
        <w:rPr>
          <w:lang w:val="en-GB"/>
        </w:rPr>
        <w:t xml:space="preserve"> mean</w:t>
      </w:r>
      <w:r w:rsidR="00FC3C80">
        <w:rPr>
          <w:lang w:val="en-GB"/>
        </w:rPr>
        <w:t>s</w:t>
      </w:r>
      <w:r w:rsidR="003A1713">
        <w:rPr>
          <w:lang w:val="en-GB"/>
        </w:rPr>
        <w:t xml:space="preserve"> that </w:t>
      </w:r>
      <w:r w:rsidRPr="006D73DE">
        <w:rPr>
          <w:lang w:val="en-GB"/>
        </w:rPr>
        <w:t xml:space="preserve">municipalities would need 10 years, </w:t>
      </w:r>
      <w:r w:rsidR="008528D5">
        <w:rPr>
          <w:lang w:val="en-GB"/>
        </w:rPr>
        <w:t xml:space="preserve">while the </w:t>
      </w:r>
      <w:r w:rsidRPr="006D73DE">
        <w:rPr>
          <w:lang w:val="en-GB"/>
        </w:rPr>
        <w:t>ministries would need 35 years</w:t>
      </w:r>
      <w:r w:rsidR="008528D5">
        <w:rPr>
          <w:lang w:val="en-GB"/>
        </w:rPr>
        <w:t>,</w:t>
      </w:r>
      <w:r w:rsidRPr="006D73DE">
        <w:rPr>
          <w:lang w:val="en-GB"/>
        </w:rPr>
        <w:t xml:space="preserve"> to renovate </w:t>
      </w:r>
      <w:r w:rsidR="008528D5" w:rsidRPr="006D73DE">
        <w:rPr>
          <w:lang w:val="en-GB"/>
        </w:rPr>
        <w:t>all</w:t>
      </w:r>
      <w:r w:rsidR="008528D5">
        <w:rPr>
          <w:lang w:val="en-GB"/>
        </w:rPr>
        <w:t xml:space="preserve"> </w:t>
      </w:r>
      <w:r w:rsidRPr="006D73DE">
        <w:rPr>
          <w:lang w:val="en-GB"/>
        </w:rPr>
        <w:t xml:space="preserve">their facilities. On average, </w:t>
      </w:r>
      <w:r w:rsidR="008528D5">
        <w:rPr>
          <w:lang w:val="en-GB"/>
        </w:rPr>
        <w:t xml:space="preserve">the </w:t>
      </w:r>
      <w:r w:rsidRPr="006D73DE">
        <w:rPr>
          <w:lang w:val="en-GB"/>
        </w:rPr>
        <w:t>municipalities have</w:t>
      </w:r>
      <w:r w:rsidR="008528D5">
        <w:rPr>
          <w:lang w:val="en-GB"/>
        </w:rPr>
        <w:t xml:space="preserve"> </w:t>
      </w:r>
      <w:r w:rsidRPr="006D73DE">
        <w:rPr>
          <w:lang w:val="en-GB"/>
        </w:rPr>
        <w:t xml:space="preserve">renovated 57% of their buildings </w:t>
      </w:r>
      <w:r w:rsidR="008B7042">
        <w:rPr>
          <w:lang w:val="en-GB"/>
        </w:rPr>
        <w:t>to date</w:t>
      </w:r>
      <w:r w:rsidRPr="006D73DE">
        <w:rPr>
          <w:lang w:val="en-GB"/>
        </w:rPr>
        <w:t xml:space="preserve"> (the same applies to </w:t>
      </w:r>
      <w:r w:rsidR="008528D5">
        <w:rPr>
          <w:lang w:val="en-GB"/>
        </w:rPr>
        <w:t xml:space="preserve">the </w:t>
      </w:r>
      <w:r w:rsidR="00DE2D0A">
        <w:rPr>
          <w:lang w:val="en-GB"/>
        </w:rPr>
        <w:t>m2</w:t>
      </w:r>
      <w:r w:rsidRPr="006D73DE">
        <w:rPr>
          <w:lang w:val="en-GB"/>
        </w:rPr>
        <w:t xml:space="preserve">), while ministries have renovated an average of 13% of all buildings or 21% of </w:t>
      </w:r>
      <w:r w:rsidR="00DE2D0A">
        <w:rPr>
          <w:lang w:val="en-GB"/>
        </w:rPr>
        <w:t>m2</w:t>
      </w:r>
      <w:r w:rsidRPr="006D73DE">
        <w:rPr>
          <w:lang w:val="en-GB"/>
        </w:rPr>
        <w:t>.</w:t>
      </w:r>
      <w:r w:rsidR="006B793F">
        <w:rPr>
          <w:lang w:val="en-GB"/>
        </w:rPr>
        <w:t xml:space="preserve"> </w:t>
      </w:r>
      <w:r w:rsidRPr="006D73DE">
        <w:rPr>
          <w:lang w:val="en-GB"/>
        </w:rPr>
        <w:t>To achieve a larger and faster scale of energy renovations</w:t>
      </w:r>
      <w:r w:rsidR="00100B48">
        <w:rPr>
          <w:lang w:val="en-GB"/>
        </w:rPr>
        <w:t>,</w:t>
      </w:r>
      <w:r w:rsidR="00DE2D0A">
        <w:rPr>
          <w:lang w:val="en-GB"/>
        </w:rPr>
        <w:t xml:space="preserve"> </w:t>
      </w:r>
      <w:r w:rsidR="00A06BFD">
        <w:rPr>
          <w:lang w:val="en-GB"/>
        </w:rPr>
        <w:t xml:space="preserve">a larger amount of </w:t>
      </w:r>
      <w:r w:rsidR="00A06BFD" w:rsidRPr="00F8243F">
        <w:rPr>
          <w:b/>
          <w:bCs/>
          <w:lang w:val="en-GB"/>
        </w:rPr>
        <w:t>n</w:t>
      </w:r>
      <w:r w:rsidRPr="00F8243F">
        <w:rPr>
          <w:b/>
          <w:bCs/>
          <w:lang w:val="en-GB"/>
        </w:rPr>
        <w:t xml:space="preserve">ational </w:t>
      </w:r>
      <w:r w:rsidR="00F8243F" w:rsidRPr="00F8243F">
        <w:rPr>
          <w:b/>
          <w:bCs/>
          <w:lang w:val="en-GB"/>
        </w:rPr>
        <w:t>funding</w:t>
      </w:r>
      <w:r w:rsidR="00100B48">
        <w:rPr>
          <w:lang w:val="en-GB"/>
        </w:rPr>
        <w:t>, coupled with</w:t>
      </w:r>
      <w:r w:rsidRPr="006D73DE">
        <w:rPr>
          <w:lang w:val="en-GB"/>
        </w:rPr>
        <w:t xml:space="preserve"> a higher level of </w:t>
      </w:r>
      <w:r w:rsidRPr="00F8243F">
        <w:rPr>
          <w:b/>
          <w:bCs/>
          <w:lang w:val="en-GB"/>
        </w:rPr>
        <w:t xml:space="preserve">co-financing </w:t>
      </w:r>
      <w:r w:rsidR="00F8243F" w:rsidRPr="00F8243F">
        <w:rPr>
          <w:b/>
          <w:bCs/>
          <w:lang w:val="en-GB"/>
        </w:rPr>
        <w:t>rate</w:t>
      </w:r>
      <w:r w:rsidR="00F8243F">
        <w:rPr>
          <w:lang w:val="en-GB"/>
        </w:rPr>
        <w:t xml:space="preserve"> </w:t>
      </w:r>
      <w:r w:rsidRPr="006D73DE">
        <w:rPr>
          <w:lang w:val="en-GB"/>
        </w:rPr>
        <w:t>in the case of EU funds</w:t>
      </w:r>
      <w:r w:rsidR="00A06BFD">
        <w:rPr>
          <w:lang w:val="en-GB"/>
        </w:rPr>
        <w:t xml:space="preserve"> would be needed</w:t>
      </w:r>
      <w:r w:rsidRPr="006D73DE">
        <w:rPr>
          <w:lang w:val="en-GB"/>
        </w:rPr>
        <w:t xml:space="preserve">. </w:t>
      </w:r>
    </w:p>
    <w:p w14:paraId="22909D02" w14:textId="77777777" w:rsidR="006B793F" w:rsidRDefault="006B793F" w:rsidP="006D73DE">
      <w:pPr>
        <w:spacing w:after="0"/>
        <w:rPr>
          <w:lang w:val="en-GB"/>
        </w:rPr>
      </w:pPr>
    </w:p>
    <w:p w14:paraId="0A583887" w14:textId="7DAC1D04" w:rsidR="006D73DE" w:rsidRPr="006D73DE" w:rsidRDefault="006D73DE" w:rsidP="006D73DE">
      <w:pPr>
        <w:spacing w:after="0"/>
        <w:rPr>
          <w:lang w:val="en-GB"/>
        </w:rPr>
      </w:pPr>
      <w:r w:rsidRPr="00F8243F">
        <w:rPr>
          <w:b/>
          <w:bCs/>
          <w:lang w:val="en-GB"/>
        </w:rPr>
        <w:t>Identified challenges</w:t>
      </w:r>
      <w:r w:rsidRPr="006D73DE">
        <w:rPr>
          <w:lang w:val="en-GB"/>
        </w:rPr>
        <w:t xml:space="preserve"> of the current implementation system </w:t>
      </w:r>
      <w:r w:rsidR="006B793F">
        <w:rPr>
          <w:lang w:val="en-GB"/>
        </w:rPr>
        <w:t>are the following:</w:t>
      </w:r>
      <w:r w:rsidRPr="006D73DE">
        <w:rPr>
          <w:lang w:val="en-GB"/>
        </w:rPr>
        <w:t xml:space="preserve"> late start of implementation (</w:t>
      </w:r>
      <w:proofErr w:type="gramStart"/>
      <w:r w:rsidR="00B81ADB">
        <w:rPr>
          <w:lang w:val="en-GB"/>
        </w:rPr>
        <w:t>e.g.</w:t>
      </w:r>
      <w:proofErr w:type="gramEnd"/>
      <w:r w:rsidR="00B81ADB">
        <w:rPr>
          <w:lang w:val="en-GB"/>
        </w:rPr>
        <w:t xml:space="preserve"> </w:t>
      </w:r>
      <w:r w:rsidRPr="006D73DE">
        <w:rPr>
          <w:lang w:val="en-GB"/>
        </w:rPr>
        <w:t>preparation of calls, invitations, guidelines</w:t>
      </w:r>
      <w:r w:rsidRPr="006D73DE">
        <w:rPr>
          <w:lang w:val="en-GB"/>
        </w:rPr>
        <w:t>)</w:t>
      </w:r>
      <w:r w:rsidR="00B81ADB">
        <w:rPr>
          <w:lang w:val="en-GB"/>
        </w:rPr>
        <w:t>;</w:t>
      </w:r>
      <w:r w:rsidRPr="006D73DE">
        <w:rPr>
          <w:lang w:val="en-GB"/>
        </w:rPr>
        <w:t xml:space="preserve"> complexity of project documentation and reporting</w:t>
      </w:r>
      <w:r w:rsidR="00B81ADB">
        <w:rPr>
          <w:lang w:val="en-GB"/>
        </w:rPr>
        <w:t>;</w:t>
      </w:r>
      <w:r w:rsidRPr="006D73DE">
        <w:rPr>
          <w:lang w:val="en-GB"/>
        </w:rPr>
        <w:t xml:space="preserve"> decentrali</w:t>
      </w:r>
      <w:r w:rsidR="00B81ADB">
        <w:rPr>
          <w:lang w:val="en-GB"/>
        </w:rPr>
        <w:t>s</w:t>
      </w:r>
      <w:r w:rsidRPr="006D73DE">
        <w:rPr>
          <w:lang w:val="en-GB"/>
        </w:rPr>
        <w:t>ed project implementation</w:t>
      </w:r>
      <w:r w:rsidR="00B81ADB">
        <w:rPr>
          <w:lang w:val="en-GB"/>
        </w:rPr>
        <w:t>;</w:t>
      </w:r>
      <w:r w:rsidRPr="006D73DE">
        <w:rPr>
          <w:lang w:val="en-GB"/>
        </w:rPr>
        <w:t xml:space="preserve"> decentrali</w:t>
      </w:r>
      <w:r w:rsidR="00B81ADB">
        <w:rPr>
          <w:lang w:val="en-GB"/>
        </w:rPr>
        <w:t>s</w:t>
      </w:r>
      <w:r w:rsidRPr="006D73DE">
        <w:rPr>
          <w:lang w:val="en-GB"/>
        </w:rPr>
        <w:t>ed funding</w:t>
      </w:r>
      <w:r w:rsidR="00B81ADB">
        <w:rPr>
          <w:lang w:val="en-GB"/>
        </w:rPr>
        <w:t>;</w:t>
      </w:r>
      <w:r w:rsidR="006B793F">
        <w:rPr>
          <w:lang w:val="en-GB"/>
        </w:rPr>
        <w:t xml:space="preserve"> high </w:t>
      </w:r>
      <w:r w:rsidR="00373654">
        <w:rPr>
          <w:lang w:val="en-GB"/>
        </w:rPr>
        <w:t xml:space="preserve">amount of </w:t>
      </w:r>
      <w:r w:rsidR="003A13C1">
        <w:rPr>
          <w:lang w:val="en-GB"/>
        </w:rPr>
        <w:t>co-financing needed</w:t>
      </w:r>
      <w:r w:rsidR="00B81ADB">
        <w:rPr>
          <w:lang w:val="en-GB"/>
        </w:rPr>
        <w:t>;</w:t>
      </w:r>
      <w:r w:rsidR="002A3849">
        <w:rPr>
          <w:lang w:val="en-GB"/>
        </w:rPr>
        <w:t xml:space="preserve"> </w:t>
      </w:r>
      <w:r w:rsidRPr="006D73DE">
        <w:rPr>
          <w:lang w:val="en-GB"/>
        </w:rPr>
        <w:t>lack of human resources</w:t>
      </w:r>
      <w:r w:rsidR="002A3849">
        <w:rPr>
          <w:lang w:val="en-GB"/>
        </w:rPr>
        <w:t xml:space="preserve"> and</w:t>
      </w:r>
      <w:r w:rsidRPr="006D73DE">
        <w:rPr>
          <w:lang w:val="en-GB"/>
        </w:rPr>
        <w:t xml:space="preserve"> speciali</w:t>
      </w:r>
      <w:r w:rsidR="00B81ADB">
        <w:rPr>
          <w:lang w:val="en-GB"/>
        </w:rPr>
        <w:t>se</w:t>
      </w:r>
      <w:r w:rsidRPr="006D73DE">
        <w:rPr>
          <w:lang w:val="en-GB"/>
        </w:rPr>
        <w:t>d knowledge</w:t>
      </w:r>
      <w:r w:rsidR="002A3849">
        <w:rPr>
          <w:lang w:val="en-GB"/>
        </w:rPr>
        <w:t xml:space="preserve"> </w:t>
      </w:r>
      <w:r w:rsidR="000C719E">
        <w:rPr>
          <w:lang w:val="en-GB"/>
        </w:rPr>
        <w:t>including their</w:t>
      </w:r>
      <w:r w:rsidR="002A3849">
        <w:rPr>
          <w:lang w:val="en-GB"/>
        </w:rPr>
        <w:t xml:space="preserve"> track record and </w:t>
      </w:r>
      <w:r w:rsidRPr="006D73DE">
        <w:rPr>
          <w:lang w:val="en-GB"/>
        </w:rPr>
        <w:t>experience</w:t>
      </w:r>
      <w:r w:rsidR="000C719E">
        <w:rPr>
          <w:lang w:val="en-GB"/>
        </w:rPr>
        <w:t>;</w:t>
      </w:r>
      <w:r w:rsidRPr="006D73DE">
        <w:rPr>
          <w:lang w:val="en-GB"/>
        </w:rPr>
        <w:t xml:space="preserve"> </w:t>
      </w:r>
      <w:r w:rsidR="002A3849">
        <w:rPr>
          <w:lang w:val="en-GB"/>
        </w:rPr>
        <w:t xml:space="preserve">and </w:t>
      </w:r>
      <w:r w:rsidRPr="006D73DE">
        <w:rPr>
          <w:lang w:val="en-GB"/>
        </w:rPr>
        <w:t xml:space="preserve">extremely long project cycles. In the last year, there has also been a shortage of contractors. Beneficiaries have proposed higher </w:t>
      </w:r>
      <w:r w:rsidR="00922E25">
        <w:rPr>
          <w:lang w:val="en-GB"/>
        </w:rPr>
        <w:t>EU co-financing rates</w:t>
      </w:r>
      <w:r w:rsidRPr="006D73DE">
        <w:rPr>
          <w:lang w:val="en-GB"/>
        </w:rPr>
        <w:t xml:space="preserve">, </w:t>
      </w:r>
      <w:r w:rsidR="00922E25">
        <w:rPr>
          <w:lang w:val="en-GB"/>
        </w:rPr>
        <w:t xml:space="preserve">stable </w:t>
      </w:r>
      <w:r w:rsidRPr="006D73DE">
        <w:rPr>
          <w:lang w:val="en-GB"/>
        </w:rPr>
        <w:t>national funding, simplification of project implementation, partial energy renovations, expert support, and extended eligibility periods.</w:t>
      </w:r>
    </w:p>
    <w:p w14:paraId="757D3A14" w14:textId="77777777" w:rsidR="006D73DE" w:rsidRPr="006D73DE" w:rsidRDefault="006D73DE" w:rsidP="006D73DE">
      <w:pPr>
        <w:spacing w:after="0"/>
        <w:rPr>
          <w:lang w:val="en-GB"/>
        </w:rPr>
      </w:pPr>
    </w:p>
    <w:p w14:paraId="602A0374" w14:textId="15387E72" w:rsidR="006D73DE" w:rsidRPr="006D73DE" w:rsidRDefault="006D73DE" w:rsidP="006D73DE">
      <w:pPr>
        <w:spacing w:after="0"/>
        <w:rPr>
          <w:lang w:val="en-GB"/>
        </w:rPr>
      </w:pPr>
      <w:r w:rsidRPr="006D73DE">
        <w:rPr>
          <w:lang w:val="en-GB"/>
        </w:rPr>
        <w:t xml:space="preserve">The assessment of the </w:t>
      </w:r>
      <w:r w:rsidRPr="00F8243F">
        <w:rPr>
          <w:b/>
          <w:bCs/>
          <w:lang w:val="en-GB"/>
        </w:rPr>
        <w:t>wider impact</w:t>
      </w:r>
      <w:r w:rsidRPr="006D73DE">
        <w:rPr>
          <w:lang w:val="en-GB"/>
        </w:rPr>
        <w:t xml:space="preserve"> on beneficiaries shows that the funding had a moderate or strong impact on reducing energy consumption, energy costs, carbon footprint, cooling needs, improving working conditions, air quality, and enhancing the reputation of beneficiaries. The </w:t>
      </w:r>
      <w:r w:rsidRPr="00F8243F">
        <w:rPr>
          <w:b/>
          <w:bCs/>
          <w:lang w:val="en-GB"/>
        </w:rPr>
        <w:t>multiplier</w:t>
      </w:r>
      <w:r w:rsidRPr="006D73DE">
        <w:rPr>
          <w:lang w:val="en-GB"/>
        </w:rPr>
        <w:t xml:space="preserve"> of EU funds is 1.74, meaning that 45 million EUR of European funds mobilized an additional 79 million of private and public fund</w:t>
      </w:r>
      <w:r w:rsidR="00EE4675">
        <w:rPr>
          <w:lang w:val="en-GB"/>
        </w:rPr>
        <w:t>ing</w:t>
      </w:r>
      <w:r w:rsidRPr="006D73DE">
        <w:rPr>
          <w:lang w:val="en-GB"/>
        </w:rPr>
        <w:t xml:space="preserve">. The </w:t>
      </w:r>
      <w:r w:rsidRPr="00F8243F">
        <w:rPr>
          <w:b/>
          <w:bCs/>
          <w:lang w:val="en-GB"/>
        </w:rPr>
        <w:t>sustainability</w:t>
      </w:r>
      <w:r w:rsidRPr="006D73DE">
        <w:rPr>
          <w:lang w:val="en-GB"/>
        </w:rPr>
        <w:t xml:space="preserve"> of the achieved results is assessed by beneficiaries as long-term (over 10 years).</w:t>
      </w:r>
    </w:p>
    <w:p w14:paraId="46D37273" w14:textId="77777777" w:rsidR="006D73DE" w:rsidRPr="006D73DE" w:rsidRDefault="006D73DE" w:rsidP="006D73DE">
      <w:pPr>
        <w:spacing w:after="0"/>
        <w:rPr>
          <w:lang w:val="en-GB"/>
        </w:rPr>
      </w:pPr>
    </w:p>
    <w:p w14:paraId="38DA828A" w14:textId="67BF8066" w:rsidR="006D73DE" w:rsidRPr="006D73DE" w:rsidRDefault="006D73DE" w:rsidP="006D73DE">
      <w:pPr>
        <w:spacing w:after="0"/>
        <w:rPr>
          <w:lang w:val="en-GB"/>
        </w:rPr>
      </w:pPr>
      <w:r w:rsidRPr="006D73DE">
        <w:rPr>
          <w:lang w:val="en-GB"/>
        </w:rPr>
        <w:t xml:space="preserve">A total of </w:t>
      </w:r>
      <w:r w:rsidRPr="00F8243F">
        <w:rPr>
          <w:b/>
          <w:bCs/>
          <w:lang w:val="en-GB"/>
        </w:rPr>
        <w:t>36% of all operations</w:t>
      </w:r>
      <w:r w:rsidRPr="006D73DE">
        <w:rPr>
          <w:lang w:val="en-GB"/>
        </w:rPr>
        <w:t xml:space="preserve"> or </w:t>
      </w:r>
      <w:r w:rsidRPr="00F8243F">
        <w:rPr>
          <w:b/>
          <w:bCs/>
          <w:lang w:val="en-GB"/>
        </w:rPr>
        <w:t xml:space="preserve">45% of all planned renovations in terms of </w:t>
      </w:r>
      <w:r w:rsidR="00EE4675" w:rsidRPr="00F8243F">
        <w:rPr>
          <w:b/>
          <w:bCs/>
          <w:lang w:val="en-GB"/>
        </w:rPr>
        <w:t>m2</w:t>
      </w:r>
      <w:r w:rsidRPr="006D73DE">
        <w:rPr>
          <w:lang w:val="en-GB"/>
        </w:rPr>
        <w:t xml:space="preserve"> were implemented through the </w:t>
      </w:r>
      <w:r w:rsidRPr="00F8243F">
        <w:rPr>
          <w:b/>
          <w:bCs/>
          <w:lang w:val="en-GB"/>
        </w:rPr>
        <w:t>Public-Private Partnership</w:t>
      </w:r>
      <w:r w:rsidRPr="006D73DE">
        <w:rPr>
          <w:lang w:val="en-GB"/>
        </w:rPr>
        <w:t xml:space="preserve">, indicating that these </w:t>
      </w:r>
      <w:r w:rsidRPr="006D73DE">
        <w:rPr>
          <w:lang w:val="en-GB"/>
        </w:rPr>
        <w:lastRenderedPageBreak/>
        <w:t xml:space="preserve">investments significantly contributed to its establishment. To further promote </w:t>
      </w:r>
      <w:r w:rsidR="003B08ED">
        <w:rPr>
          <w:lang w:val="en-GB"/>
        </w:rPr>
        <w:t>utilisation of</w:t>
      </w:r>
      <w:r w:rsidRPr="006D73DE">
        <w:rPr>
          <w:lang w:val="en-GB"/>
        </w:rPr>
        <w:t xml:space="preserve"> Public-Private Partnership</w:t>
      </w:r>
      <w:r w:rsidR="003B08ED">
        <w:rPr>
          <w:lang w:val="en-GB"/>
        </w:rPr>
        <w:t xml:space="preserve"> within the framework of</w:t>
      </w:r>
      <w:r w:rsidRPr="006D73DE">
        <w:rPr>
          <w:lang w:val="en-GB"/>
        </w:rPr>
        <w:t xml:space="preserve"> the</w:t>
      </w:r>
      <w:r w:rsidRPr="006D73DE">
        <w:rPr>
          <w:lang w:val="en-GB"/>
        </w:rPr>
        <w:t xml:space="preserve"> support of EU funds, it would be necessary to consider either the consolidation of projects </w:t>
      </w:r>
      <w:r w:rsidR="00EE4675">
        <w:rPr>
          <w:lang w:val="en-GB"/>
        </w:rPr>
        <w:t xml:space="preserve">of </w:t>
      </w:r>
      <w:r w:rsidRPr="006D73DE">
        <w:rPr>
          <w:lang w:val="en-GB"/>
        </w:rPr>
        <w:t xml:space="preserve">energy renovations, </w:t>
      </w:r>
      <w:r w:rsidR="003B08ED">
        <w:rPr>
          <w:lang w:val="en-GB"/>
        </w:rPr>
        <w:t>or funding partial energy renovations. The former would</w:t>
      </w:r>
      <w:r w:rsidRPr="006D73DE">
        <w:rPr>
          <w:lang w:val="en-GB"/>
        </w:rPr>
        <w:t xml:space="preserve"> </w:t>
      </w:r>
      <w:r w:rsidR="003B08ED">
        <w:rPr>
          <w:lang w:val="en-GB"/>
        </w:rPr>
        <w:t>make</w:t>
      </w:r>
      <w:r w:rsidRPr="006D73DE">
        <w:rPr>
          <w:lang w:val="en-GB"/>
        </w:rPr>
        <w:t xml:space="preserve"> previously unattractive projects financially viable within a larger project framework, </w:t>
      </w:r>
      <w:r w:rsidR="003B08ED">
        <w:rPr>
          <w:lang w:val="en-GB"/>
        </w:rPr>
        <w:t>while the latter</w:t>
      </w:r>
      <w:r w:rsidRPr="006D73DE">
        <w:rPr>
          <w:lang w:val="en-GB"/>
        </w:rPr>
        <w:t xml:space="preserve"> </w:t>
      </w:r>
      <w:r w:rsidRPr="006D73DE">
        <w:rPr>
          <w:lang w:val="en-GB"/>
        </w:rPr>
        <w:t>would accelerate the scope of renovations</w:t>
      </w:r>
      <w:r w:rsidR="00765162">
        <w:rPr>
          <w:lang w:val="en-GB"/>
        </w:rPr>
        <w:t>,</w:t>
      </w:r>
      <w:r w:rsidRPr="006D73DE">
        <w:rPr>
          <w:lang w:val="en-GB"/>
        </w:rPr>
        <w:t xml:space="preserve"> and relieve the beneficiaries' own resources.</w:t>
      </w:r>
    </w:p>
    <w:p w14:paraId="31CEBD07" w14:textId="77777777" w:rsidR="006D73DE" w:rsidRPr="006D73DE" w:rsidRDefault="006D73DE" w:rsidP="006D73DE">
      <w:pPr>
        <w:spacing w:after="0"/>
        <w:rPr>
          <w:lang w:val="en-GB"/>
        </w:rPr>
      </w:pPr>
    </w:p>
    <w:p w14:paraId="7939AA33" w14:textId="77777777" w:rsidR="00B90F22" w:rsidRDefault="006D73DE" w:rsidP="006D73DE">
      <w:pPr>
        <w:spacing w:after="0"/>
        <w:rPr>
          <w:lang w:val="en-GB"/>
        </w:rPr>
      </w:pPr>
      <w:r w:rsidRPr="006D73DE">
        <w:rPr>
          <w:lang w:val="en-GB"/>
        </w:rPr>
        <w:t xml:space="preserve">Examples of </w:t>
      </w:r>
      <w:r w:rsidRPr="00F8243F">
        <w:rPr>
          <w:b/>
          <w:bCs/>
          <w:lang w:val="en-GB"/>
        </w:rPr>
        <w:t>good practices</w:t>
      </w:r>
      <w:r w:rsidRPr="006D73DE">
        <w:rPr>
          <w:lang w:val="en-GB"/>
        </w:rPr>
        <w:t xml:space="preserve"> in the EU demonstrate the added value of a centrali</w:t>
      </w:r>
      <w:r w:rsidR="002D1E4D">
        <w:rPr>
          <w:lang w:val="en-GB"/>
        </w:rPr>
        <w:t>s</w:t>
      </w:r>
      <w:r w:rsidRPr="006D73DE">
        <w:rPr>
          <w:lang w:val="en-GB"/>
        </w:rPr>
        <w:t xml:space="preserve">ed approach to setting priorities, scheduling, and financing energy renovations. To achieve economies of scale, it is crucial to </w:t>
      </w:r>
      <w:r w:rsidRPr="00F8243F">
        <w:rPr>
          <w:b/>
          <w:bCs/>
          <w:lang w:val="en-GB"/>
        </w:rPr>
        <w:t xml:space="preserve">consolidate </w:t>
      </w:r>
      <w:r w:rsidRPr="006D73DE">
        <w:rPr>
          <w:lang w:val="en-GB"/>
        </w:rPr>
        <w:t xml:space="preserve">not only </w:t>
      </w:r>
      <w:r w:rsidRPr="00F8243F">
        <w:rPr>
          <w:b/>
          <w:bCs/>
          <w:lang w:val="en-GB"/>
        </w:rPr>
        <w:t xml:space="preserve">projects </w:t>
      </w:r>
      <w:r w:rsidRPr="006D73DE">
        <w:rPr>
          <w:lang w:val="en-GB"/>
        </w:rPr>
        <w:t xml:space="preserve">but also different </w:t>
      </w:r>
      <w:r w:rsidRPr="00F8243F">
        <w:rPr>
          <w:b/>
          <w:bCs/>
          <w:lang w:val="en-GB"/>
        </w:rPr>
        <w:t>sources of financing</w:t>
      </w:r>
      <w:r w:rsidRPr="006D73DE">
        <w:rPr>
          <w:lang w:val="en-GB"/>
        </w:rPr>
        <w:t xml:space="preserve"> (EU funds, </w:t>
      </w:r>
      <w:r w:rsidR="004D28D3">
        <w:rPr>
          <w:lang w:val="en-GB"/>
        </w:rPr>
        <w:t>national</w:t>
      </w:r>
      <w:r w:rsidRPr="006D73DE">
        <w:rPr>
          <w:lang w:val="en-GB"/>
        </w:rPr>
        <w:t xml:space="preserve"> resources, savings from existing renovation projects, loans, etc.). Past experiences clearly show that EU funds alone are insufficient to close the identified gaps quickly </w:t>
      </w:r>
      <w:r w:rsidR="004D28D3">
        <w:rPr>
          <w:lang w:val="en-GB"/>
        </w:rPr>
        <w:t xml:space="preserve">enough </w:t>
      </w:r>
      <w:r w:rsidRPr="006D73DE">
        <w:rPr>
          <w:lang w:val="en-GB"/>
        </w:rPr>
        <w:t xml:space="preserve">if we continue with the current </w:t>
      </w:r>
      <w:r w:rsidR="001A2D36">
        <w:rPr>
          <w:lang w:val="en-GB"/>
        </w:rPr>
        <w:t>pace</w:t>
      </w:r>
      <w:r w:rsidRPr="006D73DE">
        <w:rPr>
          <w:lang w:val="en-GB"/>
        </w:rPr>
        <w:t xml:space="preserve"> and implementation methods of energy renovations. The dispersed implementation of energy renovations represents a high risk for achieving the set goals. </w:t>
      </w:r>
    </w:p>
    <w:p w14:paraId="19168244" w14:textId="77777777" w:rsidR="00B90F22" w:rsidRDefault="00B90F22" w:rsidP="006D73DE">
      <w:pPr>
        <w:spacing w:after="0"/>
        <w:rPr>
          <w:lang w:val="en-GB"/>
        </w:rPr>
      </w:pPr>
    </w:p>
    <w:p w14:paraId="0E6A4837" w14:textId="77777777" w:rsidR="00772FE8" w:rsidRDefault="006D73DE" w:rsidP="006D73DE">
      <w:pPr>
        <w:spacing w:after="0"/>
        <w:rPr>
          <w:lang w:val="en-GB"/>
        </w:rPr>
      </w:pPr>
      <w:r w:rsidRPr="006D73DE">
        <w:rPr>
          <w:lang w:val="en-GB"/>
        </w:rPr>
        <w:t xml:space="preserve">Individual ministries face challenges such as providing </w:t>
      </w:r>
      <w:r w:rsidR="001A2D36">
        <w:rPr>
          <w:lang w:val="en-GB"/>
        </w:rPr>
        <w:t>national budget</w:t>
      </w:r>
      <w:r w:rsidRPr="006D73DE">
        <w:rPr>
          <w:lang w:val="en-GB"/>
        </w:rPr>
        <w:t xml:space="preserve">, human resources, organizational capacity, specific </w:t>
      </w:r>
      <w:proofErr w:type="gramStart"/>
      <w:r w:rsidRPr="006D73DE">
        <w:rPr>
          <w:lang w:val="en-GB"/>
        </w:rPr>
        <w:t>knowledge</w:t>
      </w:r>
      <w:proofErr w:type="gramEnd"/>
      <w:r w:rsidRPr="006D73DE">
        <w:rPr>
          <w:lang w:val="en-GB"/>
        </w:rPr>
        <w:t xml:space="preserve"> and experience related to energy renovations. This challenge becomes even greater when project applicants come from the broader public sector</w:t>
      </w:r>
      <w:r w:rsidR="00361886">
        <w:rPr>
          <w:lang w:val="en-GB"/>
        </w:rPr>
        <w:t>,</w:t>
      </w:r>
      <w:r w:rsidRPr="006D73DE">
        <w:rPr>
          <w:lang w:val="en-GB"/>
        </w:rPr>
        <w:t xml:space="preserve"> and fall under the </w:t>
      </w:r>
      <w:r w:rsidR="00772FE8">
        <w:rPr>
          <w:lang w:val="en-GB"/>
        </w:rPr>
        <w:t>jurisdiction</w:t>
      </w:r>
      <w:r w:rsidRPr="006D73DE">
        <w:rPr>
          <w:lang w:val="en-GB"/>
        </w:rPr>
        <w:t xml:space="preserve"> of individual ministries (</w:t>
      </w:r>
      <w:proofErr w:type="gramStart"/>
      <w:r w:rsidR="00772FE8">
        <w:rPr>
          <w:lang w:val="en-GB"/>
        </w:rPr>
        <w:t>e.g.</w:t>
      </w:r>
      <w:proofErr w:type="gramEnd"/>
      <w:r w:rsidR="00772FE8">
        <w:rPr>
          <w:lang w:val="en-GB"/>
        </w:rPr>
        <w:t xml:space="preserve"> </w:t>
      </w:r>
      <w:r w:rsidRPr="006D73DE">
        <w:rPr>
          <w:lang w:val="en-GB"/>
        </w:rPr>
        <w:t xml:space="preserve">public institutes, nursing homes, high schools, universities). </w:t>
      </w:r>
    </w:p>
    <w:p w14:paraId="0F50E136" w14:textId="77777777" w:rsidR="00772FE8" w:rsidRDefault="00772FE8" w:rsidP="006D73DE">
      <w:pPr>
        <w:spacing w:after="0"/>
        <w:rPr>
          <w:lang w:val="en-GB"/>
        </w:rPr>
      </w:pPr>
    </w:p>
    <w:p w14:paraId="5FA29728" w14:textId="3EC4C075" w:rsidR="002714F0" w:rsidRPr="006D73DE" w:rsidRDefault="006D73DE" w:rsidP="006D73DE">
      <w:pPr>
        <w:spacing w:after="0"/>
        <w:rPr>
          <w:highlight w:val="yellow"/>
          <w:lang w:val="en-GB"/>
        </w:rPr>
      </w:pPr>
      <w:r w:rsidRPr="006D73DE">
        <w:rPr>
          <w:lang w:val="en-GB"/>
        </w:rPr>
        <w:t xml:space="preserve">The same applies to municipalities, whose biggest challenge is also securing their own </w:t>
      </w:r>
      <w:r w:rsidR="00F8243F">
        <w:rPr>
          <w:lang w:val="en-GB"/>
        </w:rPr>
        <w:t>funds</w:t>
      </w:r>
      <w:r w:rsidR="00C77202">
        <w:rPr>
          <w:lang w:val="en-GB"/>
        </w:rPr>
        <w:t>,</w:t>
      </w:r>
      <w:r w:rsidRPr="006D73DE">
        <w:rPr>
          <w:lang w:val="en-GB"/>
        </w:rPr>
        <w:t xml:space="preserve"> and </w:t>
      </w:r>
      <w:r w:rsidR="00C77202">
        <w:rPr>
          <w:lang w:val="en-GB"/>
        </w:rPr>
        <w:t>thus</w:t>
      </w:r>
      <w:r w:rsidRPr="006D73DE">
        <w:rPr>
          <w:lang w:val="en-GB"/>
        </w:rPr>
        <w:t xml:space="preserve"> the complexity of the procedures themselves. Municipalities are further legally restricted from borrowing from foreign financial institutions, even though financing conditions are often more </w:t>
      </w:r>
      <w:r w:rsidR="00F8243F" w:rsidRPr="006D73DE">
        <w:rPr>
          <w:lang w:val="en-GB"/>
        </w:rPr>
        <w:t>favourable</w:t>
      </w:r>
      <w:r w:rsidRPr="006D73DE">
        <w:rPr>
          <w:lang w:val="en-GB"/>
        </w:rPr>
        <w:t>. Therefore, centrali</w:t>
      </w:r>
      <w:r w:rsidR="005F5AC9">
        <w:rPr>
          <w:lang w:val="en-GB"/>
        </w:rPr>
        <w:t>s</w:t>
      </w:r>
      <w:r w:rsidRPr="006D73DE">
        <w:rPr>
          <w:lang w:val="en-GB"/>
        </w:rPr>
        <w:t>ation of the renovation process, including the financial aspect, could significantly contribute to a faster process of energy renovations, as confirmed by the experiences of other EU countries.</w:t>
      </w:r>
      <w:r w:rsidR="002714F0" w:rsidRPr="006D73DE">
        <w:rPr>
          <w:highlight w:val="yellow"/>
          <w:lang w:val="en-GB"/>
        </w:rPr>
        <w:br w:type="page"/>
      </w:r>
    </w:p>
    <w:p w14:paraId="1528A6EE" w14:textId="32F902CE" w:rsidR="0077373F" w:rsidRDefault="0077373F" w:rsidP="0077373F">
      <w:pPr>
        <w:pStyle w:val="Naslov1"/>
        <w:rPr>
          <w:lang w:val="sl-SI"/>
        </w:rPr>
      </w:pPr>
      <w:bookmarkStart w:id="6" w:name="_Toc136287523"/>
      <w:r w:rsidRPr="0058617C">
        <w:rPr>
          <w:lang w:val="sl-SI"/>
        </w:rPr>
        <w:lastRenderedPageBreak/>
        <w:t>Uvod</w:t>
      </w:r>
      <w:bookmarkEnd w:id="5"/>
      <w:bookmarkEnd w:id="6"/>
    </w:p>
    <w:p w14:paraId="3B82876C" w14:textId="77777777" w:rsidR="00C21ACF" w:rsidRDefault="00C21ACF" w:rsidP="00C21ACF">
      <w:pPr>
        <w:rPr>
          <w:lang w:val="sl-SI"/>
        </w:rPr>
      </w:pPr>
    </w:p>
    <w:p w14:paraId="7A033987" w14:textId="2F68325D" w:rsidR="004A01A8" w:rsidRPr="00B46785" w:rsidRDefault="004A01A8" w:rsidP="004A01A8">
      <w:pPr>
        <w:rPr>
          <w:lang w:val="sl-SI"/>
        </w:rPr>
      </w:pPr>
      <w:r w:rsidRPr="00B46785">
        <w:rPr>
          <w:lang w:val="sl-SI"/>
        </w:rPr>
        <w:t>Končno poročilo sestavlja</w:t>
      </w:r>
      <w:r w:rsidR="00B46785">
        <w:rPr>
          <w:lang w:val="sl-SI"/>
        </w:rPr>
        <w:t>jo</w:t>
      </w:r>
      <w:r w:rsidR="00D716D6" w:rsidRPr="00B46785">
        <w:rPr>
          <w:lang w:val="sl-SI"/>
        </w:rPr>
        <w:t xml:space="preserve"> </w:t>
      </w:r>
      <w:r w:rsidR="00B46785">
        <w:rPr>
          <w:lang w:val="sl-SI"/>
        </w:rPr>
        <w:t>štiri</w:t>
      </w:r>
      <w:r w:rsidRPr="00B46785">
        <w:rPr>
          <w:lang w:val="sl-SI"/>
        </w:rPr>
        <w:t xml:space="preserve"> poglavj</w:t>
      </w:r>
      <w:r w:rsidR="00D716D6" w:rsidRPr="00B46785">
        <w:rPr>
          <w:lang w:val="sl-SI"/>
        </w:rPr>
        <w:t>a</w:t>
      </w:r>
      <w:r w:rsidRPr="00B46785">
        <w:rPr>
          <w:lang w:val="sl-SI"/>
        </w:rPr>
        <w:t xml:space="preserve">: </w:t>
      </w:r>
    </w:p>
    <w:p w14:paraId="68C2DD70" w14:textId="3D911232" w:rsidR="004A01A8" w:rsidRPr="00B46785" w:rsidRDefault="004A01A8" w:rsidP="00B46785">
      <w:pPr>
        <w:pStyle w:val="Odstavekseznama"/>
        <w:numPr>
          <w:ilvl w:val="0"/>
          <w:numId w:val="43"/>
        </w:numPr>
        <w:rPr>
          <w:lang w:val="sl-SI"/>
        </w:rPr>
      </w:pPr>
      <w:r w:rsidRPr="00B46785">
        <w:rPr>
          <w:lang w:val="sl-SI"/>
        </w:rPr>
        <w:t>Uvod, ki opisuje predmet</w:t>
      </w:r>
      <w:r w:rsidR="00D716D6" w:rsidRPr="00B46785">
        <w:rPr>
          <w:lang w:val="sl-SI"/>
        </w:rPr>
        <w:t xml:space="preserve">, </w:t>
      </w:r>
      <w:r w:rsidRPr="00B46785">
        <w:rPr>
          <w:lang w:val="sl-SI"/>
        </w:rPr>
        <w:t xml:space="preserve">namen </w:t>
      </w:r>
      <w:r w:rsidR="00D716D6" w:rsidRPr="00B46785">
        <w:rPr>
          <w:lang w:val="sl-SI"/>
        </w:rPr>
        <w:t xml:space="preserve">in cilje </w:t>
      </w:r>
      <w:r w:rsidRPr="00B46785">
        <w:rPr>
          <w:lang w:val="sl-SI"/>
        </w:rPr>
        <w:t>vrednotenja.</w:t>
      </w:r>
    </w:p>
    <w:p w14:paraId="16B5F306" w14:textId="0173E12F" w:rsidR="004A01A8" w:rsidRPr="00B46785" w:rsidRDefault="004A01A8" w:rsidP="00B46785">
      <w:pPr>
        <w:pStyle w:val="Odstavekseznama"/>
        <w:numPr>
          <w:ilvl w:val="0"/>
          <w:numId w:val="43"/>
        </w:numPr>
        <w:rPr>
          <w:lang w:val="sl-SI"/>
        </w:rPr>
      </w:pPr>
      <w:r w:rsidRPr="00B46785">
        <w:rPr>
          <w:lang w:val="sl-SI"/>
        </w:rPr>
        <w:t>Pregled intervencijske logike, kjer je predstavljen namen spodbud.</w:t>
      </w:r>
    </w:p>
    <w:p w14:paraId="5D38DEC8" w14:textId="5AEF2910" w:rsidR="004A01A8" w:rsidRPr="00B46785" w:rsidRDefault="004A01A8" w:rsidP="00B46785">
      <w:pPr>
        <w:pStyle w:val="Odstavekseznama"/>
        <w:numPr>
          <w:ilvl w:val="0"/>
          <w:numId w:val="43"/>
        </w:numPr>
        <w:rPr>
          <w:lang w:val="sl-SI"/>
        </w:rPr>
      </w:pPr>
      <w:r w:rsidRPr="00B46785">
        <w:rPr>
          <w:lang w:val="sl-SI"/>
        </w:rPr>
        <w:t xml:space="preserve">Ugotovitve vrednotenja, kjer so predstavljeni odgovori na vprašanja za vrednotenje. Pri vsakem vprašanju </w:t>
      </w:r>
      <w:r w:rsidR="00D716D6" w:rsidRPr="00B46785">
        <w:rPr>
          <w:lang w:val="sl-SI"/>
        </w:rPr>
        <w:t xml:space="preserve">vrednotenja </w:t>
      </w:r>
      <w:r w:rsidRPr="00B46785">
        <w:rPr>
          <w:lang w:val="sl-SI"/>
        </w:rPr>
        <w:t>je predstavljena</w:t>
      </w:r>
      <w:r w:rsidR="00D716D6" w:rsidRPr="00B46785">
        <w:rPr>
          <w:lang w:val="sl-SI"/>
        </w:rPr>
        <w:t xml:space="preserve"> tudi</w:t>
      </w:r>
      <w:r w:rsidRPr="00B46785">
        <w:rPr>
          <w:lang w:val="sl-SI"/>
        </w:rPr>
        <w:t xml:space="preserve"> metodologija in pristop, ključne ugotovitve, priporočila in morebitni izzivi pri pripravi odgovora. </w:t>
      </w:r>
    </w:p>
    <w:p w14:paraId="69C781EF" w14:textId="3EB5ADA1" w:rsidR="004A01A8" w:rsidRPr="00B46785" w:rsidRDefault="004A01A8" w:rsidP="00B46785">
      <w:pPr>
        <w:pStyle w:val="Odstavekseznama"/>
        <w:numPr>
          <w:ilvl w:val="0"/>
          <w:numId w:val="43"/>
        </w:numPr>
        <w:rPr>
          <w:lang w:val="sl-SI"/>
        </w:rPr>
      </w:pPr>
      <w:r w:rsidRPr="00B46785">
        <w:rPr>
          <w:lang w:val="sl-SI"/>
        </w:rPr>
        <w:t xml:space="preserve">Pregled opravljenih nalog, kjer so popisane naloge, ki so bile opravljene od </w:t>
      </w:r>
      <w:r w:rsidR="00722932" w:rsidRPr="00B46785">
        <w:rPr>
          <w:lang w:val="sl-SI"/>
        </w:rPr>
        <w:t>z</w:t>
      </w:r>
      <w:r w:rsidRPr="00B46785">
        <w:rPr>
          <w:lang w:val="sl-SI"/>
        </w:rPr>
        <w:t xml:space="preserve">ačetnega do </w:t>
      </w:r>
      <w:r w:rsidR="00D716D6" w:rsidRPr="00B46785">
        <w:rPr>
          <w:lang w:val="sl-SI"/>
        </w:rPr>
        <w:t>k</w:t>
      </w:r>
      <w:r w:rsidRPr="00B46785">
        <w:rPr>
          <w:lang w:val="sl-SI"/>
        </w:rPr>
        <w:t xml:space="preserve">ončnega poročila. </w:t>
      </w:r>
    </w:p>
    <w:p w14:paraId="4FD109D0" w14:textId="2A53E2ED" w:rsidR="004A01A8" w:rsidRPr="00B46785" w:rsidRDefault="00B46785" w:rsidP="004A01A8">
      <w:pPr>
        <w:rPr>
          <w:lang w:val="sl-SI"/>
        </w:rPr>
      </w:pPr>
      <w:r w:rsidRPr="00B46785">
        <w:rPr>
          <w:noProof/>
          <w:lang w:val="sl-SI"/>
        </w:rPr>
        <w:drawing>
          <wp:anchor distT="0" distB="0" distL="114300" distR="114300" simplePos="0" relativeHeight="251658278" behindDoc="1" locked="0" layoutInCell="1" allowOverlap="1" wp14:anchorId="0508CEFA" wp14:editId="04CEF423">
            <wp:simplePos x="0" y="0"/>
            <wp:positionH relativeFrom="column">
              <wp:posOffset>1882355</wp:posOffset>
            </wp:positionH>
            <wp:positionV relativeFrom="paragraph">
              <wp:posOffset>180975</wp:posOffset>
            </wp:positionV>
            <wp:extent cx="323850" cy="323850"/>
            <wp:effectExtent l="0" t="0" r="0" b="0"/>
            <wp:wrapSquare wrapText="bothSides"/>
            <wp:docPr id="99311097" name="Grafika 99311097"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p comp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r w:rsidR="004A01A8" w:rsidRPr="00B46785">
        <w:rPr>
          <w:noProof/>
          <w:lang w:val="sl-SI"/>
        </w:rPr>
        <w:drawing>
          <wp:anchor distT="0" distB="0" distL="114300" distR="114300" simplePos="0" relativeHeight="251658279" behindDoc="1" locked="0" layoutInCell="1" allowOverlap="1" wp14:anchorId="7466901B" wp14:editId="1DB35D23">
            <wp:simplePos x="0" y="0"/>
            <wp:positionH relativeFrom="column">
              <wp:posOffset>0</wp:posOffset>
            </wp:positionH>
            <wp:positionV relativeFrom="paragraph">
              <wp:posOffset>167005</wp:posOffset>
            </wp:positionV>
            <wp:extent cx="323850" cy="323850"/>
            <wp:effectExtent l="0" t="0" r="0" b="0"/>
            <wp:wrapTight wrapText="bothSides">
              <wp:wrapPolygon edited="0">
                <wp:start x="2541" y="847"/>
                <wp:lineTo x="2541" y="18635"/>
                <wp:lineTo x="3388" y="20329"/>
                <wp:lineTo x="19482" y="20329"/>
                <wp:lineTo x="19482" y="847"/>
                <wp:lineTo x="2541" y="847"/>
              </wp:wrapPolygon>
            </wp:wrapTight>
            <wp:docPr id="538999964" name="Grafika 538999964" descr="Play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layboo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r w:rsidR="004A01A8" w:rsidRPr="00B46785">
        <w:rPr>
          <w:lang w:val="sl-SI"/>
        </w:rPr>
        <w:t>V dokumentu podane ugotovitve in priporočila so označeni z naslednjimi ikonami:</w:t>
      </w:r>
    </w:p>
    <w:p w14:paraId="217247A2" w14:textId="3353A0FD" w:rsidR="004A01A8" w:rsidRDefault="004A01A8" w:rsidP="004A01A8">
      <w:pPr>
        <w:rPr>
          <w:b/>
          <w:bCs/>
          <w:lang w:val="sl-SI"/>
        </w:rPr>
      </w:pPr>
      <w:r w:rsidRPr="00B46785">
        <w:rPr>
          <w:b/>
          <w:bCs/>
          <w:lang w:val="sl-SI"/>
        </w:rPr>
        <w:t>Ključne ugotovitve</w:t>
      </w:r>
      <w:r w:rsidRPr="00B46785">
        <w:rPr>
          <w:lang w:val="sl-SI"/>
        </w:rPr>
        <w:t xml:space="preserve">               </w:t>
      </w:r>
      <w:r w:rsidRPr="00B46785">
        <w:rPr>
          <w:b/>
          <w:bCs/>
          <w:lang w:val="sl-SI"/>
        </w:rPr>
        <w:t>Priporočila</w:t>
      </w:r>
    </w:p>
    <w:p w14:paraId="3832C7E0" w14:textId="77777777" w:rsidR="004A01A8" w:rsidRDefault="004A01A8" w:rsidP="004A01A8">
      <w:pPr>
        <w:rPr>
          <w:b/>
          <w:bCs/>
          <w:lang w:val="sl-SI"/>
        </w:rPr>
      </w:pPr>
    </w:p>
    <w:p w14:paraId="0F2AB4CB" w14:textId="77777777" w:rsidR="004A01A8" w:rsidRPr="00270857" w:rsidRDefault="004A01A8" w:rsidP="004A01A8">
      <w:pPr>
        <w:rPr>
          <w:b/>
          <w:bCs/>
          <w:lang w:val="sl-SI"/>
        </w:rPr>
      </w:pPr>
    </w:p>
    <w:p w14:paraId="0352DF5D" w14:textId="35874616" w:rsidR="0077373F" w:rsidRPr="0058617C" w:rsidRDefault="0077373F" w:rsidP="0077373F">
      <w:pPr>
        <w:pStyle w:val="Naslov2"/>
        <w:rPr>
          <w:lang w:val="sl-SI"/>
        </w:rPr>
      </w:pPr>
      <w:bookmarkStart w:id="7" w:name="_Toc129003804"/>
      <w:bookmarkStart w:id="8" w:name="_Toc136287524"/>
      <w:r w:rsidRPr="0058617C">
        <w:rPr>
          <w:lang w:val="sl-SI"/>
        </w:rPr>
        <w:t xml:space="preserve">Predmet </w:t>
      </w:r>
      <w:r w:rsidR="00A962A0" w:rsidRPr="0058617C">
        <w:rPr>
          <w:lang w:val="sl-SI"/>
        </w:rPr>
        <w:t>v</w:t>
      </w:r>
      <w:r w:rsidRPr="0058617C">
        <w:rPr>
          <w:lang w:val="sl-SI"/>
        </w:rPr>
        <w:t>rednotenja</w:t>
      </w:r>
      <w:bookmarkEnd w:id="7"/>
      <w:bookmarkEnd w:id="8"/>
    </w:p>
    <w:p w14:paraId="0B5E511A" w14:textId="45FA721C" w:rsidR="008F22B1" w:rsidRPr="0058617C" w:rsidRDefault="008F22B1" w:rsidP="008F22B1">
      <w:pPr>
        <w:rPr>
          <w:lang w:val="sl-SI"/>
        </w:rPr>
      </w:pPr>
    </w:p>
    <w:p w14:paraId="1C1E6412" w14:textId="2B1F56AD" w:rsidR="0084551A" w:rsidRPr="0058617C" w:rsidRDefault="0084551A" w:rsidP="0084551A">
      <w:pPr>
        <w:rPr>
          <w:lang w:val="sl-SI"/>
        </w:rPr>
      </w:pPr>
      <w:r w:rsidRPr="0058617C">
        <w:rPr>
          <w:lang w:val="sl-SI"/>
        </w:rPr>
        <w:t>Predmet vrednotenja so javni razpisi in projekti, ki so se izvajali v sklopu specifičnega cilja (v nadaljevanju SC) 1 »</w:t>
      </w:r>
      <w:r w:rsidRPr="0058617C">
        <w:rPr>
          <w:b/>
          <w:bCs/>
          <w:color w:val="032D5B" w:themeColor="accent1"/>
          <w:lang w:val="sl-SI"/>
        </w:rPr>
        <w:t>Povečanje učinkovitosti rabe energije v javnem sektorju</w:t>
      </w:r>
      <w:r w:rsidRPr="0058617C">
        <w:rPr>
          <w:lang w:val="sl-SI"/>
        </w:rPr>
        <w:t xml:space="preserve">«, pri prednostni naložbi (v nadaljevanju PN) 4.1 »Spodbujanje energetske učinkovitosti, pametnega upravljanja z energijo in uporabe energije iz obnovljivih virov v javni infrastrukturi, vključno z javnimi stavbami, in stanovanjskem sektorju«, kot </w:t>
      </w:r>
      <w:r w:rsidR="00F86FB5">
        <w:rPr>
          <w:lang w:val="sl-SI"/>
        </w:rPr>
        <w:t>je o</w:t>
      </w:r>
      <w:r w:rsidRPr="0058617C">
        <w:rPr>
          <w:lang w:val="sl-SI"/>
        </w:rPr>
        <w:t xml:space="preserve">predeljeno v Operativnem programu za izvajanje kohezijske politike v programskem obdobju 2014-2020 (v nadaljevanju OP). </w:t>
      </w:r>
    </w:p>
    <w:p w14:paraId="1394B487" w14:textId="135B2362" w:rsidR="00C21ACF" w:rsidRDefault="0084551A" w:rsidP="0084551A">
      <w:pPr>
        <w:rPr>
          <w:lang w:val="sl-SI"/>
        </w:rPr>
      </w:pPr>
      <w:r w:rsidRPr="0058617C">
        <w:rPr>
          <w:lang w:val="sl-SI"/>
        </w:rPr>
        <w:t>Slovenija si z vlaganji v ukrepe, ki so predmet vrednotenja</w:t>
      </w:r>
      <w:r w:rsidR="00552162">
        <w:rPr>
          <w:lang w:val="sl-SI"/>
        </w:rPr>
        <w:t>,</w:t>
      </w:r>
      <w:r w:rsidRPr="0058617C">
        <w:rPr>
          <w:lang w:val="sl-SI"/>
        </w:rPr>
        <w:t xml:space="preserve"> prizadeva doseči </w:t>
      </w:r>
      <w:r w:rsidRPr="0058617C">
        <w:rPr>
          <w:b/>
          <w:bCs/>
          <w:color w:val="032D5B" w:themeColor="accent1"/>
          <w:lang w:val="sl-SI"/>
        </w:rPr>
        <w:t>večje prihranke končne energije v stavbah javnega sektorja</w:t>
      </w:r>
      <w:r w:rsidRPr="0058617C">
        <w:rPr>
          <w:lang w:val="sl-SI"/>
        </w:rPr>
        <w:t xml:space="preserve"> kot tudi </w:t>
      </w:r>
      <w:r w:rsidRPr="0058617C">
        <w:rPr>
          <w:b/>
          <w:bCs/>
          <w:color w:val="032D5B" w:themeColor="accent1"/>
          <w:lang w:val="sl-SI"/>
        </w:rPr>
        <w:t xml:space="preserve">energetsko prenovljene površine stavb v lasti in uporabi osrednje oz. ožje vlade </w:t>
      </w:r>
      <w:r w:rsidRPr="0058617C">
        <w:rPr>
          <w:lang w:val="sl-SI"/>
        </w:rPr>
        <w:t xml:space="preserve">skladno z zahtevami veljavne direktive o energetski učinkovitosti. </w:t>
      </w:r>
    </w:p>
    <w:p w14:paraId="54F1B4FE" w14:textId="094F4873" w:rsidR="0084551A" w:rsidRPr="0058617C" w:rsidRDefault="0084551A" w:rsidP="0084551A">
      <w:pPr>
        <w:rPr>
          <w:lang w:val="sl-SI"/>
        </w:rPr>
      </w:pPr>
      <w:r w:rsidRPr="0058617C">
        <w:rPr>
          <w:lang w:val="sl-SI"/>
        </w:rPr>
        <w:t xml:space="preserve">Direktiva 2012/27/EU o energetski učinkovitosti namreč določa, da </w:t>
      </w:r>
      <w:r w:rsidR="00F81C7F">
        <w:rPr>
          <w:lang w:val="sl-SI"/>
        </w:rPr>
        <w:t xml:space="preserve">mora </w:t>
      </w:r>
      <w:r w:rsidRPr="0058617C">
        <w:rPr>
          <w:lang w:val="sl-SI"/>
        </w:rPr>
        <w:t>vsaka država članica od 1. januarja 2014 naprej vsako leto prenovi</w:t>
      </w:r>
      <w:r w:rsidR="00F81C7F">
        <w:rPr>
          <w:lang w:val="sl-SI"/>
        </w:rPr>
        <w:t>ti</w:t>
      </w:r>
      <w:r w:rsidRPr="0058617C">
        <w:rPr>
          <w:lang w:val="sl-SI"/>
        </w:rPr>
        <w:t xml:space="preserve"> 3% skupne tlorisne površine stavb v lasti in rabi ožjega javnega sektorja (ožja vlada), ki se ogrevajo ali ohlajajo in da se zagotovijo minimalne zahteve glede energetske učinkovitosti stavb. Stopnja 3% se izračuna na podlagi skupne tlorisne površine stavb v lasti in rabi ožjega javnega sektorja zadevne države članice, ki imajo skupno uporabno tlorisno površino več kot 500 m2 in ki 1. januarja vsakega leta ne izpolnjujejo nacionalnih minimalnih zahtev glede energetske učinkovitosti, določenih v skladu s </w:t>
      </w:r>
      <w:r w:rsidR="000A1EF0">
        <w:rPr>
          <w:lang w:val="sl-SI"/>
        </w:rPr>
        <w:t xml:space="preserve">4. </w:t>
      </w:r>
      <w:r w:rsidRPr="0058617C">
        <w:rPr>
          <w:lang w:val="sl-SI"/>
        </w:rPr>
        <w:t xml:space="preserve">členom Direktive 2010/31/EU. </w:t>
      </w:r>
      <w:r w:rsidR="00276D77">
        <w:rPr>
          <w:lang w:val="sl-SI"/>
        </w:rPr>
        <w:t>Od 9. julija dalje se je n</w:t>
      </w:r>
      <w:r w:rsidRPr="0058617C">
        <w:rPr>
          <w:lang w:val="sl-SI"/>
        </w:rPr>
        <w:t>avedena meja zniža</w:t>
      </w:r>
      <w:r w:rsidR="000A1EF0">
        <w:rPr>
          <w:lang w:val="sl-SI"/>
        </w:rPr>
        <w:t>la</w:t>
      </w:r>
      <w:r w:rsidRPr="0058617C">
        <w:rPr>
          <w:lang w:val="sl-SI"/>
        </w:rPr>
        <w:t xml:space="preserve"> na 250 m2</w:t>
      </w:r>
      <w:r w:rsidR="00DC3D3B">
        <w:rPr>
          <w:lang w:val="sl-SI"/>
        </w:rPr>
        <w:t xml:space="preserve">. Cilj OP je torej, </w:t>
      </w:r>
      <w:r w:rsidRPr="0058617C">
        <w:rPr>
          <w:lang w:val="sl-SI"/>
        </w:rPr>
        <w:t xml:space="preserve">da so z </w:t>
      </w:r>
      <w:r w:rsidR="00556CC7">
        <w:rPr>
          <w:lang w:val="sl-SI"/>
        </w:rPr>
        <w:t xml:space="preserve">vlaganji </w:t>
      </w:r>
      <w:r w:rsidRPr="0058617C">
        <w:rPr>
          <w:lang w:val="sl-SI"/>
        </w:rPr>
        <w:t>podprta prizadevanja za izpolnjevanje teh zahtev. Slovenija v sklopu OP sledi tudi zahtevam Direktive 2010/31/EU, ki državam članicam nalaga obveznost glede izgradnje skoraj nič-energijskih stavb v javnem sektorju, zato so spodbujana vlaganja tudi v energetsko prenovo stavb po standardu skoraj nič-energijske stavbe in skoraj nič-energijske nadomestne novogradnje v smislu 4. tč. 5. čl. Direktive 2012/27/EU.</w:t>
      </w:r>
    </w:p>
    <w:p w14:paraId="57B965CA" w14:textId="77777777" w:rsidR="0084551A" w:rsidRPr="0058617C" w:rsidRDefault="0084551A" w:rsidP="0084551A">
      <w:pPr>
        <w:rPr>
          <w:lang w:val="sl-SI"/>
        </w:rPr>
      </w:pPr>
      <w:r w:rsidRPr="0058617C">
        <w:rPr>
          <w:lang w:val="sl-SI"/>
        </w:rPr>
        <w:t xml:space="preserve">V sklopu vrednotenja so skladno s tehničnimi specifikacijami javnega naročila </w:t>
      </w:r>
      <w:r w:rsidRPr="0058617C">
        <w:rPr>
          <w:b/>
          <w:bCs/>
          <w:color w:val="032D5B" w:themeColor="accent1"/>
          <w:lang w:val="sl-SI"/>
        </w:rPr>
        <w:t>zajeti naslednji javni razpisi/ukrepi</w:t>
      </w:r>
      <w:r w:rsidRPr="0058617C">
        <w:rPr>
          <w:lang w:val="sl-SI"/>
        </w:rPr>
        <w:t>:</w:t>
      </w:r>
    </w:p>
    <w:p w14:paraId="7E82D756" w14:textId="77777777" w:rsidR="0084551A" w:rsidRPr="0058617C" w:rsidRDefault="0084551A" w:rsidP="0084551A">
      <w:pPr>
        <w:pStyle w:val="Odstavekseznama"/>
        <w:numPr>
          <w:ilvl w:val="0"/>
          <w:numId w:val="10"/>
        </w:numPr>
        <w:rPr>
          <w:lang w:val="sl-SI"/>
        </w:rPr>
      </w:pPr>
      <w:r w:rsidRPr="0058617C">
        <w:rPr>
          <w:lang w:val="sl-SI"/>
        </w:rPr>
        <w:t xml:space="preserve">Javni razpis za sofinanciranje energetske prenove stavb v lasti in rabi občin (JOB-2016), </w:t>
      </w:r>
    </w:p>
    <w:p w14:paraId="7C8C0017" w14:textId="77777777" w:rsidR="0084551A" w:rsidRPr="0058617C" w:rsidRDefault="0084551A" w:rsidP="0084551A">
      <w:pPr>
        <w:pStyle w:val="Odstavekseznama"/>
        <w:numPr>
          <w:ilvl w:val="0"/>
          <w:numId w:val="10"/>
        </w:numPr>
        <w:rPr>
          <w:lang w:val="sl-SI"/>
        </w:rPr>
      </w:pPr>
      <w:r w:rsidRPr="0058617C">
        <w:rPr>
          <w:lang w:val="sl-SI"/>
        </w:rPr>
        <w:t>Javni razpis za sofinanciranje energetske prenove stavb v lasti in rabi občin v letih 2017 in 2018 (JOB-2017),</w:t>
      </w:r>
    </w:p>
    <w:p w14:paraId="21EC6A51" w14:textId="77777777" w:rsidR="0084551A" w:rsidRPr="0058617C" w:rsidRDefault="0084551A" w:rsidP="0084551A">
      <w:pPr>
        <w:pStyle w:val="Odstavekseznama"/>
        <w:numPr>
          <w:ilvl w:val="0"/>
          <w:numId w:val="10"/>
        </w:numPr>
        <w:rPr>
          <w:lang w:val="sl-SI"/>
        </w:rPr>
      </w:pPr>
      <w:r w:rsidRPr="0058617C">
        <w:rPr>
          <w:lang w:val="sl-SI"/>
        </w:rPr>
        <w:t>Javni razpis za sofinanciranje energetske prenove stavb v lasti in rabi občin v letih 2018, 2019 in 2020 (JOB-2018),</w:t>
      </w:r>
    </w:p>
    <w:p w14:paraId="05B777ED" w14:textId="77777777" w:rsidR="0084551A" w:rsidRPr="0058617C" w:rsidRDefault="0084551A" w:rsidP="0084551A">
      <w:pPr>
        <w:pStyle w:val="Odstavekseznama"/>
        <w:numPr>
          <w:ilvl w:val="0"/>
          <w:numId w:val="10"/>
        </w:numPr>
        <w:rPr>
          <w:lang w:val="sl-SI"/>
        </w:rPr>
      </w:pPr>
      <w:r w:rsidRPr="0058617C">
        <w:rPr>
          <w:lang w:val="sl-SI"/>
        </w:rPr>
        <w:lastRenderedPageBreak/>
        <w:t>Javni razpis za sofinanciranje energetske prenove stavb v lasti in rabi občin v letih 2019, 2020 in 2021 (JOB-2019),</w:t>
      </w:r>
    </w:p>
    <w:p w14:paraId="6A80720C" w14:textId="77777777" w:rsidR="0084551A" w:rsidRPr="0058617C" w:rsidRDefault="0084551A" w:rsidP="0084551A">
      <w:pPr>
        <w:pStyle w:val="Odstavekseznama"/>
        <w:numPr>
          <w:ilvl w:val="0"/>
          <w:numId w:val="10"/>
        </w:numPr>
        <w:rPr>
          <w:lang w:val="sl-SI"/>
        </w:rPr>
      </w:pPr>
      <w:r w:rsidRPr="0058617C">
        <w:rPr>
          <w:lang w:val="sl-SI"/>
        </w:rPr>
        <w:t>Javni razpis za sofinanciranje energetske prenove stavb v lasti in rabi občin v letih 2020, 2021 in 2022 (JOB-2020),</w:t>
      </w:r>
    </w:p>
    <w:p w14:paraId="5CA423FA" w14:textId="77777777" w:rsidR="0084551A" w:rsidRPr="0058617C" w:rsidRDefault="0084551A" w:rsidP="0084551A">
      <w:pPr>
        <w:pStyle w:val="Odstavekseznama"/>
        <w:numPr>
          <w:ilvl w:val="0"/>
          <w:numId w:val="10"/>
        </w:numPr>
        <w:rPr>
          <w:lang w:val="sl-SI"/>
        </w:rPr>
      </w:pPr>
      <w:r w:rsidRPr="0058617C">
        <w:rPr>
          <w:lang w:val="sl-SI"/>
        </w:rPr>
        <w:t xml:space="preserve">Javni razpis za sofinanciranje energetske prenove stavb v lasti in rabi občin v letih 2021, 2022 in 2023 (JOB-2021) ter </w:t>
      </w:r>
    </w:p>
    <w:p w14:paraId="2005240F" w14:textId="199D36EB" w:rsidR="0084551A" w:rsidRPr="0058617C" w:rsidRDefault="0084551A" w:rsidP="0084551A">
      <w:pPr>
        <w:pStyle w:val="Odstavekseznama"/>
        <w:numPr>
          <w:ilvl w:val="0"/>
          <w:numId w:val="10"/>
        </w:numPr>
        <w:rPr>
          <w:lang w:val="sl-SI"/>
        </w:rPr>
      </w:pPr>
      <w:r w:rsidRPr="0058617C">
        <w:rPr>
          <w:lang w:val="sl-SI"/>
        </w:rPr>
        <w:t>vsa povabila nosilnega posredniškega organa in neposredne potrditve operacij sofinanciranja energetske prenove javnih stavb ožjega in širšega javnega sektorja izvedenih v obdobju do decembra 2021</w:t>
      </w:r>
      <w:r w:rsidR="00664DD8">
        <w:rPr>
          <w:lang w:val="sl-SI"/>
        </w:rPr>
        <w:t xml:space="preserve"> (po seznamu spodaj)</w:t>
      </w:r>
      <w:r w:rsidRPr="0058617C">
        <w:rPr>
          <w:lang w:val="sl-SI"/>
        </w:rPr>
        <w:t>.</w:t>
      </w:r>
    </w:p>
    <w:p w14:paraId="00451F0E" w14:textId="3693B904" w:rsidR="0084551A" w:rsidRPr="0058617C" w:rsidRDefault="0084551A" w:rsidP="0084551A">
      <w:pPr>
        <w:rPr>
          <w:lang w:val="sl-SI"/>
        </w:rPr>
      </w:pPr>
      <w:r w:rsidRPr="0058617C">
        <w:rPr>
          <w:lang w:val="sl-SI"/>
        </w:rPr>
        <w:t xml:space="preserve">Vsi navedeni ukrepi so financirani iz sredstev Kohezijskega sklada in nacionalnega prispevka. </w:t>
      </w:r>
    </w:p>
    <w:p w14:paraId="5C2DA1EC" w14:textId="019283F9" w:rsidR="00524C20" w:rsidRPr="0058617C" w:rsidRDefault="00C21ACF" w:rsidP="0084551A">
      <w:pPr>
        <w:rPr>
          <w:lang w:val="sl-SI"/>
        </w:rPr>
      </w:pPr>
      <w:r>
        <w:rPr>
          <w:lang w:val="sl-SI"/>
        </w:rPr>
        <w:t xml:space="preserve">V sklopu vrednotenja </w:t>
      </w:r>
      <w:r w:rsidR="006435D8">
        <w:rPr>
          <w:lang w:val="sl-SI"/>
        </w:rPr>
        <w:t xml:space="preserve">so bila </w:t>
      </w:r>
      <w:r w:rsidRPr="00D122D4">
        <w:rPr>
          <w:lang w:val="sl-SI"/>
        </w:rPr>
        <w:t>p</w:t>
      </w:r>
      <w:r w:rsidR="00524C20" w:rsidRPr="00D122D4">
        <w:rPr>
          <w:lang w:val="sl-SI"/>
        </w:rPr>
        <w:t>regledana</w:t>
      </w:r>
      <w:r w:rsidR="00524C20" w:rsidRPr="00C21ACF">
        <w:rPr>
          <w:b/>
          <w:bCs/>
          <w:color w:val="032D5B" w:themeColor="accent1"/>
          <w:lang w:val="sl-SI"/>
        </w:rPr>
        <w:t xml:space="preserve"> </w:t>
      </w:r>
      <w:r w:rsidR="00664DD8">
        <w:rPr>
          <w:lang w:val="sl-SI"/>
        </w:rPr>
        <w:t>naslednja</w:t>
      </w:r>
      <w:r w:rsidR="00D122D4" w:rsidRPr="00D122D4">
        <w:rPr>
          <w:color w:val="032D5B" w:themeColor="accent1"/>
          <w:lang w:val="sl-SI"/>
        </w:rPr>
        <w:t xml:space="preserve"> </w:t>
      </w:r>
      <w:r w:rsidR="00524C20" w:rsidRPr="00C21ACF">
        <w:rPr>
          <w:b/>
          <w:bCs/>
          <w:color w:val="032D5B" w:themeColor="accent1"/>
          <w:lang w:val="sl-SI"/>
        </w:rPr>
        <w:t xml:space="preserve">povabila nosilnega posredniškega organa </w:t>
      </w:r>
      <w:r w:rsidR="00524C20" w:rsidRPr="0058617C">
        <w:rPr>
          <w:lang w:val="sl-SI"/>
        </w:rPr>
        <w:t xml:space="preserve">za operacije sofinanciranja energetske prenove javnih stavb ožjega in širšega javnega sektorja, izvedenih v obdobju do decembra 2021, </w:t>
      </w:r>
      <w:r w:rsidR="00D122D4">
        <w:rPr>
          <w:lang w:val="sl-SI"/>
        </w:rPr>
        <w:t>in sicer</w:t>
      </w:r>
      <w:r w:rsidR="00524C20" w:rsidRPr="0058617C">
        <w:rPr>
          <w:lang w:val="sl-SI"/>
        </w:rPr>
        <w:t>:</w:t>
      </w:r>
    </w:p>
    <w:p w14:paraId="1D25F365" w14:textId="0BF81B3A" w:rsidR="00352885" w:rsidRPr="0058617C" w:rsidRDefault="00352885" w:rsidP="00C21ACF">
      <w:pPr>
        <w:pStyle w:val="Odstavekseznama"/>
        <w:numPr>
          <w:ilvl w:val="0"/>
          <w:numId w:val="10"/>
        </w:numPr>
        <w:rPr>
          <w:lang w:val="sl-SI"/>
        </w:rPr>
      </w:pPr>
      <w:r w:rsidRPr="0058617C">
        <w:rPr>
          <w:lang w:val="sl-SI"/>
        </w:rPr>
        <w:t xml:space="preserve">Povabilo </w:t>
      </w:r>
      <w:r w:rsidRPr="00C21ACF">
        <w:rPr>
          <w:lang w:val="sl-SI"/>
        </w:rPr>
        <w:t>OJS 2016</w:t>
      </w:r>
      <w:r w:rsidRPr="0058617C">
        <w:rPr>
          <w:lang w:val="sl-SI"/>
        </w:rPr>
        <w:t>, objavljeno dne 15.07.2016 - Povabilo k oddaji vloge prijavitelja za posredovanje predlogov operacij energetske prenove stavb v lasti in uporabi oseb ožjega javnega sektorja</w:t>
      </w:r>
      <w:r w:rsidR="00664DD8">
        <w:rPr>
          <w:lang w:val="sl-SI"/>
        </w:rPr>
        <w:t>,</w:t>
      </w:r>
    </w:p>
    <w:p w14:paraId="7D09B74C" w14:textId="48392EC0" w:rsidR="00524C20" w:rsidRPr="0058617C" w:rsidRDefault="00524C20" w:rsidP="00C21ACF">
      <w:pPr>
        <w:pStyle w:val="Odstavekseznama"/>
        <w:numPr>
          <w:ilvl w:val="0"/>
          <w:numId w:val="10"/>
        </w:numPr>
        <w:rPr>
          <w:lang w:val="sl-SI"/>
        </w:rPr>
      </w:pPr>
      <w:r w:rsidRPr="0058617C">
        <w:rPr>
          <w:lang w:val="sl-SI"/>
        </w:rPr>
        <w:t xml:space="preserve">Povabilo </w:t>
      </w:r>
      <w:r w:rsidRPr="00C21ACF">
        <w:rPr>
          <w:lang w:val="sl-SI"/>
        </w:rPr>
        <w:t>ŠJS 2016</w:t>
      </w:r>
      <w:r w:rsidRPr="0058617C">
        <w:rPr>
          <w:lang w:val="sl-SI"/>
        </w:rPr>
        <w:t xml:space="preserve">, objavljeno dne 21.07.2016 - </w:t>
      </w:r>
      <w:r w:rsidRPr="0058617C">
        <w:rPr>
          <w:lang w:val="sl-SI"/>
        </w:rPr>
        <w:tab/>
        <w:t>Povabilo k oddaji vloge prijavitelja za posredovanje predlogov operacij energetske prenove stavb v lasti in uporabi oseb širšega javnega sektorja v lasti države</w:t>
      </w:r>
      <w:r w:rsidR="00664DD8">
        <w:rPr>
          <w:lang w:val="sl-SI"/>
        </w:rPr>
        <w:t>,</w:t>
      </w:r>
    </w:p>
    <w:p w14:paraId="4B743D4A" w14:textId="54C35BCF" w:rsidR="00352885" w:rsidRPr="0058617C" w:rsidRDefault="00352885" w:rsidP="00C21ACF">
      <w:pPr>
        <w:pStyle w:val="Odstavekseznama"/>
        <w:numPr>
          <w:ilvl w:val="0"/>
          <w:numId w:val="10"/>
        </w:numPr>
        <w:rPr>
          <w:lang w:val="sl-SI"/>
        </w:rPr>
      </w:pPr>
      <w:r w:rsidRPr="0058617C">
        <w:rPr>
          <w:lang w:val="sl-SI"/>
        </w:rPr>
        <w:t xml:space="preserve">Povabilo </w:t>
      </w:r>
      <w:r w:rsidRPr="00C21ACF">
        <w:rPr>
          <w:lang w:val="sl-SI"/>
        </w:rPr>
        <w:t>Pilot KD 2016</w:t>
      </w:r>
      <w:r w:rsidRPr="0058617C">
        <w:rPr>
          <w:lang w:val="sl-SI"/>
        </w:rPr>
        <w:t>, objavljeno dne 01.12.2016 - Povabilo k oddaji predlogov operacij, ki bi se izvedle kot demonstracijski/ pilotni projekt celovite energetske prenove javnih stavb z vsebinsko karakteristiko kulturne dediščine v OP-EKP 2014-2020</w:t>
      </w:r>
      <w:r w:rsidR="00664DD8">
        <w:rPr>
          <w:lang w:val="sl-SI"/>
        </w:rPr>
        <w:t>,</w:t>
      </w:r>
    </w:p>
    <w:p w14:paraId="2EDC7A91" w14:textId="65A5E8CB" w:rsidR="00352885" w:rsidRPr="0058617C" w:rsidRDefault="00352885" w:rsidP="00C21ACF">
      <w:pPr>
        <w:pStyle w:val="Odstavekseznama"/>
        <w:numPr>
          <w:ilvl w:val="0"/>
          <w:numId w:val="10"/>
        </w:numPr>
        <w:rPr>
          <w:lang w:val="sl-SI"/>
        </w:rPr>
      </w:pPr>
      <w:r w:rsidRPr="0058617C">
        <w:rPr>
          <w:lang w:val="sl-SI"/>
        </w:rPr>
        <w:t xml:space="preserve">Povabilo </w:t>
      </w:r>
      <w:r w:rsidRPr="00C21ACF">
        <w:rPr>
          <w:lang w:val="sl-SI"/>
        </w:rPr>
        <w:t>OJS 2017</w:t>
      </w:r>
      <w:r w:rsidRPr="0058617C">
        <w:rPr>
          <w:lang w:val="sl-SI"/>
        </w:rPr>
        <w:t>, objavljeno dne 31.03.2017 - Povabilo k oddaji vloge prijavitelja za posredovanje predloga operacije energetske prenove stavb ožjega javnega sektorja v letih 2017, 2018 in 2019</w:t>
      </w:r>
      <w:r w:rsidR="00664DD8">
        <w:rPr>
          <w:lang w:val="sl-SI"/>
        </w:rPr>
        <w:t>,</w:t>
      </w:r>
    </w:p>
    <w:p w14:paraId="09C22B8D" w14:textId="28E0905C" w:rsidR="00352885" w:rsidRPr="0058617C" w:rsidRDefault="00352885" w:rsidP="00C21ACF">
      <w:pPr>
        <w:pStyle w:val="Odstavekseznama"/>
        <w:numPr>
          <w:ilvl w:val="0"/>
          <w:numId w:val="10"/>
        </w:numPr>
        <w:rPr>
          <w:lang w:val="sl-SI"/>
        </w:rPr>
      </w:pPr>
      <w:r w:rsidRPr="0058617C">
        <w:rPr>
          <w:lang w:val="sl-SI"/>
        </w:rPr>
        <w:t xml:space="preserve">Povabilo </w:t>
      </w:r>
      <w:r w:rsidRPr="00C21ACF">
        <w:rPr>
          <w:lang w:val="sl-SI"/>
        </w:rPr>
        <w:t>ŠJS 2017</w:t>
      </w:r>
      <w:r w:rsidRPr="0058617C">
        <w:rPr>
          <w:lang w:val="sl-SI"/>
        </w:rPr>
        <w:t>, objavljeno dne 31.03.2017 - Povabilo k oddaji vloge prijavitelja za posredovanje predloga operacije energetske prenove stavb širšega javnega sektorja v lasti države v letih 2017, 2018 in 2019</w:t>
      </w:r>
      <w:r w:rsidR="00664DD8">
        <w:rPr>
          <w:lang w:val="sl-SI"/>
        </w:rPr>
        <w:t>,</w:t>
      </w:r>
    </w:p>
    <w:p w14:paraId="0E27D2E6" w14:textId="4A0EE061" w:rsidR="00352885" w:rsidRPr="0058617C" w:rsidRDefault="00352885" w:rsidP="00C21ACF">
      <w:pPr>
        <w:pStyle w:val="Odstavekseznama"/>
        <w:numPr>
          <w:ilvl w:val="0"/>
          <w:numId w:val="10"/>
        </w:numPr>
        <w:rPr>
          <w:lang w:val="sl-SI"/>
        </w:rPr>
      </w:pPr>
      <w:r w:rsidRPr="0058617C">
        <w:rPr>
          <w:lang w:val="sl-SI"/>
        </w:rPr>
        <w:t xml:space="preserve">Povabilo </w:t>
      </w:r>
      <w:r w:rsidRPr="00C21ACF">
        <w:rPr>
          <w:lang w:val="sl-SI"/>
        </w:rPr>
        <w:t>OJS 2018</w:t>
      </w:r>
      <w:r w:rsidRPr="0058617C">
        <w:rPr>
          <w:lang w:val="sl-SI"/>
        </w:rPr>
        <w:t>, objavljeno dne 23.02.2018 - Povabilo posredniškim organom k oddaji "Vloge prijavitelja za posredovanje predloga operacije energetske prenove stavb ožjega javnega sektorja v letih 2018, 2019 in 2020"</w:t>
      </w:r>
      <w:r w:rsidR="00664DD8">
        <w:rPr>
          <w:lang w:val="sl-SI"/>
        </w:rPr>
        <w:t>,</w:t>
      </w:r>
    </w:p>
    <w:p w14:paraId="1E326020" w14:textId="37C2C39A" w:rsidR="00352885" w:rsidRPr="0058617C" w:rsidRDefault="00352885" w:rsidP="00C21ACF">
      <w:pPr>
        <w:pStyle w:val="Odstavekseznama"/>
        <w:numPr>
          <w:ilvl w:val="0"/>
          <w:numId w:val="10"/>
        </w:numPr>
        <w:rPr>
          <w:lang w:val="sl-SI"/>
        </w:rPr>
      </w:pPr>
      <w:r w:rsidRPr="0058617C">
        <w:rPr>
          <w:lang w:val="sl-SI"/>
        </w:rPr>
        <w:t xml:space="preserve">Povabilo </w:t>
      </w:r>
      <w:r w:rsidRPr="00C21ACF">
        <w:rPr>
          <w:lang w:val="sl-SI"/>
        </w:rPr>
        <w:t>ŠJS 2018</w:t>
      </w:r>
      <w:r w:rsidRPr="0058617C">
        <w:rPr>
          <w:lang w:val="sl-SI"/>
        </w:rPr>
        <w:t>, objavljeno dne 23.02.2018 - Povabilo posredniškim organom k oddaji "Vloge prijavitelja za posredovanje predloga operacije energetske prenove stavb širšega javnega sektorja v letih 2018, 2019 in 2020"</w:t>
      </w:r>
      <w:r w:rsidR="00664DD8">
        <w:rPr>
          <w:lang w:val="sl-SI"/>
        </w:rPr>
        <w:t>,</w:t>
      </w:r>
    </w:p>
    <w:p w14:paraId="137CCAC2" w14:textId="45D6C708" w:rsidR="00352885" w:rsidRPr="0058617C" w:rsidRDefault="00352885" w:rsidP="00C21ACF">
      <w:pPr>
        <w:pStyle w:val="Odstavekseznama"/>
        <w:numPr>
          <w:ilvl w:val="0"/>
          <w:numId w:val="10"/>
        </w:numPr>
        <w:rPr>
          <w:lang w:val="sl-SI"/>
        </w:rPr>
      </w:pPr>
      <w:r w:rsidRPr="0058617C">
        <w:rPr>
          <w:lang w:val="sl-SI"/>
        </w:rPr>
        <w:t xml:space="preserve">Povabilo </w:t>
      </w:r>
      <w:r w:rsidRPr="00C21ACF">
        <w:rPr>
          <w:lang w:val="sl-SI"/>
        </w:rPr>
        <w:t>OJS 2019,</w:t>
      </w:r>
      <w:r w:rsidRPr="0058617C">
        <w:rPr>
          <w:lang w:val="sl-SI"/>
        </w:rPr>
        <w:t xml:space="preserve"> objavljeno dne 27.02.2019 - Povabilo posredniškim organom k oddaji "Vloge prijavitelja za posredovanje predloga operacije energetske prenove stavb ožjega javnega sektorja v letih 2019, 2020 in 2021"</w:t>
      </w:r>
      <w:r w:rsidR="00664DD8">
        <w:rPr>
          <w:lang w:val="sl-SI"/>
        </w:rPr>
        <w:t>,</w:t>
      </w:r>
    </w:p>
    <w:p w14:paraId="0F2423DD" w14:textId="5B9E60CF" w:rsidR="00352885" w:rsidRPr="0058617C" w:rsidRDefault="00352885" w:rsidP="00C21ACF">
      <w:pPr>
        <w:pStyle w:val="Odstavekseznama"/>
        <w:numPr>
          <w:ilvl w:val="0"/>
          <w:numId w:val="10"/>
        </w:numPr>
        <w:rPr>
          <w:lang w:val="sl-SI"/>
        </w:rPr>
      </w:pPr>
      <w:r w:rsidRPr="0058617C">
        <w:rPr>
          <w:lang w:val="sl-SI"/>
        </w:rPr>
        <w:t xml:space="preserve">Povabilo </w:t>
      </w:r>
      <w:r w:rsidRPr="00C21ACF">
        <w:rPr>
          <w:lang w:val="sl-SI"/>
        </w:rPr>
        <w:t>ŠJS 2019,</w:t>
      </w:r>
      <w:r w:rsidRPr="0058617C">
        <w:rPr>
          <w:lang w:val="sl-SI"/>
        </w:rPr>
        <w:t xml:space="preserve"> objavljeno dne 27.02.2019 - Povabilo posredniškim organom k oddaji "Vloge prijavitelja za posredovanje predloga operacije energetske prenove stavb širšega javnega sektorja v letih 2019, 2020 in 2021"</w:t>
      </w:r>
      <w:r w:rsidR="00664DD8">
        <w:rPr>
          <w:lang w:val="sl-SI"/>
        </w:rPr>
        <w:t>,</w:t>
      </w:r>
    </w:p>
    <w:p w14:paraId="7880933F" w14:textId="714298B5" w:rsidR="00352885" w:rsidRPr="0058617C" w:rsidRDefault="00352885" w:rsidP="00C21ACF">
      <w:pPr>
        <w:pStyle w:val="Odstavekseznama"/>
        <w:numPr>
          <w:ilvl w:val="0"/>
          <w:numId w:val="10"/>
        </w:numPr>
        <w:rPr>
          <w:lang w:val="sl-SI"/>
        </w:rPr>
      </w:pPr>
      <w:r w:rsidRPr="0058617C">
        <w:rPr>
          <w:lang w:val="sl-SI"/>
        </w:rPr>
        <w:t xml:space="preserve">Povabilo </w:t>
      </w:r>
      <w:r w:rsidRPr="00C21ACF">
        <w:rPr>
          <w:lang w:val="sl-SI"/>
        </w:rPr>
        <w:t>OJS 2020</w:t>
      </w:r>
      <w:r w:rsidRPr="0058617C">
        <w:rPr>
          <w:lang w:val="sl-SI"/>
        </w:rPr>
        <w:t>, objavljeno dne 21.02.2020 - Povabilo posredniškim organom k oddaji "Vloge prijavitelja za posredovanje predloga operacije energetske prenove stavb ožjega javnega sektorja v letih 2020, 2021 in 2022</w:t>
      </w:r>
      <w:r w:rsidR="008752A0" w:rsidRPr="0058617C">
        <w:rPr>
          <w:lang w:val="sl-SI"/>
        </w:rPr>
        <w:t>"</w:t>
      </w:r>
      <w:r w:rsidR="00664DD8">
        <w:rPr>
          <w:lang w:val="sl-SI"/>
        </w:rPr>
        <w:t>,</w:t>
      </w:r>
    </w:p>
    <w:p w14:paraId="311382AD" w14:textId="22E94560" w:rsidR="00B76F20" w:rsidRPr="0058617C" w:rsidRDefault="00352885" w:rsidP="00C21ACF">
      <w:pPr>
        <w:pStyle w:val="Odstavekseznama"/>
        <w:numPr>
          <w:ilvl w:val="0"/>
          <w:numId w:val="10"/>
        </w:numPr>
        <w:rPr>
          <w:lang w:val="sl-SI"/>
        </w:rPr>
      </w:pPr>
      <w:r w:rsidRPr="0058617C">
        <w:rPr>
          <w:lang w:val="sl-SI"/>
        </w:rPr>
        <w:t>Povabilo</w:t>
      </w:r>
      <w:r w:rsidR="00B76F20" w:rsidRPr="0058617C">
        <w:rPr>
          <w:lang w:val="sl-SI"/>
        </w:rPr>
        <w:t xml:space="preserve"> </w:t>
      </w:r>
      <w:r w:rsidR="00B76F20" w:rsidRPr="00C21ACF">
        <w:rPr>
          <w:lang w:val="sl-SI"/>
        </w:rPr>
        <w:t>ŠJS 2020</w:t>
      </w:r>
      <w:r w:rsidR="00B76F20" w:rsidRPr="0058617C">
        <w:rPr>
          <w:lang w:val="sl-SI"/>
        </w:rPr>
        <w:t>, objavljeno dne 21.02.2020 - Povabilo posredniškim organom k oddaji "Vloge prijavitelja za posredovanje predloga operacije energetske prenove stavb širšega javnega sektorja v letih 2020, 2021 in 2022"</w:t>
      </w:r>
      <w:r w:rsidR="008752A0">
        <w:rPr>
          <w:lang w:val="sl-SI"/>
        </w:rPr>
        <w:t>,</w:t>
      </w:r>
    </w:p>
    <w:p w14:paraId="60C79CAB" w14:textId="6A1743D2" w:rsidR="00524C20" w:rsidRPr="0058617C" w:rsidRDefault="00524C20" w:rsidP="00C21ACF">
      <w:pPr>
        <w:pStyle w:val="Odstavekseznama"/>
        <w:numPr>
          <w:ilvl w:val="0"/>
          <w:numId w:val="10"/>
        </w:numPr>
        <w:rPr>
          <w:lang w:val="sl-SI"/>
        </w:rPr>
      </w:pPr>
      <w:r w:rsidRPr="0058617C">
        <w:rPr>
          <w:lang w:val="sl-SI"/>
        </w:rPr>
        <w:t xml:space="preserve">Povabilo </w:t>
      </w:r>
      <w:r w:rsidRPr="00C21ACF">
        <w:rPr>
          <w:lang w:val="sl-SI"/>
        </w:rPr>
        <w:t>OJS 2021</w:t>
      </w:r>
      <w:r w:rsidRPr="0058617C">
        <w:rPr>
          <w:lang w:val="sl-SI"/>
        </w:rPr>
        <w:t>, objavljeno dne 16.10.2020 - Povabilo posredniškim organom k oddaji "Vloge prijavitelja za posredovanje predloga operacije energetske prenove stavb ožjega javnega sektorja v letih 2021, 2022 in 2023"</w:t>
      </w:r>
      <w:r w:rsidR="008752A0">
        <w:rPr>
          <w:lang w:val="sl-SI"/>
        </w:rPr>
        <w:t>,</w:t>
      </w:r>
    </w:p>
    <w:p w14:paraId="6B2E737C" w14:textId="6CDD9709" w:rsidR="00B76F20" w:rsidRPr="0058617C" w:rsidRDefault="00B76F20" w:rsidP="00C21ACF">
      <w:pPr>
        <w:pStyle w:val="Odstavekseznama"/>
        <w:numPr>
          <w:ilvl w:val="0"/>
          <w:numId w:val="10"/>
        </w:numPr>
        <w:rPr>
          <w:lang w:val="sl-SI"/>
        </w:rPr>
      </w:pPr>
      <w:r w:rsidRPr="0058617C">
        <w:rPr>
          <w:lang w:val="sl-SI"/>
        </w:rPr>
        <w:t xml:space="preserve">Povabilo </w:t>
      </w:r>
      <w:r w:rsidRPr="00C21ACF">
        <w:rPr>
          <w:lang w:val="sl-SI"/>
        </w:rPr>
        <w:t>ŠJS 2021</w:t>
      </w:r>
      <w:r w:rsidRPr="0058617C">
        <w:rPr>
          <w:lang w:val="sl-SI"/>
        </w:rPr>
        <w:t>, objavljeno dne 16.10.2020 - Povabilo posredniškim organom k oddaji "Vloge prijavitelja za posredovanje predloga operacije energetske prenove stavb širšega javnega sektorja v letih 2021, 2022 in 2023"</w:t>
      </w:r>
      <w:r w:rsidR="00664DD8">
        <w:rPr>
          <w:lang w:val="sl-SI"/>
        </w:rPr>
        <w:t>.</w:t>
      </w:r>
    </w:p>
    <w:p w14:paraId="30BC28BB" w14:textId="77777777" w:rsidR="00524C20" w:rsidRPr="0058617C" w:rsidRDefault="00524C20" w:rsidP="00524C20">
      <w:pPr>
        <w:rPr>
          <w:lang w:val="sl-SI"/>
        </w:rPr>
      </w:pPr>
    </w:p>
    <w:p w14:paraId="1BB4BDC7" w14:textId="644D0B1D" w:rsidR="0084551A" w:rsidRPr="0058617C" w:rsidRDefault="0084551A" w:rsidP="0084551A">
      <w:pPr>
        <w:rPr>
          <w:lang w:val="sl-SI"/>
        </w:rPr>
      </w:pPr>
      <w:r w:rsidRPr="0058617C">
        <w:rPr>
          <w:lang w:val="sl-SI"/>
        </w:rPr>
        <w:lastRenderedPageBreak/>
        <w:t xml:space="preserve">V sklopu vrednotenja </w:t>
      </w:r>
      <w:r w:rsidRPr="0058617C">
        <w:rPr>
          <w:b/>
          <w:bCs/>
          <w:color w:val="032D5B" w:themeColor="accent1"/>
          <w:lang w:val="sl-SI"/>
        </w:rPr>
        <w:t>presoja</w:t>
      </w:r>
      <w:r w:rsidR="00C21ACF">
        <w:rPr>
          <w:b/>
          <w:bCs/>
          <w:color w:val="032D5B" w:themeColor="accent1"/>
          <w:lang w:val="sl-SI"/>
        </w:rPr>
        <w:t>mo</w:t>
      </w:r>
      <w:r w:rsidRPr="0058617C">
        <w:rPr>
          <w:b/>
          <w:bCs/>
          <w:color w:val="032D5B" w:themeColor="accent1"/>
          <w:lang w:val="sl-SI"/>
        </w:rPr>
        <w:t xml:space="preserve"> učinkovitost in uspešnost izvajanja</w:t>
      </w:r>
      <w:r w:rsidRPr="0058617C">
        <w:rPr>
          <w:lang w:val="sl-SI"/>
        </w:rPr>
        <w:t xml:space="preserve"> načrtovanega specifičnega cilja 1 »</w:t>
      </w:r>
      <w:r w:rsidRPr="0058617C">
        <w:rPr>
          <w:i/>
          <w:iCs/>
          <w:lang w:val="sl-SI"/>
        </w:rPr>
        <w:t>Povečanje učinkovitosti rabe energije v javnem sektorju</w:t>
      </w:r>
      <w:r w:rsidRPr="0058617C">
        <w:rPr>
          <w:lang w:val="sl-SI"/>
        </w:rPr>
        <w:t>«, to je</w:t>
      </w:r>
      <w:r w:rsidRPr="0058617C">
        <w:rPr>
          <w:i/>
          <w:iCs/>
          <w:lang w:val="sl-SI"/>
        </w:rPr>
        <w:t xml:space="preserve"> </w:t>
      </w:r>
      <w:r w:rsidRPr="0058617C">
        <w:rPr>
          <w:lang w:val="sl-SI"/>
        </w:rPr>
        <w:t xml:space="preserve">javnih razpisov ter neposredno potrjenih operacij, katerih namen je spodbujanje celovite energetske prenove stavb javnega sektorja. Ker stavbe predstavljajo kar 40% končne porabe energije, se s celovito energetsko prenovo zmanjšuje poraba energije in s tem izpusti toplogrednih plinov. </w:t>
      </w:r>
    </w:p>
    <w:p w14:paraId="4F187253" w14:textId="1991C83A" w:rsidR="0084551A" w:rsidRPr="0058617C" w:rsidRDefault="0084551A" w:rsidP="0084551A">
      <w:pPr>
        <w:rPr>
          <w:lang w:val="sl-SI"/>
        </w:rPr>
      </w:pPr>
      <w:r w:rsidRPr="0058617C">
        <w:rPr>
          <w:lang w:val="sl-SI"/>
        </w:rPr>
        <w:t>Pričakovani rezultati OP v okviru specifičnega cilja 1 so:</w:t>
      </w:r>
    </w:p>
    <w:p w14:paraId="77E6C06D" w14:textId="304BD9C1" w:rsidR="0084551A" w:rsidRPr="0058617C" w:rsidRDefault="0084551A" w:rsidP="008603EF">
      <w:pPr>
        <w:pStyle w:val="Odstavekseznama"/>
        <w:numPr>
          <w:ilvl w:val="0"/>
          <w:numId w:val="10"/>
        </w:numPr>
        <w:rPr>
          <w:lang w:val="sl-SI"/>
        </w:rPr>
      </w:pPr>
      <w:r w:rsidRPr="0058617C">
        <w:rPr>
          <w:lang w:val="sl-SI"/>
        </w:rPr>
        <w:t>prihranki končne energije v stavbah javnega sektorja;</w:t>
      </w:r>
    </w:p>
    <w:p w14:paraId="6A71137A" w14:textId="621D53AB" w:rsidR="0084551A" w:rsidRPr="0058617C" w:rsidRDefault="0084551A" w:rsidP="008603EF">
      <w:pPr>
        <w:pStyle w:val="Odstavekseznama"/>
        <w:numPr>
          <w:ilvl w:val="0"/>
          <w:numId w:val="10"/>
        </w:numPr>
        <w:rPr>
          <w:lang w:val="sl-SI"/>
        </w:rPr>
      </w:pPr>
      <w:r w:rsidRPr="0058617C">
        <w:rPr>
          <w:lang w:val="sl-SI"/>
        </w:rPr>
        <w:t>energetsko prenovljene površine stavb v lasti in uporabi osrednje oz. ožje vlade.</w:t>
      </w:r>
    </w:p>
    <w:p w14:paraId="51D8E063" w14:textId="77777777" w:rsidR="0084551A" w:rsidRPr="0058617C" w:rsidRDefault="0084551A" w:rsidP="0084551A">
      <w:pPr>
        <w:pStyle w:val="Odstavekseznama"/>
        <w:rPr>
          <w:lang w:val="sl-SI"/>
        </w:rPr>
      </w:pPr>
    </w:p>
    <w:p w14:paraId="60959522" w14:textId="4BB1A234" w:rsidR="00BB1CDA" w:rsidRDefault="00FC67AB" w:rsidP="00800364">
      <w:pPr>
        <w:spacing w:after="0"/>
        <w:rPr>
          <w:lang w:val="sl-SI"/>
        </w:rPr>
      </w:pPr>
      <w:r>
        <w:rPr>
          <w:lang w:val="sl-SI"/>
        </w:rPr>
        <w:t xml:space="preserve">V OP </w:t>
      </w:r>
      <w:r w:rsidR="00BB1CDA">
        <w:rPr>
          <w:lang w:val="sl-SI"/>
        </w:rPr>
        <w:t xml:space="preserve">je </w:t>
      </w:r>
      <w:r w:rsidR="00800364">
        <w:rPr>
          <w:lang w:val="sl-SI"/>
        </w:rPr>
        <w:t>zapisano</w:t>
      </w:r>
      <w:r w:rsidR="00BB1CDA">
        <w:rPr>
          <w:lang w:val="sl-SI"/>
        </w:rPr>
        <w:t>, da bodo podprte naložbe</w:t>
      </w:r>
      <w:r w:rsidR="00AA3DE9">
        <w:rPr>
          <w:lang w:val="sl-SI"/>
        </w:rPr>
        <w:t xml:space="preserve"> v</w:t>
      </w:r>
      <w:r w:rsidR="00BB1CDA">
        <w:rPr>
          <w:lang w:val="sl-SI"/>
        </w:rPr>
        <w:t>:</w:t>
      </w:r>
    </w:p>
    <w:p w14:paraId="720E6A5A" w14:textId="05631B1D" w:rsidR="00800364" w:rsidRPr="00800364" w:rsidRDefault="00800364" w:rsidP="00800364">
      <w:pPr>
        <w:pStyle w:val="Odstavekseznama"/>
        <w:numPr>
          <w:ilvl w:val="0"/>
          <w:numId w:val="37"/>
        </w:numPr>
        <w:spacing w:after="0"/>
        <w:rPr>
          <w:lang w:val="sl-SI"/>
        </w:rPr>
      </w:pPr>
      <w:r w:rsidRPr="00800364">
        <w:rPr>
          <w:lang w:val="sl-SI"/>
        </w:rPr>
        <w:t xml:space="preserve">energetsko prenovo stavb javnega sektorja, ki so v lasti in uporabi neposrednih in posrednih proračunskih uporabnikov ter lokalnih samoupravnih skupnosti. Namen je spodbuditi celovito energetsko prenovo stavb, kar vključuje ukrepe energetske  prenove celotnih stavb in posameznih delov stavb tako v celoviti kot postopni prenovi ob upoštevanju, da stavba po prenovi zadosti minimalnim nacionalnim zahtevam glede energetske učinkovitosti, določenih v skladu s členom 4 Direktive 2010/31/EU; </w:t>
      </w:r>
    </w:p>
    <w:p w14:paraId="2E1300EC" w14:textId="1B7535BB" w:rsidR="00800364" w:rsidRPr="00800364" w:rsidRDefault="00800364" w:rsidP="00800364">
      <w:pPr>
        <w:pStyle w:val="Odstavekseznama"/>
        <w:numPr>
          <w:ilvl w:val="0"/>
          <w:numId w:val="37"/>
        </w:numPr>
        <w:spacing w:after="0"/>
        <w:rPr>
          <w:lang w:val="sl-SI"/>
        </w:rPr>
      </w:pPr>
      <w:r w:rsidRPr="00800364">
        <w:rPr>
          <w:lang w:val="sl-SI"/>
        </w:rPr>
        <w:t xml:space="preserve">projekte energetske prenove stavb javnega sektorja, ki se bodo izvajali  v okviru energetskega </w:t>
      </w:r>
      <w:proofErr w:type="spellStart"/>
      <w:r w:rsidRPr="00800364">
        <w:rPr>
          <w:lang w:val="sl-SI"/>
        </w:rPr>
        <w:t>pogodbeništva</w:t>
      </w:r>
      <w:proofErr w:type="spellEnd"/>
      <w:r w:rsidRPr="00800364">
        <w:rPr>
          <w:lang w:val="sl-SI"/>
        </w:rPr>
        <w:t xml:space="preserve"> kot nove oblike izvajanja in financiranja energetskih prenov stavb;</w:t>
      </w:r>
    </w:p>
    <w:p w14:paraId="0F9B4654" w14:textId="291856E3" w:rsidR="00BB1CDA" w:rsidRDefault="00800364" w:rsidP="00800364">
      <w:pPr>
        <w:pStyle w:val="Odstavekseznama"/>
        <w:numPr>
          <w:ilvl w:val="0"/>
          <w:numId w:val="37"/>
        </w:numPr>
        <w:spacing w:after="0"/>
        <w:rPr>
          <w:lang w:val="sl-SI"/>
        </w:rPr>
      </w:pPr>
      <w:r w:rsidRPr="00800364">
        <w:rPr>
          <w:lang w:val="sl-SI"/>
        </w:rPr>
        <w:t>izvedba demonstracijskih projektov celovite energetske prenove različnih tipov stavb javnega sektorja po merilih skoraj nič-energijske prenove, kjer bo to mogoče (stavbe osrednje oz. ožje vlade, stavbe kulturne dediščine) z uporabo najnovejših tehnologij, ki imajo demonstracijski učinek.</w:t>
      </w:r>
    </w:p>
    <w:p w14:paraId="74EA0865" w14:textId="77777777" w:rsidR="00596BF8" w:rsidRDefault="00596BF8" w:rsidP="00596BF8">
      <w:pPr>
        <w:spacing w:after="0"/>
        <w:rPr>
          <w:lang w:val="sl-SI"/>
        </w:rPr>
      </w:pPr>
    </w:p>
    <w:p w14:paraId="0C7667B6" w14:textId="383C7FAC" w:rsidR="0049037D" w:rsidRPr="0049037D" w:rsidRDefault="0049037D" w:rsidP="0049037D">
      <w:pPr>
        <w:spacing w:after="0"/>
        <w:rPr>
          <w:lang w:val="sl-SI"/>
        </w:rPr>
      </w:pPr>
      <w:r w:rsidRPr="005368F3">
        <w:rPr>
          <w:lang w:val="sl-SI"/>
        </w:rPr>
        <w:t xml:space="preserve">Predvideno je bilo, </w:t>
      </w:r>
      <w:r w:rsidR="00BC27BB" w:rsidRPr="005368F3">
        <w:rPr>
          <w:lang w:val="sl-SI"/>
        </w:rPr>
        <w:t xml:space="preserve">da bodo pripravljene tudi smernice za oblikovanje kriterijev energetske prenove stavb kulturne dediščine, saj </w:t>
      </w:r>
      <w:r w:rsidRPr="005368F3">
        <w:rPr>
          <w:lang w:val="sl-SI"/>
        </w:rPr>
        <w:t>je delež stavb, ki so varovane po predpisih o varstvu</w:t>
      </w:r>
      <w:r w:rsidRPr="0049037D">
        <w:rPr>
          <w:lang w:val="sl-SI"/>
        </w:rPr>
        <w:t xml:space="preserve"> kulturne dediščine, v segmentu državnih stavb zelo velik in ta segment potrebuje posebno obravnavo kot nosilec slovenske identitete.</w:t>
      </w:r>
      <w:r w:rsidR="005368F3">
        <w:rPr>
          <w:lang w:val="sl-SI"/>
        </w:rPr>
        <w:t xml:space="preserve"> Smernice so bile pripravljene in izdane </w:t>
      </w:r>
      <w:r w:rsidR="00AC72A8">
        <w:rPr>
          <w:lang w:val="sl-SI"/>
        </w:rPr>
        <w:t>novembra</w:t>
      </w:r>
      <w:r w:rsidR="005368F3">
        <w:rPr>
          <w:lang w:val="sl-SI"/>
        </w:rPr>
        <w:t xml:space="preserve"> 2016.</w:t>
      </w:r>
      <w:r w:rsidR="00EE0F55">
        <w:rPr>
          <w:rStyle w:val="Sprotnaopomba-sklic"/>
          <w:lang w:val="sl-SI"/>
        </w:rPr>
        <w:footnoteReference w:id="2"/>
      </w:r>
    </w:p>
    <w:p w14:paraId="357559A8" w14:textId="77777777" w:rsidR="0049037D" w:rsidRPr="0049037D" w:rsidRDefault="0049037D" w:rsidP="0049037D">
      <w:pPr>
        <w:spacing w:after="0"/>
        <w:rPr>
          <w:lang w:val="sl-SI"/>
        </w:rPr>
      </w:pPr>
      <w:r w:rsidRPr="0049037D">
        <w:rPr>
          <w:lang w:val="sl-SI"/>
        </w:rPr>
        <w:t xml:space="preserve"> </w:t>
      </w:r>
    </w:p>
    <w:p w14:paraId="09063A18" w14:textId="79ED7D54" w:rsidR="00596BF8" w:rsidRDefault="0049037D" w:rsidP="0049037D">
      <w:pPr>
        <w:spacing w:after="0"/>
        <w:rPr>
          <w:lang w:val="sl-SI"/>
        </w:rPr>
      </w:pPr>
      <w:r w:rsidRPr="0049037D">
        <w:rPr>
          <w:lang w:val="sl-SI"/>
        </w:rPr>
        <w:t>Višina spodbud energetske prenove stavb javnega sektorja</w:t>
      </w:r>
      <w:r w:rsidR="00BC27BB">
        <w:rPr>
          <w:lang w:val="sl-SI"/>
        </w:rPr>
        <w:t xml:space="preserve"> na</w:t>
      </w:r>
      <w:r w:rsidR="004930E5">
        <w:rPr>
          <w:lang w:val="sl-SI"/>
        </w:rPr>
        <w:t>j</w:t>
      </w:r>
      <w:r w:rsidR="00BC27BB">
        <w:rPr>
          <w:lang w:val="sl-SI"/>
        </w:rPr>
        <w:t xml:space="preserve"> bi bila </w:t>
      </w:r>
      <w:r w:rsidRPr="0049037D">
        <w:rPr>
          <w:lang w:val="sl-SI"/>
        </w:rPr>
        <w:t xml:space="preserve">določena glede na izračunano finančno vrzel ob upoštevanju prihranka energije ter omejena glede na razpoložljiva sredstva in kazalnike učinka te prednostne naložbe. Pri določitvi načina spodbujanja </w:t>
      </w:r>
      <w:r w:rsidR="00BC27BB">
        <w:rPr>
          <w:lang w:val="sl-SI"/>
        </w:rPr>
        <w:t xml:space="preserve">naj bi se upoštevali </w:t>
      </w:r>
      <w:r w:rsidRPr="0049037D">
        <w:rPr>
          <w:lang w:val="sl-SI"/>
        </w:rPr>
        <w:t>tudi drug</w:t>
      </w:r>
      <w:r w:rsidR="00BC27BB">
        <w:rPr>
          <w:lang w:val="sl-SI"/>
        </w:rPr>
        <w:t>i</w:t>
      </w:r>
      <w:r w:rsidRPr="0049037D">
        <w:rPr>
          <w:lang w:val="sl-SI"/>
        </w:rPr>
        <w:t xml:space="preserve"> trajnostn</w:t>
      </w:r>
      <w:r w:rsidR="00BC27BB">
        <w:rPr>
          <w:lang w:val="sl-SI"/>
        </w:rPr>
        <w:t>i</w:t>
      </w:r>
      <w:r w:rsidRPr="0049037D">
        <w:rPr>
          <w:lang w:val="sl-SI"/>
        </w:rPr>
        <w:t xml:space="preserve"> vidik</w:t>
      </w:r>
      <w:r w:rsidR="00BC27BB">
        <w:rPr>
          <w:lang w:val="sl-SI"/>
        </w:rPr>
        <w:t>i</w:t>
      </w:r>
      <w:r w:rsidRPr="0049037D">
        <w:rPr>
          <w:lang w:val="sl-SI"/>
        </w:rPr>
        <w:t>, kot so: uporaba naravnih materialov, varstvo kulturne dediščine, spodbujanje energetsko učinkovitih tehnologij in reševanje zmanjševanje energetske revščine.</w:t>
      </w:r>
    </w:p>
    <w:p w14:paraId="5EE3DB5C" w14:textId="77777777" w:rsidR="00296BAC" w:rsidRDefault="00296BAC" w:rsidP="0049037D">
      <w:pPr>
        <w:spacing w:after="0"/>
        <w:rPr>
          <w:lang w:val="sl-SI"/>
        </w:rPr>
      </w:pPr>
    </w:p>
    <w:p w14:paraId="429CE342" w14:textId="78BC3C79" w:rsidR="00296BAC" w:rsidRDefault="00296BAC" w:rsidP="0049037D">
      <w:pPr>
        <w:spacing w:after="0"/>
        <w:rPr>
          <w:lang w:val="sl-SI"/>
        </w:rPr>
      </w:pPr>
      <w:r>
        <w:rPr>
          <w:lang w:val="sl-SI"/>
        </w:rPr>
        <w:t>Komplementarni ukrep vezan na SC 4.1 je bil še</w:t>
      </w:r>
      <w:r w:rsidR="00DE650A">
        <w:rPr>
          <w:lang w:val="sl-SI"/>
        </w:rPr>
        <w:t xml:space="preserve"> </w:t>
      </w:r>
      <w:r w:rsidR="00DE650A" w:rsidRPr="00DE650A">
        <w:rPr>
          <w:lang w:val="sl-SI"/>
        </w:rPr>
        <w:t>vzpostavitev ustrezne evidence stavb osrednje oz. ožje vlade (preko nadgradnje in povezljivosti elektronske Zemljiške knjige, podatkov GURS, Centralne evidence nepremičnin, drugih relevantnih baz podatkov)</w:t>
      </w:r>
      <w:r w:rsidR="00DE650A">
        <w:rPr>
          <w:lang w:val="sl-SI"/>
        </w:rPr>
        <w:t>.</w:t>
      </w:r>
      <w:r>
        <w:rPr>
          <w:lang w:val="sl-SI"/>
        </w:rPr>
        <w:t xml:space="preserve"> </w:t>
      </w:r>
    </w:p>
    <w:p w14:paraId="395B9C29" w14:textId="77777777" w:rsidR="00BC27BB" w:rsidRDefault="00BC27BB" w:rsidP="0049037D">
      <w:pPr>
        <w:spacing w:after="0"/>
        <w:rPr>
          <w:lang w:val="sl-SI"/>
        </w:rPr>
      </w:pPr>
    </w:p>
    <w:p w14:paraId="45A0CD34" w14:textId="77777777" w:rsidR="0084551A" w:rsidRPr="0058617C" w:rsidRDefault="0084551A" w:rsidP="0084551A">
      <w:pPr>
        <w:rPr>
          <w:lang w:val="sl-SI"/>
        </w:rPr>
      </w:pPr>
      <w:r w:rsidRPr="0058617C">
        <w:rPr>
          <w:b/>
          <w:bCs/>
          <w:color w:val="032D5B" w:themeColor="accent1"/>
          <w:lang w:val="sl-SI"/>
        </w:rPr>
        <w:t xml:space="preserve">Kazalnik rezultata </w:t>
      </w:r>
      <w:r w:rsidRPr="0058617C">
        <w:rPr>
          <w:lang w:val="sl-SI"/>
        </w:rPr>
        <w:t>opredeljen v OP je:</w:t>
      </w:r>
    </w:p>
    <w:tbl>
      <w:tblPr>
        <w:tblStyle w:val="Tabelamrea4poudarek2"/>
        <w:tblW w:w="9075" w:type="dxa"/>
        <w:tblInd w:w="0" w:type="dxa"/>
        <w:tblLayout w:type="fixed"/>
        <w:tblLook w:val="04A0" w:firstRow="1" w:lastRow="0" w:firstColumn="1" w:lastColumn="0" w:noHBand="0" w:noVBand="1"/>
      </w:tblPr>
      <w:tblGrid>
        <w:gridCol w:w="618"/>
        <w:gridCol w:w="1794"/>
        <w:gridCol w:w="1066"/>
        <w:gridCol w:w="1401"/>
        <w:gridCol w:w="935"/>
        <w:gridCol w:w="1418"/>
        <w:gridCol w:w="1843"/>
      </w:tblGrid>
      <w:tr w:rsidR="0084551A" w:rsidRPr="0058617C" w14:paraId="69ACA0FC" w14:textId="77777777" w:rsidTr="008455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Borders>
              <w:top w:val="nil"/>
              <w:left w:val="nil"/>
              <w:bottom w:val="nil"/>
              <w:right w:val="single" w:sz="4" w:space="0" w:color="0A131B" w:themeColor="text2"/>
            </w:tcBorders>
            <w:vAlign w:val="center"/>
            <w:hideMark/>
          </w:tcPr>
          <w:p w14:paraId="44ED1676" w14:textId="77777777" w:rsidR="0084551A" w:rsidRPr="0058617C" w:rsidRDefault="0084551A">
            <w:pPr>
              <w:jc w:val="left"/>
              <w:rPr>
                <w:sz w:val="16"/>
                <w:szCs w:val="22"/>
                <w:lang w:val="sl-SI"/>
              </w:rPr>
            </w:pPr>
            <w:r w:rsidRPr="0058617C">
              <w:rPr>
                <w:sz w:val="16"/>
                <w:szCs w:val="22"/>
                <w:lang w:val="sl-SI"/>
              </w:rPr>
              <w:t>ID.</w:t>
            </w:r>
          </w:p>
        </w:tc>
        <w:tc>
          <w:tcPr>
            <w:tcW w:w="1793" w:type="dxa"/>
            <w:tcBorders>
              <w:top w:val="nil"/>
              <w:left w:val="single" w:sz="4" w:space="0" w:color="0A131B" w:themeColor="text2"/>
              <w:bottom w:val="nil"/>
              <w:right w:val="single" w:sz="4" w:space="0" w:color="0A131B" w:themeColor="text2"/>
            </w:tcBorders>
            <w:vAlign w:val="center"/>
            <w:hideMark/>
          </w:tcPr>
          <w:p w14:paraId="56838D26" w14:textId="77777777" w:rsidR="0084551A" w:rsidRPr="0058617C" w:rsidRDefault="0084551A">
            <w:pPr>
              <w:jc w:val="left"/>
              <w:cnfStyle w:val="100000000000" w:firstRow="1" w:lastRow="0" w:firstColumn="0" w:lastColumn="0" w:oddVBand="0" w:evenVBand="0" w:oddHBand="0" w:evenHBand="0" w:firstRowFirstColumn="0" w:firstRowLastColumn="0" w:lastRowFirstColumn="0" w:lastRowLastColumn="0"/>
              <w:rPr>
                <w:sz w:val="16"/>
                <w:szCs w:val="22"/>
                <w:lang w:val="sl-SI"/>
              </w:rPr>
            </w:pPr>
            <w:r w:rsidRPr="0058617C">
              <w:rPr>
                <w:sz w:val="16"/>
                <w:szCs w:val="22"/>
                <w:lang w:val="sl-SI"/>
              </w:rPr>
              <w:t>Kazalnik</w:t>
            </w:r>
          </w:p>
        </w:tc>
        <w:tc>
          <w:tcPr>
            <w:tcW w:w="1066" w:type="dxa"/>
            <w:tcBorders>
              <w:top w:val="nil"/>
              <w:left w:val="single" w:sz="4" w:space="0" w:color="0A131B" w:themeColor="text2"/>
              <w:bottom w:val="nil"/>
              <w:right w:val="single" w:sz="4" w:space="0" w:color="0A131B" w:themeColor="text2"/>
            </w:tcBorders>
            <w:vAlign w:val="center"/>
            <w:hideMark/>
          </w:tcPr>
          <w:p w14:paraId="0FCAD44F" w14:textId="77777777" w:rsidR="0084551A" w:rsidRPr="0058617C" w:rsidRDefault="0084551A">
            <w:pPr>
              <w:jc w:val="center"/>
              <w:cnfStyle w:val="100000000000" w:firstRow="1" w:lastRow="0" w:firstColumn="0" w:lastColumn="0" w:oddVBand="0" w:evenVBand="0" w:oddHBand="0" w:evenHBand="0" w:firstRowFirstColumn="0" w:firstRowLastColumn="0" w:lastRowFirstColumn="0" w:lastRowLastColumn="0"/>
              <w:rPr>
                <w:sz w:val="16"/>
                <w:szCs w:val="22"/>
                <w:lang w:val="sl-SI"/>
              </w:rPr>
            </w:pPr>
            <w:r w:rsidRPr="0058617C">
              <w:rPr>
                <w:sz w:val="16"/>
                <w:szCs w:val="22"/>
                <w:lang w:val="sl-SI"/>
              </w:rPr>
              <w:t>Merska enota</w:t>
            </w:r>
          </w:p>
        </w:tc>
        <w:tc>
          <w:tcPr>
            <w:tcW w:w="1401" w:type="dxa"/>
            <w:tcBorders>
              <w:top w:val="nil"/>
              <w:left w:val="single" w:sz="4" w:space="0" w:color="0A131B" w:themeColor="text2"/>
              <w:bottom w:val="nil"/>
              <w:right w:val="single" w:sz="4" w:space="0" w:color="0A131B" w:themeColor="text2"/>
            </w:tcBorders>
            <w:vAlign w:val="center"/>
            <w:hideMark/>
          </w:tcPr>
          <w:p w14:paraId="733F8495" w14:textId="77777777" w:rsidR="0084551A" w:rsidRPr="0058617C" w:rsidRDefault="0084551A">
            <w:pPr>
              <w:jc w:val="center"/>
              <w:cnfStyle w:val="100000000000" w:firstRow="1" w:lastRow="0" w:firstColumn="0" w:lastColumn="0" w:oddVBand="0" w:evenVBand="0" w:oddHBand="0" w:evenHBand="0" w:firstRowFirstColumn="0" w:firstRowLastColumn="0" w:lastRowFirstColumn="0" w:lastRowLastColumn="0"/>
              <w:rPr>
                <w:sz w:val="16"/>
                <w:szCs w:val="22"/>
                <w:lang w:val="sl-SI"/>
              </w:rPr>
            </w:pPr>
            <w:r w:rsidRPr="0058617C">
              <w:rPr>
                <w:sz w:val="16"/>
                <w:szCs w:val="22"/>
                <w:lang w:val="sl-SI"/>
              </w:rPr>
              <w:t>Izhodiščna vrednost</w:t>
            </w:r>
          </w:p>
        </w:tc>
        <w:tc>
          <w:tcPr>
            <w:tcW w:w="935" w:type="dxa"/>
            <w:tcBorders>
              <w:top w:val="nil"/>
              <w:left w:val="single" w:sz="4" w:space="0" w:color="0A131B" w:themeColor="text2"/>
              <w:bottom w:val="nil"/>
              <w:right w:val="single" w:sz="4" w:space="0" w:color="0A131B" w:themeColor="text2"/>
            </w:tcBorders>
            <w:vAlign w:val="center"/>
            <w:hideMark/>
          </w:tcPr>
          <w:p w14:paraId="66CE3692" w14:textId="77777777" w:rsidR="0084551A" w:rsidRPr="0058617C" w:rsidRDefault="0084551A">
            <w:pPr>
              <w:jc w:val="center"/>
              <w:cnfStyle w:val="100000000000" w:firstRow="1" w:lastRow="0" w:firstColumn="0" w:lastColumn="0" w:oddVBand="0" w:evenVBand="0" w:oddHBand="0" w:evenHBand="0" w:firstRowFirstColumn="0" w:firstRowLastColumn="0" w:lastRowFirstColumn="0" w:lastRowLastColumn="0"/>
              <w:rPr>
                <w:sz w:val="16"/>
                <w:szCs w:val="22"/>
                <w:lang w:val="sl-SI"/>
              </w:rPr>
            </w:pPr>
            <w:r w:rsidRPr="0058617C">
              <w:rPr>
                <w:sz w:val="16"/>
                <w:szCs w:val="22"/>
                <w:lang w:val="sl-SI"/>
              </w:rPr>
              <w:t>Izhodiščno leto</w:t>
            </w:r>
          </w:p>
        </w:tc>
        <w:tc>
          <w:tcPr>
            <w:tcW w:w="1418" w:type="dxa"/>
            <w:tcBorders>
              <w:top w:val="nil"/>
              <w:left w:val="single" w:sz="4" w:space="0" w:color="0A131B" w:themeColor="text2"/>
              <w:bottom w:val="nil"/>
              <w:right w:val="single" w:sz="4" w:space="0" w:color="0A131B" w:themeColor="text2"/>
            </w:tcBorders>
            <w:vAlign w:val="center"/>
            <w:hideMark/>
          </w:tcPr>
          <w:p w14:paraId="1010755B" w14:textId="77777777" w:rsidR="0084551A" w:rsidRPr="0058617C" w:rsidRDefault="0084551A">
            <w:pPr>
              <w:jc w:val="center"/>
              <w:cnfStyle w:val="100000000000" w:firstRow="1" w:lastRow="0" w:firstColumn="0" w:lastColumn="0" w:oddVBand="0" w:evenVBand="0" w:oddHBand="0" w:evenHBand="0" w:firstRowFirstColumn="0" w:firstRowLastColumn="0" w:lastRowFirstColumn="0" w:lastRowLastColumn="0"/>
              <w:rPr>
                <w:sz w:val="16"/>
                <w:szCs w:val="22"/>
                <w:lang w:val="sl-SI"/>
              </w:rPr>
            </w:pPr>
            <w:r w:rsidRPr="0058617C">
              <w:rPr>
                <w:sz w:val="16"/>
                <w:szCs w:val="22"/>
                <w:lang w:val="sl-SI"/>
              </w:rPr>
              <w:t>Ciljna vrednost (za leto 2023)</w:t>
            </w:r>
          </w:p>
        </w:tc>
        <w:tc>
          <w:tcPr>
            <w:tcW w:w="1842" w:type="dxa"/>
            <w:tcBorders>
              <w:top w:val="nil"/>
              <w:left w:val="single" w:sz="4" w:space="0" w:color="0A131B" w:themeColor="text2"/>
              <w:bottom w:val="nil"/>
              <w:right w:val="nil"/>
            </w:tcBorders>
            <w:vAlign w:val="center"/>
            <w:hideMark/>
          </w:tcPr>
          <w:p w14:paraId="6272D044" w14:textId="77777777" w:rsidR="0084551A" w:rsidRPr="0058617C" w:rsidRDefault="0084551A">
            <w:pPr>
              <w:jc w:val="center"/>
              <w:cnfStyle w:val="100000000000" w:firstRow="1" w:lastRow="0" w:firstColumn="0" w:lastColumn="0" w:oddVBand="0" w:evenVBand="0" w:oddHBand="0" w:evenHBand="0" w:firstRowFirstColumn="0" w:firstRowLastColumn="0" w:lastRowFirstColumn="0" w:lastRowLastColumn="0"/>
              <w:rPr>
                <w:sz w:val="16"/>
                <w:szCs w:val="22"/>
                <w:lang w:val="sl-SI"/>
              </w:rPr>
            </w:pPr>
            <w:r w:rsidRPr="0058617C">
              <w:rPr>
                <w:sz w:val="16"/>
                <w:szCs w:val="22"/>
                <w:lang w:val="sl-SI"/>
              </w:rPr>
              <w:t>Vir podatkov</w:t>
            </w:r>
          </w:p>
        </w:tc>
      </w:tr>
      <w:tr w:rsidR="0084551A" w:rsidRPr="0058617C" w14:paraId="44857075" w14:textId="77777777" w:rsidTr="00845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 w:type="dxa"/>
            <w:tcBorders>
              <w:top w:val="nil"/>
              <w:left w:val="nil"/>
              <w:bottom w:val="nil"/>
              <w:right w:val="single" w:sz="4" w:space="0" w:color="0A131B" w:themeColor="text2"/>
            </w:tcBorders>
            <w:hideMark/>
          </w:tcPr>
          <w:p w14:paraId="1EA8CD0C" w14:textId="77777777" w:rsidR="0084551A" w:rsidRPr="0058617C" w:rsidRDefault="0084551A">
            <w:pPr>
              <w:rPr>
                <w:b w:val="0"/>
                <w:sz w:val="16"/>
                <w:szCs w:val="22"/>
                <w:lang w:val="sl-SI"/>
              </w:rPr>
            </w:pPr>
            <w:r w:rsidRPr="0058617C">
              <w:rPr>
                <w:sz w:val="16"/>
                <w:szCs w:val="22"/>
                <w:lang w:val="sl-SI"/>
              </w:rPr>
              <w:t>4.1</w:t>
            </w:r>
          </w:p>
        </w:tc>
        <w:tc>
          <w:tcPr>
            <w:tcW w:w="1793" w:type="dxa"/>
            <w:tcBorders>
              <w:top w:val="nil"/>
              <w:left w:val="single" w:sz="4" w:space="0" w:color="0A131B" w:themeColor="text2"/>
              <w:bottom w:val="nil"/>
              <w:right w:val="single" w:sz="4" w:space="0" w:color="0A131B" w:themeColor="text2"/>
            </w:tcBorders>
            <w:hideMark/>
          </w:tcPr>
          <w:p w14:paraId="4CCF159B" w14:textId="77777777" w:rsidR="0084551A" w:rsidRPr="0058617C" w:rsidRDefault="0084551A">
            <w:pPr>
              <w:jc w:val="left"/>
              <w:cnfStyle w:val="000000100000" w:firstRow="0" w:lastRow="0" w:firstColumn="0" w:lastColumn="0" w:oddVBand="0" w:evenVBand="0" w:oddHBand="1" w:evenHBand="0" w:firstRowFirstColumn="0" w:firstRowLastColumn="0" w:lastRowFirstColumn="0" w:lastRowLastColumn="0"/>
              <w:rPr>
                <w:sz w:val="16"/>
                <w:szCs w:val="22"/>
                <w:lang w:val="sl-SI"/>
              </w:rPr>
            </w:pPr>
            <w:r w:rsidRPr="0058617C">
              <w:rPr>
                <w:sz w:val="16"/>
                <w:szCs w:val="22"/>
                <w:lang w:val="sl-SI"/>
              </w:rPr>
              <w:t>Letna poraba energije stavb v javnem sektorju</w:t>
            </w:r>
          </w:p>
        </w:tc>
        <w:tc>
          <w:tcPr>
            <w:tcW w:w="1066" w:type="dxa"/>
            <w:tcBorders>
              <w:top w:val="nil"/>
              <w:left w:val="single" w:sz="4" w:space="0" w:color="0A131B" w:themeColor="text2"/>
              <w:bottom w:val="nil"/>
              <w:right w:val="single" w:sz="4" w:space="0" w:color="0A131B" w:themeColor="text2"/>
            </w:tcBorders>
            <w:hideMark/>
          </w:tcPr>
          <w:p w14:paraId="3F7CC9C1" w14:textId="77777777" w:rsidR="0084551A" w:rsidRPr="0058617C" w:rsidRDefault="0084551A">
            <w:pPr>
              <w:jc w:val="center"/>
              <w:cnfStyle w:val="000000100000" w:firstRow="0" w:lastRow="0" w:firstColumn="0" w:lastColumn="0" w:oddVBand="0" w:evenVBand="0" w:oddHBand="1" w:evenHBand="0" w:firstRowFirstColumn="0" w:firstRowLastColumn="0" w:lastRowFirstColumn="0" w:lastRowLastColumn="0"/>
              <w:rPr>
                <w:sz w:val="16"/>
                <w:szCs w:val="22"/>
                <w:lang w:val="sl-SI"/>
              </w:rPr>
            </w:pPr>
            <w:r w:rsidRPr="0058617C">
              <w:rPr>
                <w:sz w:val="16"/>
                <w:szCs w:val="22"/>
                <w:lang w:val="sl-SI"/>
              </w:rPr>
              <w:t>GWh/leto</w:t>
            </w:r>
          </w:p>
        </w:tc>
        <w:tc>
          <w:tcPr>
            <w:tcW w:w="1401" w:type="dxa"/>
            <w:tcBorders>
              <w:top w:val="nil"/>
              <w:left w:val="single" w:sz="4" w:space="0" w:color="0A131B" w:themeColor="text2"/>
              <w:bottom w:val="nil"/>
              <w:right w:val="single" w:sz="4" w:space="0" w:color="0A131B" w:themeColor="text2"/>
            </w:tcBorders>
            <w:hideMark/>
          </w:tcPr>
          <w:p w14:paraId="3154C0EA" w14:textId="77777777" w:rsidR="0084551A" w:rsidRPr="0058617C" w:rsidRDefault="0084551A">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22"/>
                <w:lang w:val="sl-SI"/>
              </w:rPr>
            </w:pPr>
            <w:r w:rsidRPr="0058617C">
              <w:rPr>
                <w:sz w:val="16"/>
                <w:szCs w:val="22"/>
                <w:lang w:val="sl-SI"/>
              </w:rPr>
              <w:t>1.870,00</w:t>
            </w:r>
          </w:p>
        </w:tc>
        <w:tc>
          <w:tcPr>
            <w:tcW w:w="935" w:type="dxa"/>
            <w:tcBorders>
              <w:top w:val="nil"/>
              <w:left w:val="single" w:sz="4" w:space="0" w:color="0A131B" w:themeColor="text2"/>
              <w:bottom w:val="nil"/>
              <w:right w:val="single" w:sz="4" w:space="0" w:color="0A131B" w:themeColor="text2"/>
            </w:tcBorders>
            <w:hideMark/>
          </w:tcPr>
          <w:p w14:paraId="1B7995A5" w14:textId="77777777" w:rsidR="0084551A" w:rsidRPr="0058617C" w:rsidRDefault="0084551A">
            <w:pPr>
              <w:jc w:val="center"/>
              <w:cnfStyle w:val="000000100000" w:firstRow="0" w:lastRow="0" w:firstColumn="0" w:lastColumn="0" w:oddVBand="0" w:evenVBand="0" w:oddHBand="1" w:evenHBand="0" w:firstRowFirstColumn="0" w:firstRowLastColumn="0" w:lastRowFirstColumn="0" w:lastRowLastColumn="0"/>
              <w:rPr>
                <w:sz w:val="16"/>
                <w:szCs w:val="22"/>
                <w:lang w:val="sl-SI"/>
              </w:rPr>
            </w:pPr>
            <w:r w:rsidRPr="0058617C">
              <w:rPr>
                <w:sz w:val="16"/>
                <w:szCs w:val="22"/>
                <w:lang w:val="sl-SI"/>
              </w:rPr>
              <w:t>2013</w:t>
            </w:r>
          </w:p>
        </w:tc>
        <w:tc>
          <w:tcPr>
            <w:tcW w:w="1418" w:type="dxa"/>
            <w:tcBorders>
              <w:top w:val="nil"/>
              <w:left w:val="single" w:sz="4" w:space="0" w:color="0A131B" w:themeColor="text2"/>
              <w:bottom w:val="nil"/>
              <w:right w:val="single" w:sz="4" w:space="0" w:color="0A131B" w:themeColor="text2"/>
            </w:tcBorders>
            <w:hideMark/>
          </w:tcPr>
          <w:p w14:paraId="226E9D1B" w14:textId="77777777" w:rsidR="0084551A" w:rsidRPr="0058617C" w:rsidRDefault="0084551A">
            <w:pPr>
              <w:jc w:val="center"/>
              <w:cnfStyle w:val="000000100000" w:firstRow="0" w:lastRow="0" w:firstColumn="0" w:lastColumn="0" w:oddVBand="0" w:evenVBand="0" w:oddHBand="1" w:evenHBand="0" w:firstRowFirstColumn="0" w:firstRowLastColumn="0" w:lastRowFirstColumn="0" w:lastRowLastColumn="0"/>
              <w:rPr>
                <w:sz w:val="16"/>
                <w:szCs w:val="22"/>
                <w:lang w:val="sl-SI"/>
              </w:rPr>
            </w:pPr>
            <w:r w:rsidRPr="0058617C">
              <w:rPr>
                <w:sz w:val="16"/>
                <w:szCs w:val="22"/>
                <w:lang w:val="sl-SI"/>
              </w:rPr>
              <w:t>1.630,00</w:t>
            </w:r>
          </w:p>
        </w:tc>
        <w:tc>
          <w:tcPr>
            <w:tcW w:w="1842" w:type="dxa"/>
            <w:tcBorders>
              <w:top w:val="nil"/>
              <w:left w:val="single" w:sz="4" w:space="0" w:color="0A131B" w:themeColor="text2"/>
              <w:bottom w:val="nil"/>
              <w:right w:val="nil"/>
            </w:tcBorders>
            <w:hideMark/>
          </w:tcPr>
          <w:p w14:paraId="088DD733" w14:textId="77777777" w:rsidR="0084551A" w:rsidRPr="0058617C" w:rsidRDefault="0084551A">
            <w:pPr>
              <w:jc w:val="center"/>
              <w:cnfStyle w:val="000000100000" w:firstRow="0" w:lastRow="0" w:firstColumn="0" w:lastColumn="0" w:oddVBand="0" w:evenVBand="0" w:oddHBand="1" w:evenHBand="0" w:firstRowFirstColumn="0" w:firstRowLastColumn="0" w:lastRowFirstColumn="0" w:lastRowLastColumn="0"/>
              <w:rPr>
                <w:sz w:val="16"/>
                <w:szCs w:val="22"/>
                <w:lang w:val="sl-SI"/>
              </w:rPr>
            </w:pPr>
            <w:r w:rsidRPr="0058617C">
              <w:rPr>
                <w:sz w:val="16"/>
                <w:szCs w:val="22"/>
                <w:lang w:val="sl-SI"/>
              </w:rPr>
              <w:t>Dolgoročne energetske bilance 2030</w:t>
            </w:r>
          </w:p>
        </w:tc>
      </w:tr>
    </w:tbl>
    <w:p w14:paraId="4E38036F" w14:textId="77777777" w:rsidR="0084551A" w:rsidRPr="0058617C" w:rsidRDefault="0084551A" w:rsidP="0084551A">
      <w:pPr>
        <w:spacing w:after="0"/>
        <w:jc w:val="left"/>
        <w:rPr>
          <w:sz w:val="18"/>
          <w:lang w:val="sl-SI"/>
        </w:rPr>
      </w:pPr>
    </w:p>
    <w:p w14:paraId="55E88560" w14:textId="77777777" w:rsidR="0084551A" w:rsidRPr="0058617C" w:rsidRDefault="0084551A" w:rsidP="0084551A">
      <w:pPr>
        <w:spacing w:after="0"/>
        <w:jc w:val="left"/>
        <w:rPr>
          <w:lang w:val="sl-SI"/>
        </w:rPr>
      </w:pPr>
    </w:p>
    <w:p w14:paraId="54519BBA" w14:textId="77777777" w:rsidR="0084551A" w:rsidRPr="0058617C" w:rsidRDefault="0084551A" w:rsidP="0084551A">
      <w:pPr>
        <w:rPr>
          <w:lang w:val="sl-SI"/>
        </w:rPr>
      </w:pPr>
      <w:r w:rsidRPr="0058617C">
        <w:rPr>
          <w:b/>
          <w:bCs/>
          <w:color w:val="032D5B" w:themeColor="accent1"/>
          <w:lang w:val="sl-SI"/>
        </w:rPr>
        <w:lastRenderedPageBreak/>
        <w:t xml:space="preserve">Kazalniki učinka </w:t>
      </w:r>
      <w:r w:rsidRPr="0058617C">
        <w:rPr>
          <w:lang w:val="sl-SI"/>
        </w:rPr>
        <w:t>opredeljeni v OP so:</w:t>
      </w:r>
    </w:p>
    <w:tbl>
      <w:tblPr>
        <w:tblStyle w:val="Tabelamrea4poudarek2"/>
        <w:tblW w:w="9072" w:type="dxa"/>
        <w:tblInd w:w="0" w:type="dxa"/>
        <w:tblLook w:val="04A0" w:firstRow="1" w:lastRow="0" w:firstColumn="1" w:lastColumn="0" w:noHBand="0" w:noVBand="1"/>
      </w:tblPr>
      <w:tblGrid>
        <w:gridCol w:w="709"/>
        <w:gridCol w:w="3827"/>
        <w:gridCol w:w="993"/>
        <w:gridCol w:w="1701"/>
        <w:gridCol w:w="1842"/>
      </w:tblGrid>
      <w:tr w:rsidR="00401689" w:rsidRPr="0058617C" w14:paraId="7D036B13" w14:textId="52B7ECB2" w:rsidTr="0094034A">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single" w:sz="4" w:space="0" w:color="0A131B" w:themeColor="text2"/>
            </w:tcBorders>
            <w:vAlign w:val="center"/>
            <w:hideMark/>
          </w:tcPr>
          <w:p w14:paraId="59CFFEF8" w14:textId="77777777" w:rsidR="00401689" w:rsidRPr="0058617C" w:rsidRDefault="00401689" w:rsidP="00401689">
            <w:pPr>
              <w:spacing w:after="0"/>
              <w:jc w:val="center"/>
              <w:rPr>
                <w:sz w:val="16"/>
                <w:szCs w:val="16"/>
                <w:lang w:val="sl-SI"/>
              </w:rPr>
            </w:pPr>
            <w:r w:rsidRPr="0058617C">
              <w:rPr>
                <w:sz w:val="16"/>
                <w:szCs w:val="16"/>
                <w:lang w:val="sl-SI"/>
              </w:rPr>
              <w:t>ID.</w:t>
            </w:r>
          </w:p>
        </w:tc>
        <w:tc>
          <w:tcPr>
            <w:tcW w:w="3827" w:type="dxa"/>
            <w:tcBorders>
              <w:top w:val="nil"/>
              <w:left w:val="single" w:sz="4" w:space="0" w:color="0A131B" w:themeColor="text2"/>
              <w:bottom w:val="nil"/>
              <w:right w:val="single" w:sz="4" w:space="0" w:color="0A131B" w:themeColor="text2"/>
            </w:tcBorders>
            <w:vAlign w:val="center"/>
            <w:hideMark/>
          </w:tcPr>
          <w:p w14:paraId="1B75461D" w14:textId="77777777" w:rsidR="00401689" w:rsidRPr="0058617C" w:rsidRDefault="00401689" w:rsidP="00401689">
            <w:pPr>
              <w:spacing w:after="0"/>
              <w:jc w:val="center"/>
              <w:cnfStyle w:val="100000000000" w:firstRow="1" w:lastRow="0" w:firstColumn="0" w:lastColumn="0" w:oddVBand="0" w:evenVBand="0" w:oddHBand="0" w:evenHBand="0" w:firstRowFirstColumn="0" w:firstRowLastColumn="0" w:lastRowFirstColumn="0" w:lastRowLastColumn="0"/>
              <w:rPr>
                <w:sz w:val="16"/>
                <w:szCs w:val="16"/>
                <w:lang w:val="sl-SI"/>
              </w:rPr>
            </w:pPr>
            <w:r w:rsidRPr="0058617C">
              <w:rPr>
                <w:sz w:val="16"/>
                <w:szCs w:val="16"/>
                <w:lang w:val="sl-SI"/>
              </w:rPr>
              <w:t>Kazalnik</w:t>
            </w:r>
          </w:p>
        </w:tc>
        <w:tc>
          <w:tcPr>
            <w:tcW w:w="993" w:type="dxa"/>
            <w:tcBorders>
              <w:top w:val="nil"/>
              <w:left w:val="single" w:sz="4" w:space="0" w:color="0A131B" w:themeColor="text2"/>
              <w:bottom w:val="nil"/>
              <w:right w:val="single" w:sz="4" w:space="0" w:color="0A131B" w:themeColor="text2"/>
            </w:tcBorders>
            <w:vAlign w:val="center"/>
            <w:hideMark/>
          </w:tcPr>
          <w:p w14:paraId="7D0F8E17" w14:textId="77777777" w:rsidR="00401689" w:rsidRPr="0058617C" w:rsidRDefault="00401689" w:rsidP="00401689">
            <w:pPr>
              <w:spacing w:after="0"/>
              <w:jc w:val="center"/>
              <w:cnfStyle w:val="100000000000" w:firstRow="1" w:lastRow="0" w:firstColumn="0" w:lastColumn="0" w:oddVBand="0" w:evenVBand="0" w:oddHBand="0" w:evenHBand="0" w:firstRowFirstColumn="0" w:firstRowLastColumn="0" w:lastRowFirstColumn="0" w:lastRowLastColumn="0"/>
              <w:rPr>
                <w:sz w:val="16"/>
                <w:szCs w:val="16"/>
                <w:lang w:val="sl-SI"/>
              </w:rPr>
            </w:pPr>
            <w:r w:rsidRPr="0058617C">
              <w:rPr>
                <w:sz w:val="16"/>
                <w:szCs w:val="16"/>
                <w:lang w:val="sl-SI"/>
              </w:rPr>
              <w:t>Merska enota</w:t>
            </w:r>
          </w:p>
        </w:tc>
        <w:tc>
          <w:tcPr>
            <w:tcW w:w="1701" w:type="dxa"/>
            <w:tcBorders>
              <w:top w:val="nil"/>
              <w:left w:val="single" w:sz="4" w:space="0" w:color="0A131B" w:themeColor="text2"/>
              <w:bottom w:val="nil"/>
              <w:right w:val="nil"/>
            </w:tcBorders>
            <w:vAlign w:val="center"/>
            <w:hideMark/>
          </w:tcPr>
          <w:p w14:paraId="330B7B51" w14:textId="77777777" w:rsidR="00401689" w:rsidRDefault="00401689" w:rsidP="00401689">
            <w:pPr>
              <w:spacing w:after="0"/>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sl-SI"/>
              </w:rPr>
            </w:pPr>
            <w:r w:rsidRPr="0058617C">
              <w:rPr>
                <w:sz w:val="16"/>
                <w:szCs w:val="16"/>
                <w:lang w:val="sl-SI"/>
              </w:rPr>
              <w:t xml:space="preserve">Ciljna vrednost </w:t>
            </w:r>
          </w:p>
          <w:p w14:paraId="58CAF41A" w14:textId="3F6C2670" w:rsidR="00401689" w:rsidRPr="0058617C" w:rsidRDefault="00401689" w:rsidP="00401689">
            <w:pPr>
              <w:spacing w:after="0"/>
              <w:jc w:val="center"/>
              <w:cnfStyle w:val="100000000000" w:firstRow="1" w:lastRow="0" w:firstColumn="0" w:lastColumn="0" w:oddVBand="0" w:evenVBand="0" w:oddHBand="0" w:evenHBand="0" w:firstRowFirstColumn="0" w:firstRowLastColumn="0" w:lastRowFirstColumn="0" w:lastRowLastColumn="0"/>
              <w:rPr>
                <w:sz w:val="16"/>
                <w:szCs w:val="16"/>
                <w:lang w:val="sl-SI"/>
              </w:rPr>
            </w:pPr>
            <w:r w:rsidRPr="0058617C">
              <w:rPr>
                <w:sz w:val="16"/>
                <w:szCs w:val="16"/>
                <w:lang w:val="sl-SI"/>
              </w:rPr>
              <w:t>(za leto 2023)</w:t>
            </w:r>
          </w:p>
        </w:tc>
        <w:tc>
          <w:tcPr>
            <w:tcW w:w="1842" w:type="dxa"/>
            <w:tcBorders>
              <w:top w:val="nil"/>
              <w:left w:val="single" w:sz="4" w:space="0" w:color="0A131B" w:themeColor="text2"/>
              <w:bottom w:val="nil"/>
              <w:right w:val="nil"/>
            </w:tcBorders>
            <w:vAlign w:val="center"/>
          </w:tcPr>
          <w:p w14:paraId="750057B4" w14:textId="2E1D539D" w:rsidR="00401689" w:rsidRPr="0058617C" w:rsidRDefault="00401689" w:rsidP="00401689">
            <w:pPr>
              <w:spacing w:after="0"/>
              <w:jc w:val="center"/>
              <w:cnfStyle w:val="100000000000" w:firstRow="1" w:lastRow="0" w:firstColumn="0" w:lastColumn="0" w:oddVBand="0" w:evenVBand="0" w:oddHBand="0" w:evenHBand="0" w:firstRowFirstColumn="0" w:firstRowLastColumn="0" w:lastRowFirstColumn="0" w:lastRowLastColumn="0"/>
              <w:rPr>
                <w:sz w:val="16"/>
                <w:szCs w:val="16"/>
                <w:lang w:val="sl-SI"/>
              </w:rPr>
            </w:pPr>
            <w:r>
              <w:rPr>
                <w:sz w:val="16"/>
                <w:szCs w:val="16"/>
                <w:lang w:val="sl-SI"/>
              </w:rPr>
              <w:t>Doseženo konec leta 2022</w:t>
            </w:r>
            <w:r w:rsidR="00D521F6">
              <w:rPr>
                <w:sz w:val="16"/>
                <w:szCs w:val="16"/>
                <w:lang w:val="sl-SI"/>
              </w:rPr>
              <w:t>*</w:t>
            </w:r>
          </w:p>
        </w:tc>
      </w:tr>
      <w:tr w:rsidR="00401689" w:rsidRPr="0058617C" w14:paraId="0B2A4A44" w14:textId="54D5D95F" w:rsidTr="0094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single" w:sz="4" w:space="0" w:color="0A131B" w:themeColor="text2"/>
            </w:tcBorders>
            <w:hideMark/>
          </w:tcPr>
          <w:p w14:paraId="072FABBF" w14:textId="77777777" w:rsidR="00401689" w:rsidRPr="0058617C" w:rsidRDefault="00401689">
            <w:pPr>
              <w:rPr>
                <w:b w:val="0"/>
                <w:sz w:val="16"/>
                <w:szCs w:val="16"/>
                <w:lang w:val="sl-SI"/>
              </w:rPr>
            </w:pPr>
            <w:r w:rsidRPr="0058617C">
              <w:rPr>
                <w:sz w:val="16"/>
                <w:szCs w:val="16"/>
                <w:lang w:val="sl-SI"/>
              </w:rPr>
              <w:t>4.41</w:t>
            </w:r>
          </w:p>
        </w:tc>
        <w:tc>
          <w:tcPr>
            <w:tcW w:w="3827" w:type="dxa"/>
            <w:tcBorders>
              <w:top w:val="nil"/>
              <w:left w:val="single" w:sz="4" w:space="0" w:color="0A131B" w:themeColor="text2"/>
              <w:bottom w:val="nil"/>
              <w:right w:val="single" w:sz="4" w:space="0" w:color="0A131B" w:themeColor="text2"/>
            </w:tcBorders>
            <w:hideMark/>
          </w:tcPr>
          <w:p w14:paraId="4ADC6AF8" w14:textId="77777777" w:rsidR="00401689" w:rsidRPr="0058617C" w:rsidRDefault="00401689">
            <w:pPr>
              <w:jc w:val="left"/>
              <w:cnfStyle w:val="000000100000" w:firstRow="0" w:lastRow="0" w:firstColumn="0" w:lastColumn="0" w:oddVBand="0" w:evenVBand="0" w:oddHBand="1" w:evenHBand="0" w:firstRowFirstColumn="0" w:firstRowLastColumn="0" w:lastRowFirstColumn="0" w:lastRowLastColumn="0"/>
              <w:rPr>
                <w:sz w:val="16"/>
                <w:szCs w:val="16"/>
                <w:lang w:val="sl-SI"/>
              </w:rPr>
            </w:pPr>
            <w:r w:rsidRPr="0058617C">
              <w:rPr>
                <w:sz w:val="16"/>
                <w:szCs w:val="16"/>
                <w:lang w:val="sl-SI"/>
              </w:rPr>
              <w:t>Skupna tlorisna površina energetsko prenovljenih stavb javnega sektorja</w:t>
            </w:r>
          </w:p>
        </w:tc>
        <w:tc>
          <w:tcPr>
            <w:tcW w:w="993" w:type="dxa"/>
            <w:tcBorders>
              <w:top w:val="nil"/>
              <w:left w:val="single" w:sz="4" w:space="0" w:color="0A131B" w:themeColor="text2"/>
              <w:bottom w:val="nil"/>
              <w:right w:val="single" w:sz="4" w:space="0" w:color="0A131B" w:themeColor="text2"/>
            </w:tcBorders>
            <w:hideMark/>
          </w:tcPr>
          <w:p w14:paraId="050088DC" w14:textId="77777777" w:rsidR="00401689" w:rsidRPr="0058617C" w:rsidRDefault="00401689">
            <w:pPr>
              <w:jc w:val="cente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sl-SI"/>
              </w:rPr>
            </w:pPr>
            <w:r w:rsidRPr="0058617C">
              <w:rPr>
                <w:sz w:val="16"/>
                <w:szCs w:val="16"/>
                <w:lang w:val="sl-SI"/>
              </w:rPr>
              <w:t>m2</w:t>
            </w:r>
          </w:p>
        </w:tc>
        <w:tc>
          <w:tcPr>
            <w:tcW w:w="1701" w:type="dxa"/>
            <w:tcBorders>
              <w:top w:val="nil"/>
              <w:left w:val="single" w:sz="4" w:space="0" w:color="0A131B" w:themeColor="text2"/>
              <w:bottom w:val="nil"/>
              <w:right w:val="nil"/>
            </w:tcBorders>
            <w:hideMark/>
          </w:tcPr>
          <w:p w14:paraId="008F0E75" w14:textId="77777777" w:rsidR="00401689" w:rsidRPr="005030A0" w:rsidRDefault="00401689">
            <w:pPr>
              <w:jc w:val="righ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sl-SI"/>
              </w:rPr>
            </w:pPr>
            <w:r w:rsidRPr="005030A0">
              <w:rPr>
                <w:sz w:val="16"/>
                <w:szCs w:val="16"/>
                <w:lang w:val="sl-SI"/>
              </w:rPr>
              <w:t>1.144.044,00</w:t>
            </w:r>
          </w:p>
        </w:tc>
        <w:tc>
          <w:tcPr>
            <w:tcW w:w="1842" w:type="dxa"/>
            <w:tcBorders>
              <w:top w:val="nil"/>
              <w:left w:val="single" w:sz="4" w:space="0" w:color="0A131B" w:themeColor="text2"/>
              <w:bottom w:val="nil"/>
              <w:right w:val="nil"/>
            </w:tcBorders>
          </w:tcPr>
          <w:p w14:paraId="2B010055" w14:textId="2FD3762A" w:rsidR="00401689" w:rsidRPr="005030A0" w:rsidRDefault="00E42158">
            <w:pPr>
              <w:jc w:val="right"/>
              <w:cnfStyle w:val="000000100000" w:firstRow="0" w:lastRow="0" w:firstColumn="0" w:lastColumn="0" w:oddVBand="0" w:evenVBand="0" w:oddHBand="1" w:evenHBand="0" w:firstRowFirstColumn="0" w:firstRowLastColumn="0" w:lastRowFirstColumn="0" w:lastRowLastColumn="0"/>
              <w:rPr>
                <w:sz w:val="16"/>
                <w:szCs w:val="16"/>
                <w:lang w:val="sl-SI"/>
              </w:rPr>
            </w:pPr>
            <w:r w:rsidRPr="00E42158">
              <w:rPr>
                <w:sz w:val="16"/>
                <w:szCs w:val="16"/>
                <w:lang w:val="sl-SI"/>
              </w:rPr>
              <w:t>928.247,10</w:t>
            </w:r>
          </w:p>
        </w:tc>
      </w:tr>
      <w:tr w:rsidR="00401689" w:rsidRPr="0058617C" w14:paraId="0B988F16" w14:textId="33B5DD22" w:rsidTr="0094034A">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single" w:sz="4" w:space="0" w:color="0A131B" w:themeColor="text2"/>
            </w:tcBorders>
            <w:hideMark/>
          </w:tcPr>
          <w:p w14:paraId="706FC92D" w14:textId="77777777" w:rsidR="00401689" w:rsidRPr="0058617C" w:rsidRDefault="00401689">
            <w:pPr>
              <w:rPr>
                <w:b w:val="0"/>
                <w:sz w:val="16"/>
                <w:szCs w:val="16"/>
                <w:lang w:val="sl-SI"/>
              </w:rPr>
            </w:pPr>
            <w:r w:rsidRPr="0058617C">
              <w:rPr>
                <w:sz w:val="16"/>
                <w:szCs w:val="16"/>
                <w:lang w:val="sl-SI"/>
              </w:rPr>
              <w:t>4.51</w:t>
            </w:r>
          </w:p>
        </w:tc>
        <w:tc>
          <w:tcPr>
            <w:tcW w:w="3827" w:type="dxa"/>
            <w:tcBorders>
              <w:top w:val="nil"/>
              <w:left w:val="single" w:sz="4" w:space="0" w:color="0A131B" w:themeColor="text2"/>
              <w:bottom w:val="nil"/>
              <w:right w:val="single" w:sz="4" w:space="0" w:color="0A131B" w:themeColor="text2"/>
            </w:tcBorders>
            <w:hideMark/>
          </w:tcPr>
          <w:p w14:paraId="0B85AAB7" w14:textId="77777777" w:rsidR="00401689" w:rsidRPr="0058617C" w:rsidRDefault="00401689">
            <w:pPr>
              <w:jc w:val="left"/>
              <w:cnfStyle w:val="000000000000" w:firstRow="0" w:lastRow="0" w:firstColumn="0" w:lastColumn="0" w:oddVBand="0" w:evenVBand="0" w:oddHBand="0" w:evenHBand="0" w:firstRowFirstColumn="0" w:firstRowLastColumn="0" w:lastRowFirstColumn="0" w:lastRowLastColumn="0"/>
              <w:rPr>
                <w:sz w:val="16"/>
                <w:szCs w:val="16"/>
                <w:lang w:val="sl-SI"/>
              </w:rPr>
            </w:pPr>
            <w:r w:rsidRPr="0058617C">
              <w:rPr>
                <w:sz w:val="16"/>
                <w:szCs w:val="16"/>
                <w:lang w:val="sl-SI"/>
              </w:rPr>
              <w:t>Skupna tlorisna površina energetsko prenovljenih stavb v lasti in uporabi osrednje oz. ožje vlade</w:t>
            </w:r>
          </w:p>
        </w:tc>
        <w:tc>
          <w:tcPr>
            <w:tcW w:w="993" w:type="dxa"/>
            <w:tcBorders>
              <w:top w:val="nil"/>
              <w:left w:val="single" w:sz="4" w:space="0" w:color="0A131B" w:themeColor="text2"/>
              <w:bottom w:val="nil"/>
              <w:right w:val="single" w:sz="4" w:space="0" w:color="0A131B" w:themeColor="text2"/>
            </w:tcBorders>
            <w:hideMark/>
          </w:tcPr>
          <w:p w14:paraId="21F2E4CE" w14:textId="77777777" w:rsidR="00401689" w:rsidRPr="0058617C" w:rsidRDefault="00401689">
            <w:pPr>
              <w:jc w:val="center"/>
              <w:cnfStyle w:val="000000000000" w:firstRow="0" w:lastRow="0" w:firstColumn="0" w:lastColumn="0" w:oddVBand="0" w:evenVBand="0" w:oddHBand="0" w:evenHBand="0" w:firstRowFirstColumn="0" w:firstRowLastColumn="0" w:lastRowFirstColumn="0" w:lastRowLastColumn="0"/>
              <w:rPr>
                <w:sz w:val="16"/>
                <w:szCs w:val="16"/>
                <w:lang w:val="sl-SI"/>
              </w:rPr>
            </w:pPr>
            <w:r w:rsidRPr="0058617C">
              <w:rPr>
                <w:sz w:val="16"/>
                <w:szCs w:val="16"/>
                <w:lang w:val="sl-SI"/>
              </w:rPr>
              <w:t>m2</w:t>
            </w:r>
          </w:p>
        </w:tc>
        <w:tc>
          <w:tcPr>
            <w:tcW w:w="1701" w:type="dxa"/>
            <w:tcBorders>
              <w:top w:val="nil"/>
              <w:left w:val="single" w:sz="4" w:space="0" w:color="0A131B" w:themeColor="text2"/>
              <w:bottom w:val="nil"/>
              <w:right w:val="nil"/>
            </w:tcBorders>
            <w:hideMark/>
          </w:tcPr>
          <w:p w14:paraId="7E4080C2" w14:textId="77777777" w:rsidR="00401689" w:rsidRPr="005030A0" w:rsidRDefault="00401689">
            <w:pPr>
              <w:jc w:val="right"/>
              <w:cnfStyle w:val="000000000000" w:firstRow="0" w:lastRow="0" w:firstColumn="0" w:lastColumn="0" w:oddVBand="0" w:evenVBand="0" w:oddHBand="0" w:evenHBand="0" w:firstRowFirstColumn="0" w:firstRowLastColumn="0" w:lastRowFirstColumn="0" w:lastRowLastColumn="0"/>
              <w:rPr>
                <w:sz w:val="16"/>
                <w:szCs w:val="16"/>
                <w:lang w:val="sl-SI"/>
              </w:rPr>
            </w:pPr>
            <w:r w:rsidRPr="005030A0">
              <w:rPr>
                <w:sz w:val="16"/>
                <w:szCs w:val="16"/>
                <w:lang w:val="sl-SI"/>
              </w:rPr>
              <w:t>114.404,40</w:t>
            </w:r>
          </w:p>
        </w:tc>
        <w:tc>
          <w:tcPr>
            <w:tcW w:w="1842" w:type="dxa"/>
            <w:tcBorders>
              <w:top w:val="nil"/>
              <w:left w:val="single" w:sz="4" w:space="0" w:color="0A131B" w:themeColor="text2"/>
              <w:bottom w:val="nil"/>
              <w:right w:val="nil"/>
            </w:tcBorders>
          </w:tcPr>
          <w:p w14:paraId="62F1387E" w14:textId="14BA97D7" w:rsidR="00401689" w:rsidRPr="005030A0" w:rsidRDefault="00E973AA">
            <w:pPr>
              <w:jc w:val="right"/>
              <w:cnfStyle w:val="000000000000" w:firstRow="0" w:lastRow="0" w:firstColumn="0" w:lastColumn="0" w:oddVBand="0" w:evenVBand="0" w:oddHBand="0" w:evenHBand="0" w:firstRowFirstColumn="0" w:firstRowLastColumn="0" w:lastRowFirstColumn="0" w:lastRowLastColumn="0"/>
              <w:rPr>
                <w:sz w:val="16"/>
                <w:szCs w:val="16"/>
                <w:lang w:val="sl-SI"/>
              </w:rPr>
            </w:pPr>
            <w:r w:rsidRPr="00E973AA">
              <w:rPr>
                <w:sz w:val="16"/>
                <w:szCs w:val="16"/>
                <w:lang w:val="sl-SI"/>
              </w:rPr>
              <w:t>36.654,16</w:t>
            </w:r>
          </w:p>
        </w:tc>
      </w:tr>
      <w:tr w:rsidR="00401689" w:rsidRPr="0058617C" w14:paraId="5598A7BB" w14:textId="59C96442" w:rsidTr="0094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single" w:sz="4" w:space="0" w:color="0A131B" w:themeColor="text2"/>
            </w:tcBorders>
            <w:hideMark/>
          </w:tcPr>
          <w:p w14:paraId="76B5F52A" w14:textId="77777777" w:rsidR="00401689" w:rsidRPr="0058617C" w:rsidRDefault="00401689">
            <w:pPr>
              <w:rPr>
                <w:b w:val="0"/>
                <w:sz w:val="16"/>
                <w:szCs w:val="16"/>
                <w:lang w:val="sl-SI"/>
              </w:rPr>
            </w:pPr>
            <w:r w:rsidRPr="0058617C">
              <w:rPr>
                <w:sz w:val="16"/>
                <w:szCs w:val="16"/>
                <w:lang w:val="sl-SI"/>
              </w:rPr>
              <w:t>4.61</w:t>
            </w:r>
          </w:p>
        </w:tc>
        <w:tc>
          <w:tcPr>
            <w:tcW w:w="3827" w:type="dxa"/>
            <w:tcBorders>
              <w:top w:val="nil"/>
              <w:left w:val="single" w:sz="4" w:space="0" w:color="0A131B" w:themeColor="text2"/>
              <w:bottom w:val="nil"/>
              <w:right w:val="single" w:sz="4" w:space="0" w:color="0A131B" w:themeColor="text2"/>
            </w:tcBorders>
            <w:hideMark/>
          </w:tcPr>
          <w:p w14:paraId="3D8B329C" w14:textId="77777777" w:rsidR="00401689" w:rsidRPr="0058617C" w:rsidRDefault="00401689">
            <w:pPr>
              <w:jc w:val="left"/>
              <w:cnfStyle w:val="000000100000" w:firstRow="0" w:lastRow="0" w:firstColumn="0" w:lastColumn="0" w:oddVBand="0" w:evenVBand="0" w:oddHBand="1" w:evenHBand="0" w:firstRowFirstColumn="0" w:firstRowLastColumn="0" w:lastRowFirstColumn="0" w:lastRowLastColumn="0"/>
              <w:rPr>
                <w:sz w:val="16"/>
                <w:szCs w:val="16"/>
                <w:lang w:val="sl-SI"/>
              </w:rPr>
            </w:pPr>
            <w:r w:rsidRPr="0058617C">
              <w:rPr>
                <w:sz w:val="16"/>
                <w:szCs w:val="16"/>
                <w:lang w:val="sl-SI"/>
              </w:rPr>
              <w:t>Število izvedenih demonstracijskih projektov energetske prenove različnih tipov stavb</w:t>
            </w:r>
          </w:p>
        </w:tc>
        <w:tc>
          <w:tcPr>
            <w:tcW w:w="993" w:type="dxa"/>
            <w:tcBorders>
              <w:top w:val="nil"/>
              <w:left w:val="single" w:sz="4" w:space="0" w:color="0A131B" w:themeColor="text2"/>
              <w:bottom w:val="nil"/>
              <w:right w:val="single" w:sz="4" w:space="0" w:color="0A131B" w:themeColor="text2"/>
            </w:tcBorders>
            <w:hideMark/>
          </w:tcPr>
          <w:p w14:paraId="2021694F" w14:textId="77777777" w:rsidR="00401689" w:rsidRPr="0058617C" w:rsidRDefault="00401689">
            <w:pPr>
              <w:jc w:val="center"/>
              <w:cnfStyle w:val="000000100000" w:firstRow="0" w:lastRow="0" w:firstColumn="0" w:lastColumn="0" w:oddVBand="0" w:evenVBand="0" w:oddHBand="1" w:evenHBand="0" w:firstRowFirstColumn="0" w:firstRowLastColumn="0" w:lastRowFirstColumn="0" w:lastRowLastColumn="0"/>
              <w:rPr>
                <w:sz w:val="16"/>
                <w:szCs w:val="16"/>
                <w:lang w:val="sl-SI"/>
              </w:rPr>
            </w:pPr>
            <w:r w:rsidRPr="0058617C">
              <w:rPr>
                <w:sz w:val="16"/>
                <w:szCs w:val="16"/>
                <w:lang w:val="sl-SI"/>
              </w:rPr>
              <w:t>število</w:t>
            </w:r>
          </w:p>
        </w:tc>
        <w:tc>
          <w:tcPr>
            <w:tcW w:w="1701" w:type="dxa"/>
            <w:tcBorders>
              <w:top w:val="nil"/>
              <w:left w:val="single" w:sz="4" w:space="0" w:color="0A131B" w:themeColor="text2"/>
              <w:bottom w:val="nil"/>
              <w:right w:val="nil"/>
            </w:tcBorders>
            <w:hideMark/>
          </w:tcPr>
          <w:p w14:paraId="3CD1BEFC" w14:textId="77777777" w:rsidR="00401689" w:rsidRPr="0058617C" w:rsidRDefault="00401689">
            <w:pPr>
              <w:jc w:val="right"/>
              <w:cnfStyle w:val="000000100000" w:firstRow="0" w:lastRow="0" w:firstColumn="0" w:lastColumn="0" w:oddVBand="0" w:evenVBand="0" w:oddHBand="1" w:evenHBand="0" w:firstRowFirstColumn="0" w:firstRowLastColumn="0" w:lastRowFirstColumn="0" w:lastRowLastColumn="0"/>
              <w:rPr>
                <w:sz w:val="16"/>
                <w:szCs w:val="16"/>
                <w:lang w:val="sl-SI"/>
              </w:rPr>
            </w:pPr>
            <w:r w:rsidRPr="0058617C">
              <w:rPr>
                <w:sz w:val="16"/>
                <w:szCs w:val="16"/>
                <w:lang w:val="sl-SI"/>
              </w:rPr>
              <w:t>5,00</w:t>
            </w:r>
          </w:p>
        </w:tc>
        <w:tc>
          <w:tcPr>
            <w:tcW w:w="1842" w:type="dxa"/>
            <w:tcBorders>
              <w:top w:val="nil"/>
              <w:left w:val="single" w:sz="4" w:space="0" w:color="0A131B" w:themeColor="text2"/>
              <w:bottom w:val="nil"/>
              <w:right w:val="nil"/>
            </w:tcBorders>
          </w:tcPr>
          <w:p w14:paraId="1E180F6C" w14:textId="50B3C965" w:rsidR="00401689" w:rsidRPr="0058617C" w:rsidRDefault="00E973AA">
            <w:pPr>
              <w:jc w:val="right"/>
              <w:cnfStyle w:val="000000100000" w:firstRow="0" w:lastRow="0" w:firstColumn="0" w:lastColumn="0" w:oddVBand="0" w:evenVBand="0" w:oddHBand="1" w:evenHBand="0" w:firstRowFirstColumn="0" w:firstRowLastColumn="0" w:lastRowFirstColumn="0" w:lastRowLastColumn="0"/>
              <w:rPr>
                <w:sz w:val="16"/>
                <w:szCs w:val="16"/>
                <w:lang w:val="sl-SI"/>
              </w:rPr>
            </w:pPr>
            <w:r>
              <w:rPr>
                <w:sz w:val="16"/>
                <w:szCs w:val="16"/>
                <w:lang w:val="sl-SI"/>
              </w:rPr>
              <w:t>3,00</w:t>
            </w:r>
          </w:p>
        </w:tc>
      </w:tr>
    </w:tbl>
    <w:p w14:paraId="1BF2678F" w14:textId="32FF299C" w:rsidR="0084551A" w:rsidRPr="00D521F6" w:rsidRDefault="00D521F6" w:rsidP="00D521F6">
      <w:pPr>
        <w:spacing w:after="0"/>
        <w:rPr>
          <w:noProof/>
          <w:sz w:val="16"/>
          <w:szCs w:val="20"/>
          <w:lang w:val="fr-BE"/>
        </w:rPr>
      </w:pPr>
      <w:r>
        <w:rPr>
          <w:noProof/>
          <w:sz w:val="16"/>
          <w:szCs w:val="20"/>
          <w:lang w:val="fr-BE"/>
        </w:rPr>
        <w:t xml:space="preserve">* </w:t>
      </w:r>
      <w:r w:rsidRPr="00D521F6">
        <w:rPr>
          <w:noProof/>
          <w:sz w:val="16"/>
          <w:szCs w:val="20"/>
          <w:lang w:val="fr-BE"/>
        </w:rPr>
        <w:t xml:space="preserve">Podatki so povzeti </w:t>
      </w:r>
      <w:r w:rsidR="00A22870" w:rsidRPr="00A22870">
        <w:rPr>
          <w:noProof/>
          <w:sz w:val="16"/>
          <w:szCs w:val="20"/>
          <w:lang w:val="fr-BE"/>
        </w:rPr>
        <w:t>iz letnega poročila o izvajanju cilja "naložbe za rast in delovna mesta" za leto 2022</w:t>
      </w:r>
      <w:r w:rsidR="00A22870">
        <w:rPr>
          <w:noProof/>
          <w:sz w:val="16"/>
          <w:szCs w:val="20"/>
          <w:lang w:val="fr-BE"/>
        </w:rPr>
        <w:t>. U</w:t>
      </w:r>
      <w:r w:rsidRPr="00D521F6">
        <w:rPr>
          <w:noProof/>
          <w:sz w:val="16"/>
          <w:szCs w:val="20"/>
          <w:lang w:val="fr-BE"/>
        </w:rPr>
        <w:t>poštevana je kumulativna vrednost kazalnik</w:t>
      </w:r>
      <w:r>
        <w:rPr>
          <w:noProof/>
          <w:sz w:val="16"/>
          <w:szCs w:val="20"/>
          <w:lang w:val="fr-BE"/>
        </w:rPr>
        <w:t>a</w:t>
      </w:r>
      <w:r w:rsidRPr="00D521F6">
        <w:rPr>
          <w:noProof/>
          <w:sz w:val="16"/>
          <w:szCs w:val="20"/>
          <w:lang w:val="fr-BE"/>
        </w:rPr>
        <w:t>, in sicer učinki, ki so jih operacije dosegle (dejanski dosežek)</w:t>
      </w:r>
      <w:r w:rsidR="00A22870">
        <w:rPr>
          <w:noProof/>
          <w:sz w:val="16"/>
          <w:szCs w:val="20"/>
          <w:lang w:val="fr-BE"/>
        </w:rPr>
        <w:t>.</w:t>
      </w:r>
    </w:p>
    <w:p w14:paraId="1104130A" w14:textId="77777777" w:rsidR="00D521F6" w:rsidRPr="00D521F6" w:rsidRDefault="00D521F6" w:rsidP="00D521F6">
      <w:pPr>
        <w:spacing w:after="0"/>
        <w:rPr>
          <w:lang w:val="sl-SI"/>
        </w:rPr>
      </w:pPr>
    </w:p>
    <w:p w14:paraId="2E6D3363" w14:textId="77777777" w:rsidR="00415F3C" w:rsidRPr="0058617C" w:rsidRDefault="00415F3C" w:rsidP="008F22B1">
      <w:pPr>
        <w:rPr>
          <w:lang w:val="sl-SI"/>
        </w:rPr>
      </w:pPr>
    </w:p>
    <w:p w14:paraId="7547DAEF" w14:textId="1B9FFAA1" w:rsidR="00A962A0" w:rsidRPr="0058617C" w:rsidRDefault="00C30A06" w:rsidP="00C30A06">
      <w:pPr>
        <w:pStyle w:val="Naslov2"/>
        <w:rPr>
          <w:lang w:val="sl-SI"/>
        </w:rPr>
      </w:pPr>
      <w:bookmarkStart w:id="9" w:name="_Toc129003805"/>
      <w:bookmarkStart w:id="10" w:name="_Toc136287525"/>
      <w:r w:rsidRPr="0058617C">
        <w:rPr>
          <w:lang w:val="sl-SI"/>
        </w:rPr>
        <w:t>Nameni in cilji vrednotenja</w:t>
      </w:r>
      <w:bookmarkEnd w:id="9"/>
      <w:bookmarkEnd w:id="10"/>
      <w:r w:rsidRPr="0058617C">
        <w:rPr>
          <w:lang w:val="sl-SI"/>
        </w:rPr>
        <w:t xml:space="preserve"> </w:t>
      </w:r>
    </w:p>
    <w:p w14:paraId="635EB792" w14:textId="43B54803" w:rsidR="00524C20" w:rsidRPr="0058617C" w:rsidRDefault="00524C20" w:rsidP="00524C20">
      <w:pPr>
        <w:rPr>
          <w:lang w:val="sl-SI"/>
        </w:rPr>
      </w:pPr>
    </w:p>
    <w:p w14:paraId="3A66CC19" w14:textId="77777777" w:rsidR="00524C20" w:rsidRPr="0058617C" w:rsidRDefault="00524C20" w:rsidP="00524C20">
      <w:pPr>
        <w:rPr>
          <w:lang w:val="sl-SI"/>
        </w:rPr>
      </w:pPr>
      <w:r w:rsidRPr="0058617C">
        <w:rPr>
          <w:lang w:val="sl-SI"/>
        </w:rPr>
        <w:t xml:space="preserve">Namen vrednotenja je preveriti </w:t>
      </w:r>
      <w:r w:rsidRPr="0058617C">
        <w:rPr>
          <w:b/>
          <w:bCs/>
          <w:color w:val="032D5B" w:themeColor="accent1"/>
          <w:lang w:val="sl-SI"/>
        </w:rPr>
        <w:t>uspešnost in učinkovitost</w:t>
      </w:r>
      <w:r w:rsidRPr="0058617C">
        <w:rPr>
          <w:lang w:val="sl-SI"/>
        </w:rPr>
        <w:t xml:space="preserve"> izvajanja ukrepov, ugotoviti </w:t>
      </w:r>
      <w:r w:rsidRPr="0058617C">
        <w:rPr>
          <w:b/>
          <w:bCs/>
          <w:color w:val="032D5B" w:themeColor="accent1"/>
          <w:lang w:val="sl-SI"/>
        </w:rPr>
        <w:t>ustreznost</w:t>
      </w:r>
      <w:r w:rsidRPr="0058617C">
        <w:rPr>
          <w:lang w:val="sl-SI"/>
        </w:rPr>
        <w:t xml:space="preserve"> izvedenih ukrepov, preveriti </w:t>
      </w:r>
      <w:r w:rsidRPr="0058617C">
        <w:rPr>
          <w:b/>
          <w:bCs/>
          <w:color w:val="032D5B" w:themeColor="accent1"/>
          <w:lang w:val="sl-SI"/>
        </w:rPr>
        <w:t>učinkovitost in uspešnost</w:t>
      </w:r>
      <w:r w:rsidRPr="0058617C">
        <w:rPr>
          <w:lang w:val="sl-SI"/>
        </w:rPr>
        <w:t xml:space="preserve"> izvedenih projektov ter </w:t>
      </w:r>
      <w:r w:rsidRPr="0058617C">
        <w:rPr>
          <w:b/>
          <w:bCs/>
          <w:color w:val="032D5B" w:themeColor="accent1"/>
          <w:lang w:val="sl-SI"/>
        </w:rPr>
        <w:t>podati oceno</w:t>
      </w:r>
      <w:r w:rsidRPr="0058617C">
        <w:rPr>
          <w:lang w:val="sl-SI"/>
        </w:rPr>
        <w:t xml:space="preserve"> o samem procesu izvajanja in o doseženih rezultatih. Vrednotenje preverja tudi, kakšen </w:t>
      </w:r>
      <w:r w:rsidRPr="0058617C">
        <w:rPr>
          <w:b/>
          <w:bCs/>
          <w:color w:val="032D5B" w:themeColor="accent1"/>
          <w:lang w:val="sl-SI"/>
        </w:rPr>
        <w:t xml:space="preserve">vpliv </w:t>
      </w:r>
      <w:r w:rsidRPr="0058617C">
        <w:rPr>
          <w:lang w:val="sl-SI"/>
        </w:rPr>
        <w:t xml:space="preserve">imajo spodbude na SC in doseganje kazalnikov SC kot celote. </w:t>
      </w:r>
    </w:p>
    <w:p w14:paraId="14B0AB68" w14:textId="77777777" w:rsidR="00524C20" w:rsidRPr="0058617C" w:rsidRDefault="00524C20" w:rsidP="00524C20">
      <w:pPr>
        <w:rPr>
          <w:lang w:val="sl-SI"/>
        </w:rPr>
      </w:pPr>
      <w:r w:rsidRPr="0058617C">
        <w:rPr>
          <w:b/>
          <w:bCs/>
          <w:color w:val="032D5B" w:themeColor="accent1"/>
          <w:lang w:val="sl-SI"/>
        </w:rPr>
        <w:t>Cilji vrednotenja</w:t>
      </w:r>
      <w:r w:rsidRPr="0058617C">
        <w:rPr>
          <w:lang w:val="sl-SI"/>
        </w:rPr>
        <w:t xml:space="preserve"> so oceniti:</w:t>
      </w:r>
    </w:p>
    <w:p w14:paraId="58AC83D4" w14:textId="77777777" w:rsidR="00524C20" w:rsidRPr="0058617C" w:rsidRDefault="00524C20" w:rsidP="008603EF">
      <w:pPr>
        <w:pStyle w:val="Odstavekseznama"/>
        <w:numPr>
          <w:ilvl w:val="0"/>
          <w:numId w:val="10"/>
        </w:numPr>
        <w:rPr>
          <w:lang w:val="sl-SI"/>
        </w:rPr>
      </w:pPr>
      <w:r w:rsidRPr="0058617C">
        <w:rPr>
          <w:lang w:val="sl-SI"/>
        </w:rPr>
        <w:t>uspešnost in učinkovitost javnih razpisov JOB 2016, JOB 2017, JOB 2018, JOB 2019, JOB 2020 in JOB 2021;</w:t>
      </w:r>
    </w:p>
    <w:p w14:paraId="6D4A4E0E" w14:textId="77777777" w:rsidR="00524C20" w:rsidRPr="0058617C" w:rsidRDefault="00524C20" w:rsidP="008603EF">
      <w:pPr>
        <w:pStyle w:val="Odstavekseznama"/>
        <w:numPr>
          <w:ilvl w:val="0"/>
          <w:numId w:val="10"/>
        </w:numPr>
        <w:rPr>
          <w:lang w:val="sl-SI"/>
        </w:rPr>
      </w:pPr>
      <w:r w:rsidRPr="0058617C">
        <w:rPr>
          <w:lang w:val="sl-SI"/>
        </w:rPr>
        <w:t>ustreznost sprememb po posameznih Javnih razpisih za sofinanciranje energetske prenove stavb v lasti in rabi občin, objavljenih v letih 2017,  2018, 2019, 2020 in 2021;</w:t>
      </w:r>
    </w:p>
    <w:p w14:paraId="56A15A75" w14:textId="77777777" w:rsidR="00524C20" w:rsidRPr="0058617C" w:rsidRDefault="00524C20" w:rsidP="008603EF">
      <w:pPr>
        <w:pStyle w:val="Odstavekseznama"/>
        <w:numPr>
          <w:ilvl w:val="0"/>
          <w:numId w:val="10"/>
        </w:numPr>
        <w:rPr>
          <w:lang w:val="sl-SI"/>
        </w:rPr>
      </w:pPr>
      <w:r w:rsidRPr="0058617C">
        <w:rPr>
          <w:lang w:val="sl-SI"/>
        </w:rPr>
        <w:t>uspešnost in učinkovitost povabil nosilnega posredniškega organa;</w:t>
      </w:r>
    </w:p>
    <w:p w14:paraId="07181F96" w14:textId="77777777" w:rsidR="00524C20" w:rsidRPr="0058617C" w:rsidRDefault="00524C20" w:rsidP="008603EF">
      <w:pPr>
        <w:pStyle w:val="Odstavekseznama"/>
        <w:numPr>
          <w:ilvl w:val="0"/>
          <w:numId w:val="10"/>
        </w:numPr>
        <w:rPr>
          <w:lang w:val="sl-SI"/>
        </w:rPr>
      </w:pPr>
      <w:r w:rsidRPr="0058617C">
        <w:rPr>
          <w:lang w:val="sl-SI"/>
        </w:rPr>
        <w:t>ustreznost sprememb po posameznih povabilih nosilnega posredniškega organa, objavljenih v letih 2017, 2018, 2019, 2020, 2021;</w:t>
      </w:r>
    </w:p>
    <w:p w14:paraId="1CA63137" w14:textId="77777777" w:rsidR="009D0993" w:rsidRDefault="00524C20" w:rsidP="008603EF">
      <w:pPr>
        <w:pStyle w:val="Odstavekseznama"/>
        <w:numPr>
          <w:ilvl w:val="0"/>
          <w:numId w:val="10"/>
        </w:numPr>
        <w:rPr>
          <w:lang w:val="sl-SI"/>
        </w:rPr>
      </w:pPr>
      <w:r w:rsidRPr="0058617C">
        <w:rPr>
          <w:lang w:val="sl-SI"/>
        </w:rPr>
        <w:t xml:space="preserve">preveritev učinkovitosti postopkov izbora operacij v skladu s poglavjem 3.2 Navodil OU za načrtovanje, odločanje o podpori, spremljanje poročanje ter poglavjem 3 Navodil za delo posredniških organov in upravičencev pri ukrepu energetske prenove stavb javnega sektorja (izvedba predhodnega postopka, to je povabila </w:t>
      </w:r>
      <w:proofErr w:type="spellStart"/>
      <w:r w:rsidRPr="0058617C">
        <w:rPr>
          <w:lang w:val="sl-SI"/>
        </w:rPr>
        <w:t>NosPO</w:t>
      </w:r>
      <w:proofErr w:type="spellEnd"/>
      <w:r w:rsidRPr="0058617C">
        <w:rPr>
          <w:lang w:val="sl-SI"/>
        </w:rPr>
        <w:t xml:space="preserve"> posredniškim organom za posredovanje vloge prijavitelja za posredovanje predloga operacije, neposredna potrditev operacije in sklenitev pogodbe o sofinanciranju) s predlogi za izboljšanje; </w:t>
      </w:r>
    </w:p>
    <w:p w14:paraId="4380723E" w14:textId="489F26F4" w:rsidR="00524C20" w:rsidRPr="0058617C" w:rsidRDefault="00524C20" w:rsidP="008603EF">
      <w:pPr>
        <w:pStyle w:val="Odstavekseznama"/>
        <w:numPr>
          <w:ilvl w:val="0"/>
          <w:numId w:val="10"/>
        </w:numPr>
        <w:rPr>
          <w:lang w:val="sl-SI"/>
        </w:rPr>
      </w:pPr>
      <w:r w:rsidRPr="0058617C">
        <w:rPr>
          <w:lang w:val="sl-SI"/>
        </w:rPr>
        <w:t>vpliv na upravičence;</w:t>
      </w:r>
    </w:p>
    <w:p w14:paraId="31AB8991" w14:textId="77777777" w:rsidR="00524C20" w:rsidRPr="0058617C" w:rsidRDefault="00524C20" w:rsidP="008603EF">
      <w:pPr>
        <w:pStyle w:val="Odstavekseznama"/>
        <w:numPr>
          <w:ilvl w:val="0"/>
          <w:numId w:val="10"/>
        </w:numPr>
        <w:rPr>
          <w:lang w:val="sl-SI"/>
        </w:rPr>
      </w:pPr>
      <w:r w:rsidRPr="0058617C">
        <w:rPr>
          <w:lang w:val="sl-SI"/>
        </w:rPr>
        <w:t>učinkovitost izvajanja operacij;</w:t>
      </w:r>
    </w:p>
    <w:p w14:paraId="1CC95FBC" w14:textId="77777777" w:rsidR="00524C20" w:rsidRPr="0058617C" w:rsidRDefault="00524C20" w:rsidP="008603EF">
      <w:pPr>
        <w:pStyle w:val="Odstavekseznama"/>
        <w:numPr>
          <w:ilvl w:val="0"/>
          <w:numId w:val="10"/>
        </w:numPr>
        <w:rPr>
          <w:lang w:val="sl-SI"/>
        </w:rPr>
      </w:pPr>
      <w:r w:rsidRPr="0058617C">
        <w:rPr>
          <w:lang w:val="sl-SI"/>
        </w:rPr>
        <w:t>uveljavitev in izvajanje projektov po JZP po modelu pogodbenega zagotavljanja prihrankov energije;</w:t>
      </w:r>
    </w:p>
    <w:p w14:paraId="746A83E3" w14:textId="77777777" w:rsidR="00524C20" w:rsidRPr="0058617C" w:rsidRDefault="00524C20" w:rsidP="008603EF">
      <w:pPr>
        <w:pStyle w:val="Odstavekseznama"/>
        <w:numPr>
          <w:ilvl w:val="0"/>
          <w:numId w:val="10"/>
        </w:numPr>
        <w:rPr>
          <w:lang w:val="sl-SI"/>
        </w:rPr>
      </w:pPr>
      <w:r w:rsidRPr="0058617C">
        <w:rPr>
          <w:lang w:val="sl-SI"/>
        </w:rPr>
        <w:t xml:space="preserve">trajnost doseženih rezultatov izbranih operacij ter </w:t>
      </w:r>
    </w:p>
    <w:p w14:paraId="35529E71" w14:textId="77777777" w:rsidR="00524C20" w:rsidRDefault="00524C20" w:rsidP="008603EF">
      <w:pPr>
        <w:pStyle w:val="Odstavekseznama"/>
        <w:numPr>
          <w:ilvl w:val="0"/>
          <w:numId w:val="10"/>
        </w:numPr>
        <w:rPr>
          <w:lang w:val="sl-SI"/>
        </w:rPr>
      </w:pPr>
      <w:r w:rsidRPr="0058617C">
        <w:rPr>
          <w:lang w:val="sl-SI"/>
        </w:rPr>
        <w:t>primere dobrih praks in pridobljene izkušnje.</w:t>
      </w:r>
    </w:p>
    <w:p w14:paraId="10CEC652" w14:textId="60265C6E" w:rsidR="009378A1" w:rsidRDefault="009378A1">
      <w:pPr>
        <w:spacing w:after="0"/>
        <w:jc w:val="left"/>
        <w:rPr>
          <w:lang w:val="sl-SI"/>
        </w:rPr>
      </w:pPr>
      <w:r>
        <w:rPr>
          <w:lang w:val="sl-SI"/>
        </w:rPr>
        <w:br w:type="page"/>
      </w:r>
    </w:p>
    <w:p w14:paraId="1E7735A0" w14:textId="3466CCEF" w:rsidR="00C30A06" w:rsidRPr="0058617C" w:rsidRDefault="00C30A06" w:rsidP="00C30A06">
      <w:pPr>
        <w:pStyle w:val="Naslov1"/>
        <w:rPr>
          <w:lang w:val="sl-SI"/>
        </w:rPr>
      </w:pPr>
      <w:bookmarkStart w:id="11" w:name="_Toc129003806"/>
      <w:bookmarkStart w:id="12" w:name="_Toc136287526"/>
      <w:r w:rsidRPr="0058617C">
        <w:rPr>
          <w:lang w:val="sl-SI"/>
        </w:rPr>
        <w:lastRenderedPageBreak/>
        <w:t>Pregled intervencijske logike</w:t>
      </w:r>
      <w:bookmarkEnd w:id="11"/>
      <w:bookmarkEnd w:id="12"/>
      <w:r w:rsidRPr="0058617C">
        <w:rPr>
          <w:lang w:val="sl-SI"/>
        </w:rPr>
        <w:t xml:space="preserve"> </w:t>
      </w:r>
    </w:p>
    <w:p w14:paraId="4A913473" w14:textId="77777777" w:rsidR="00E96F86" w:rsidRDefault="00E96F86" w:rsidP="00B76F20">
      <w:pPr>
        <w:rPr>
          <w:lang w:val="sl-SI"/>
        </w:rPr>
      </w:pPr>
    </w:p>
    <w:p w14:paraId="671D8BD5" w14:textId="74B802D1" w:rsidR="00B76F20" w:rsidRPr="0058617C" w:rsidRDefault="00B76F20" w:rsidP="00B76F20">
      <w:pPr>
        <w:rPr>
          <w:lang w:val="sl-SI"/>
        </w:rPr>
      </w:pPr>
      <w:r w:rsidRPr="0058617C">
        <w:rPr>
          <w:lang w:val="sl-SI"/>
        </w:rPr>
        <w:t>Intervencijska logika, kot j</w:t>
      </w:r>
      <w:r w:rsidR="009D0993">
        <w:rPr>
          <w:lang w:val="sl-SI"/>
        </w:rPr>
        <w:t>o</w:t>
      </w:r>
      <w:r w:rsidRPr="0058617C">
        <w:rPr>
          <w:lang w:val="sl-SI"/>
        </w:rPr>
        <w:t xml:space="preserve"> razume Evropska Komisija</w:t>
      </w:r>
      <w:r w:rsidRPr="0058617C">
        <w:rPr>
          <w:rStyle w:val="Sprotnaopomba-sklic"/>
          <w:lang w:val="sl-SI"/>
        </w:rPr>
        <w:footnoteReference w:id="3"/>
      </w:r>
      <w:r w:rsidRPr="0058617C">
        <w:rPr>
          <w:lang w:val="sl-SI"/>
        </w:rPr>
        <w:t>, predstavlja povezavo med cilji posameznega programa (tisto kar želimo doseči s posameznim programom) in ustvarjenimi rezultati programa (tisto kar je v praksi doseženo). Uporaba intervencijske logike pomeni način programiranja s podlago v teoriji</w:t>
      </w:r>
      <w:r w:rsidR="009918E3">
        <w:rPr>
          <w:lang w:val="sl-SI"/>
        </w:rPr>
        <w:t xml:space="preserve">, </w:t>
      </w:r>
      <w:r w:rsidR="002A26DE">
        <w:rPr>
          <w:lang w:val="sl-SI"/>
        </w:rPr>
        <w:t xml:space="preserve">kar je </w:t>
      </w:r>
      <w:r w:rsidR="001B08E9">
        <w:rPr>
          <w:lang w:val="sl-SI"/>
        </w:rPr>
        <w:t xml:space="preserve">nadalje </w:t>
      </w:r>
      <w:r w:rsidR="009918E3">
        <w:rPr>
          <w:lang w:val="sl-SI"/>
        </w:rPr>
        <w:t xml:space="preserve">pomembno za </w:t>
      </w:r>
      <w:r w:rsidRPr="0058617C">
        <w:rPr>
          <w:lang w:val="sl-SI"/>
        </w:rPr>
        <w:t>razumevanje</w:t>
      </w:r>
      <w:r w:rsidR="007E04A7">
        <w:rPr>
          <w:lang w:val="sl-SI"/>
        </w:rPr>
        <w:t>,</w:t>
      </w:r>
      <w:r w:rsidRPr="0058617C">
        <w:rPr>
          <w:lang w:val="sl-SI"/>
        </w:rPr>
        <w:t xml:space="preserve"> zakaj </w:t>
      </w:r>
      <w:r w:rsidR="007E04A7" w:rsidRPr="0058617C">
        <w:rPr>
          <w:lang w:val="sl-SI"/>
        </w:rPr>
        <w:t xml:space="preserve">imajo </w:t>
      </w:r>
      <w:r w:rsidRPr="0058617C">
        <w:rPr>
          <w:lang w:val="sl-SI"/>
        </w:rPr>
        <w:t xml:space="preserve">posamezne intervencije rezultate </w:t>
      </w:r>
      <w:r w:rsidR="009918E3">
        <w:rPr>
          <w:lang w:val="sl-SI"/>
        </w:rPr>
        <w:t>in druge ne</w:t>
      </w:r>
      <w:r w:rsidRPr="0058617C">
        <w:rPr>
          <w:lang w:val="sl-SI"/>
        </w:rPr>
        <w:t xml:space="preserve">.  </w:t>
      </w:r>
    </w:p>
    <w:p w14:paraId="738A67CE" w14:textId="1765B115" w:rsidR="00B76F20" w:rsidRDefault="003378CD" w:rsidP="00B76F20">
      <w:pPr>
        <w:rPr>
          <w:lang w:val="sl-SI"/>
        </w:rPr>
      </w:pPr>
      <w:r>
        <w:rPr>
          <w:lang w:val="sl-SI"/>
        </w:rPr>
        <w:t>U</w:t>
      </w:r>
      <w:r w:rsidR="00B76F20" w:rsidRPr="0058617C">
        <w:rPr>
          <w:lang w:val="sl-SI"/>
        </w:rPr>
        <w:t xml:space="preserve">poraba intervencijske logike </w:t>
      </w:r>
      <w:r>
        <w:rPr>
          <w:lang w:val="sl-SI"/>
        </w:rPr>
        <w:t xml:space="preserve">je </w:t>
      </w:r>
      <w:r w:rsidR="002A26DE">
        <w:rPr>
          <w:lang w:val="sl-SI"/>
        </w:rPr>
        <w:t>torej</w:t>
      </w:r>
      <w:r>
        <w:rPr>
          <w:lang w:val="sl-SI"/>
        </w:rPr>
        <w:t xml:space="preserve"> </w:t>
      </w:r>
      <w:r w:rsidR="00B76F20" w:rsidRPr="0058617C">
        <w:rPr>
          <w:lang w:val="sl-SI"/>
        </w:rPr>
        <w:t xml:space="preserve">pogoj za izdelavo </w:t>
      </w:r>
      <w:r w:rsidR="001B08E9">
        <w:rPr>
          <w:lang w:val="sl-SI"/>
        </w:rPr>
        <w:t xml:space="preserve">vsakega </w:t>
      </w:r>
      <w:r w:rsidR="00B76F20" w:rsidRPr="0058617C">
        <w:rPr>
          <w:lang w:val="sl-SI"/>
        </w:rPr>
        <w:t xml:space="preserve">OP. Za potrebe razumevanja </w:t>
      </w:r>
      <w:r w:rsidR="001B08E9">
        <w:rPr>
          <w:lang w:val="sl-SI"/>
        </w:rPr>
        <w:t xml:space="preserve">specifičnega </w:t>
      </w:r>
      <w:r w:rsidR="00B76F20" w:rsidRPr="0058617C">
        <w:rPr>
          <w:lang w:val="sl-SI"/>
        </w:rPr>
        <w:t>cilj</w:t>
      </w:r>
      <w:r w:rsidR="001B08E9">
        <w:rPr>
          <w:lang w:val="sl-SI"/>
        </w:rPr>
        <w:t xml:space="preserve">a </w:t>
      </w:r>
      <w:r w:rsidR="00B76F20" w:rsidRPr="0058617C">
        <w:rPr>
          <w:lang w:val="sl-SI"/>
        </w:rPr>
        <w:t xml:space="preserve">in </w:t>
      </w:r>
      <w:r w:rsidR="001B08E9">
        <w:rPr>
          <w:lang w:val="sl-SI"/>
        </w:rPr>
        <w:t xml:space="preserve">načrtovanega </w:t>
      </w:r>
      <w:r w:rsidR="00B76F20" w:rsidRPr="0058617C">
        <w:rPr>
          <w:lang w:val="sl-SI"/>
        </w:rPr>
        <w:t xml:space="preserve">obsega intervencij, </w:t>
      </w:r>
      <w:r w:rsidR="001B08E9">
        <w:rPr>
          <w:lang w:val="sl-SI"/>
        </w:rPr>
        <w:t xml:space="preserve">ki je predmet vrednotenja, smo </w:t>
      </w:r>
      <w:r w:rsidR="00B76F20" w:rsidRPr="0058617C">
        <w:rPr>
          <w:lang w:val="sl-SI"/>
        </w:rPr>
        <w:t xml:space="preserve">v tem poglavju </w:t>
      </w:r>
      <w:r w:rsidR="001B08E9">
        <w:rPr>
          <w:lang w:val="sl-SI"/>
        </w:rPr>
        <w:t xml:space="preserve">naredili </w:t>
      </w:r>
      <w:r w:rsidR="00B76F20" w:rsidRPr="0058617C">
        <w:rPr>
          <w:lang w:val="sl-SI"/>
        </w:rPr>
        <w:t>pregled intervencijske logike, ki jo je Republika Slovenija (RS) uporab</w:t>
      </w:r>
      <w:r w:rsidR="001B08E9">
        <w:rPr>
          <w:lang w:val="sl-SI"/>
        </w:rPr>
        <w:t xml:space="preserve">ila </w:t>
      </w:r>
      <w:r w:rsidR="00B76F20" w:rsidRPr="0058617C">
        <w:rPr>
          <w:lang w:val="sl-SI"/>
        </w:rPr>
        <w:t xml:space="preserve">za </w:t>
      </w:r>
      <w:r w:rsidR="001B08E9">
        <w:rPr>
          <w:lang w:val="sl-SI"/>
        </w:rPr>
        <w:t xml:space="preserve">samo </w:t>
      </w:r>
      <w:r w:rsidR="00B76F20" w:rsidRPr="0058617C">
        <w:rPr>
          <w:lang w:val="sl-SI"/>
        </w:rPr>
        <w:t xml:space="preserve">izdelavo OP 2014-2020. </w:t>
      </w:r>
    </w:p>
    <w:p w14:paraId="4F3E6BDE" w14:textId="77777777" w:rsidR="00E96F86" w:rsidRPr="0058617C" w:rsidRDefault="00E96F86" w:rsidP="00B76F20">
      <w:pPr>
        <w:rPr>
          <w:lang w:val="sl-SI"/>
        </w:rPr>
      </w:pPr>
    </w:p>
    <w:p w14:paraId="1FBD4C97" w14:textId="77777777" w:rsidR="00B76F20" w:rsidRPr="0058617C" w:rsidRDefault="00B76F20" w:rsidP="00B76F20">
      <w:pPr>
        <w:keepNext/>
        <w:rPr>
          <w:lang w:val="sl-SI"/>
        </w:rPr>
      </w:pPr>
      <w:r w:rsidRPr="0058617C">
        <w:rPr>
          <w:noProof/>
          <w:lang w:val="sl-SI"/>
        </w:rPr>
        <w:drawing>
          <wp:inline distT="0" distB="0" distL="0" distR="0" wp14:anchorId="707A0DC3" wp14:editId="156EF6C4">
            <wp:extent cx="5731510" cy="335151"/>
            <wp:effectExtent l="0" t="0" r="0" b="0"/>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731510" cy="335151"/>
                    </a:xfrm>
                    <a:prstGeom prst="rect">
                      <a:avLst/>
                    </a:prstGeom>
                  </pic:spPr>
                </pic:pic>
              </a:graphicData>
            </a:graphic>
          </wp:inline>
        </w:drawing>
      </w:r>
    </w:p>
    <w:p w14:paraId="3C2FEEFC" w14:textId="062204B2" w:rsidR="00B76F20" w:rsidRPr="007333BC" w:rsidRDefault="00B76F20" w:rsidP="00B76F20">
      <w:pPr>
        <w:pStyle w:val="Napis"/>
        <w:rPr>
          <w:sz w:val="16"/>
          <w:szCs w:val="16"/>
          <w:lang w:val="sl-SI"/>
        </w:rPr>
      </w:pPr>
      <w:r w:rsidRPr="007333BC">
        <w:rPr>
          <w:sz w:val="16"/>
          <w:szCs w:val="16"/>
          <w:lang w:val="sl-SI"/>
        </w:rPr>
        <w:t xml:space="preserve">Slika </w:t>
      </w:r>
      <w:r w:rsidRPr="007333BC">
        <w:rPr>
          <w:sz w:val="16"/>
          <w:szCs w:val="16"/>
          <w:lang w:val="sl-SI"/>
        </w:rPr>
        <w:fldChar w:fldCharType="begin"/>
      </w:r>
      <w:r w:rsidRPr="007333BC">
        <w:rPr>
          <w:sz w:val="16"/>
          <w:szCs w:val="16"/>
          <w:lang w:val="sl-SI"/>
        </w:rPr>
        <w:instrText xml:space="preserve"> SEQ Slika \* ARABIC </w:instrText>
      </w:r>
      <w:r w:rsidRPr="007333BC">
        <w:rPr>
          <w:sz w:val="16"/>
          <w:szCs w:val="16"/>
          <w:lang w:val="sl-SI"/>
        </w:rPr>
        <w:fldChar w:fldCharType="separate"/>
      </w:r>
      <w:r w:rsidR="005C7172">
        <w:rPr>
          <w:noProof/>
          <w:sz w:val="16"/>
          <w:szCs w:val="16"/>
          <w:lang w:val="sl-SI"/>
        </w:rPr>
        <w:t>1</w:t>
      </w:r>
      <w:r w:rsidRPr="007333BC">
        <w:rPr>
          <w:sz w:val="16"/>
          <w:szCs w:val="16"/>
          <w:lang w:val="sl-SI"/>
        </w:rPr>
        <w:fldChar w:fldCharType="end"/>
      </w:r>
      <w:r w:rsidRPr="007333BC">
        <w:rPr>
          <w:sz w:val="16"/>
          <w:szCs w:val="16"/>
          <w:lang w:val="sl-SI"/>
        </w:rPr>
        <w:t xml:space="preserve"> - Intervencijska logika</w:t>
      </w:r>
    </w:p>
    <w:p w14:paraId="15F000E2" w14:textId="2DA7E77C" w:rsidR="00B76F20" w:rsidRPr="0058617C" w:rsidRDefault="00B76F20" w:rsidP="00B76F20">
      <w:pPr>
        <w:rPr>
          <w:lang w:val="sl-SI"/>
        </w:rPr>
      </w:pPr>
      <w:r w:rsidRPr="0058617C">
        <w:rPr>
          <w:lang w:val="sl-SI"/>
        </w:rPr>
        <w:t xml:space="preserve">Slika 1 </w:t>
      </w:r>
      <w:r w:rsidR="003378CD">
        <w:rPr>
          <w:lang w:val="sl-SI"/>
        </w:rPr>
        <w:t xml:space="preserve">zgoraj </w:t>
      </w:r>
      <w:r w:rsidRPr="0058617C">
        <w:rPr>
          <w:lang w:val="sl-SI"/>
        </w:rPr>
        <w:t xml:space="preserve">predstavlja pregled procesa definiranja intervencijske logike. Proces se začne z definiranjem potreb RS, ki so </w:t>
      </w:r>
      <w:r w:rsidR="001B08E9">
        <w:rPr>
          <w:lang w:val="sl-SI"/>
        </w:rPr>
        <w:t xml:space="preserve">rezultat </w:t>
      </w:r>
      <w:r w:rsidRPr="0058617C">
        <w:rPr>
          <w:lang w:val="sl-SI"/>
        </w:rPr>
        <w:t xml:space="preserve">analize trenutnega stanja v državi in primerjave </w:t>
      </w:r>
      <w:r w:rsidR="00B33E19">
        <w:rPr>
          <w:lang w:val="sl-SI"/>
        </w:rPr>
        <w:t xml:space="preserve">z </w:t>
      </w:r>
      <w:r w:rsidRPr="0058617C">
        <w:rPr>
          <w:lang w:val="sl-SI"/>
        </w:rPr>
        <w:t>želenim stanjem v prihodnosti. Področja, ki so predmet analize, so odvisna od obsega posameznega ESI sklada</w:t>
      </w:r>
      <w:r w:rsidR="008102A5">
        <w:rPr>
          <w:lang w:val="sl-SI"/>
        </w:rPr>
        <w:t>,</w:t>
      </w:r>
      <w:r w:rsidRPr="0058617C">
        <w:rPr>
          <w:lang w:val="sl-SI"/>
        </w:rPr>
        <w:t xml:space="preserve"> iz katerega se financira</w:t>
      </w:r>
      <w:r w:rsidR="001B08E9">
        <w:rPr>
          <w:lang w:val="sl-SI"/>
        </w:rPr>
        <w:t xml:space="preserve">jo posamezne </w:t>
      </w:r>
      <w:r w:rsidRPr="0058617C">
        <w:rPr>
          <w:lang w:val="sl-SI"/>
        </w:rPr>
        <w:t xml:space="preserve">intervencije. Tako se primeroma potrebe po zaposlovanju analizirajo v </w:t>
      </w:r>
      <w:r w:rsidR="001B08E9">
        <w:rPr>
          <w:lang w:val="sl-SI"/>
        </w:rPr>
        <w:t>luči</w:t>
      </w:r>
      <w:r w:rsidRPr="0058617C">
        <w:rPr>
          <w:lang w:val="sl-SI"/>
        </w:rPr>
        <w:t xml:space="preserve"> ESS, potrebe po podpiranju inovacijskega okolja analizirajo v </w:t>
      </w:r>
      <w:r w:rsidR="001B08E9">
        <w:rPr>
          <w:lang w:val="sl-SI"/>
        </w:rPr>
        <w:t>luči</w:t>
      </w:r>
      <w:r w:rsidRPr="0058617C">
        <w:rPr>
          <w:lang w:val="sl-SI"/>
        </w:rPr>
        <w:t xml:space="preserve"> ESRR</w:t>
      </w:r>
      <w:r w:rsidR="008102A5">
        <w:rPr>
          <w:lang w:val="sl-SI"/>
        </w:rPr>
        <w:t xml:space="preserve">, potrebe po </w:t>
      </w:r>
      <w:r w:rsidR="00D5547D" w:rsidRPr="00D5547D">
        <w:rPr>
          <w:lang w:val="sl-SI"/>
        </w:rPr>
        <w:t>naložba</w:t>
      </w:r>
      <w:r w:rsidR="00D5547D">
        <w:rPr>
          <w:lang w:val="sl-SI"/>
        </w:rPr>
        <w:t>h</w:t>
      </w:r>
      <w:r w:rsidR="00D5547D" w:rsidRPr="00D5547D">
        <w:rPr>
          <w:lang w:val="sl-SI"/>
        </w:rPr>
        <w:t xml:space="preserve"> v okolje, trajnostni</w:t>
      </w:r>
      <w:r w:rsidR="00D5547D">
        <w:rPr>
          <w:lang w:val="sl-SI"/>
        </w:rPr>
        <w:t xml:space="preserve"> </w:t>
      </w:r>
      <w:r w:rsidR="00D5547D" w:rsidRPr="00D5547D">
        <w:rPr>
          <w:lang w:val="sl-SI"/>
        </w:rPr>
        <w:t>razvoj in energijo</w:t>
      </w:r>
      <w:r w:rsidR="00D5547D">
        <w:rPr>
          <w:lang w:val="sl-SI"/>
        </w:rPr>
        <w:t xml:space="preserve"> </w:t>
      </w:r>
      <w:r w:rsidR="008102A5">
        <w:rPr>
          <w:lang w:val="sl-SI"/>
        </w:rPr>
        <w:t>pa v luči KS</w:t>
      </w:r>
      <w:r w:rsidRPr="0058617C">
        <w:rPr>
          <w:lang w:val="sl-SI"/>
        </w:rPr>
        <w:t xml:space="preserve">. </w:t>
      </w:r>
    </w:p>
    <w:p w14:paraId="335E8E95" w14:textId="63F7DC79" w:rsidR="00B76F20" w:rsidRPr="0058617C" w:rsidRDefault="00B76F20" w:rsidP="00B76F20">
      <w:pPr>
        <w:rPr>
          <w:lang w:val="sl-SI"/>
        </w:rPr>
      </w:pPr>
      <w:r w:rsidRPr="0058617C">
        <w:rPr>
          <w:lang w:val="sl-SI"/>
        </w:rPr>
        <w:t>Identificirane potrebe se uporabljajo za pripravo partnerskega sporazuma (PS), ki definira tematske cilje (TC) podpore. TC predstavljajo krovne cilje, ki jih RS želi doseči z EU skladi. Slovenija se</w:t>
      </w:r>
      <w:r w:rsidR="008102A5">
        <w:rPr>
          <w:lang w:val="sl-SI"/>
        </w:rPr>
        <w:t xml:space="preserve"> je</w:t>
      </w:r>
      <w:r w:rsidRPr="0058617C">
        <w:rPr>
          <w:lang w:val="sl-SI"/>
        </w:rPr>
        <w:t xml:space="preserve"> </w:t>
      </w:r>
      <w:r w:rsidR="00570708" w:rsidRPr="0058617C">
        <w:rPr>
          <w:lang w:val="sl-SI"/>
        </w:rPr>
        <w:t xml:space="preserve">s sprejemom EU zakonodaje </w:t>
      </w:r>
      <w:r w:rsidRPr="0058617C">
        <w:rPr>
          <w:lang w:val="sl-SI"/>
        </w:rPr>
        <w:t xml:space="preserve">dodatno zavezala, da bo prispevala svoj delež </w:t>
      </w:r>
      <w:r w:rsidR="00570708">
        <w:rPr>
          <w:lang w:val="sl-SI"/>
        </w:rPr>
        <w:t xml:space="preserve">tudi </w:t>
      </w:r>
      <w:r w:rsidRPr="0058617C">
        <w:rPr>
          <w:lang w:val="sl-SI"/>
        </w:rPr>
        <w:t>k doseganju ciljev strategije EU za pametno, trajnostno in vključujočo rast</w:t>
      </w:r>
      <w:r w:rsidRPr="0058617C">
        <w:rPr>
          <w:rStyle w:val="Sprotnaopomba-sklic"/>
          <w:lang w:val="sl-SI"/>
        </w:rPr>
        <w:footnoteReference w:id="4"/>
      </w:r>
      <w:r w:rsidRPr="0058617C">
        <w:rPr>
          <w:lang w:val="sl-SI"/>
        </w:rPr>
        <w:t>. Potrebe, vključno s slovenskim prispevkom k doseganju ciljev EU, so vezane na posamezen TC. TC vsebuje analizo začetnega stanja kazalnikov, ki predstavlja</w:t>
      </w:r>
      <w:r w:rsidR="00570708">
        <w:rPr>
          <w:lang w:val="sl-SI"/>
        </w:rPr>
        <w:t>jo</w:t>
      </w:r>
      <w:r w:rsidRPr="0058617C">
        <w:rPr>
          <w:lang w:val="sl-SI"/>
        </w:rPr>
        <w:t xml:space="preserve"> sistem </w:t>
      </w:r>
      <w:r w:rsidR="00570708">
        <w:rPr>
          <w:lang w:val="sl-SI"/>
        </w:rPr>
        <w:t>spremljanja</w:t>
      </w:r>
      <w:r w:rsidRPr="0058617C">
        <w:rPr>
          <w:lang w:val="sl-SI"/>
        </w:rPr>
        <w:t xml:space="preserve"> napredka, ter določitev želenega stanja le</w:t>
      </w:r>
      <w:r w:rsidR="00DD073F">
        <w:rPr>
          <w:lang w:val="sl-SI"/>
        </w:rPr>
        <w:t>-</w:t>
      </w:r>
      <w:r w:rsidRPr="0058617C">
        <w:rPr>
          <w:lang w:val="sl-SI"/>
        </w:rPr>
        <w:t>teh ob koncu programa. PS</w:t>
      </w:r>
      <w:r w:rsidR="00DD073F">
        <w:rPr>
          <w:lang w:val="sl-SI"/>
        </w:rPr>
        <w:t xml:space="preserve">, ko se </w:t>
      </w:r>
      <w:r w:rsidRPr="0058617C">
        <w:rPr>
          <w:lang w:val="sl-SI"/>
        </w:rPr>
        <w:t>uskla</w:t>
      </w:r>
      <w:r w:rsidR="00DD073F">
        <w:rPr>
          <w:lang w:val="sl-SI"/>
        </w:rPr>
        <w:t>di</w:t>
      </w:r>
      <w:r w:rsidRPr="0058617C">
        <w:rPr>
          <w:lang w:val="sl-SI"/>
        </w:rPr>
        <w:t xml:space="preserve"> z EK, predstavlja krovni dokument za programiranje posameznih intervencij. </w:t>
      </w:r>
    </w:p>
    <w:p w14:paraId="4D90B19C" w14:textId="45D241CC" w:rsidR="00B76F20" w:rsidRPr="0058617C" w:rsidRDefault="00B76F20" w:rsidP="00B76F20">
      <w:pPr>
        <w:rPr>
          <w:lang w:val="sl-SI"/>
        </w:rPr>
      </w:pPr>
      <w:r w:rsidRPr="0058617C">
        <w:rPr>
          <w:lang w:val="sl-SI"/>
        </w:rPr>
        <w:t>Po potrditvi PS se pristopi</w:t>
      </w:r>
      <w:r w:rsidR="00DD073F">
        <w:rPr>
          <w:lang w:val="sl-SI"/>
        </w:rPr>
        <w:t xml:space="preserve"> k</w:t>
      </w:r>
      <w:r w:rsidRPr="0058617C">
        <w:rPr>
          <w:lang w:val="sl-SI"/>
        </w:rPr>
        <w:t xml:space="preserve"> izdelavi operativnega programa (OP), ki operacionaliz</w:t>
      </w:r>
      <w:r w:rsidR="00DD073F">
        <w:rPr>
          <w:lang w:val="sl-SI"/>
        </w:rPr>
        <w:t xml:space="preserve">ira </w:t>
      </w:r>
      <w:r w:rsidRPr="0058617C">
        <w:rPr>
          <w:lang w:val="sl-SI"/>
        </w:rPr>
        <w:t>posamezn</w:t>
      </w:r>
      <w:r w:rsidR="00DD073F">
        <w:rPr>
          <w:lang w:val="sl-SI"/>
        </w:rPr>
        <w:t>e</w:t>
      </w:r>
      <w:r w:rsidRPr="0058617C">
        <w:rPr>
          <w:lang w:val="sl-SI"/>
        </w:rPr>
        <w:t xml:space="preserve"> TC na prednostne osi (PO) in specifične cilje (SC) intervencij. Operacionalizacija </w:t>
      </w:r>
      <w:r w:rsidR="00DD073F">
        <w:rPr>
          <w:lang w:val="sl-SI"/>
        </w:rPr>
        <w:t>natančneje</w:t>
      </w:r>
      <w:r w:rsidRPr="0058617C">
        <w:rPr>
          <w:lang w:val="sl-SI"/>
        </w:rPr>
        <w:t xml:space="preserve"> definira izhodiščne in končne vrednosti kazalnikov, opiše </w:t>
      </w:r>
      <w:r w:rsidR="00AB1903">
        <w:rPr>
          <w:lang w:val="sl-SI"/>
        </w:rPr>
        <w:t xml:space="preserve">vrsto oziroma način </w:t>
      </w:r>
      <w:r w:rsidRPr="0058617C">
        <w:rPr>
          <w:lang w:val="sl-SI"/>
        </w:rPr>
        <w:t xml:space="preserve">podpore, določi seznam intervencij, ki </w:t>
      </w:r>
      <w:r w:rsidR="00F91314">
        <w:rPr>
          <w:lang w:val="sl-SI"/>
        </w:rPr>
        <w:t xml:space="preserve">so </w:t>
      </w:r>
      <w:r w:rsidRPr="0058617C">
        <w:rPr>
          <w:lang w:val="sl-SI"/>
        </w:rPr>
        <w:t xml:space="preserve">predmet posamezne PO/SC in postavi finančni okvir intervencij. OP tudi definira načela, tako horizontalna kot specifična, za izbor projektov/programov, ki bodo sofinancirani z EU sredstvi. V OP se tudi definira način upravljana z ESI skladi v RS in določi vloge posameznih organov. </w:t>
      </w:r>
    </w:p>
    <w:p w14:paraId="42FA9273" w14:textId="13C9CCD1" w:rsidR="00B76F20" w:rsidRPr="0058617C" w:rsidRDefault="00B76F20" w:rsidP="00B76F20">
      <w:pPr>
        <w:rPr>
          <w:lang w:val="sl-SI"/>
        </w:rPr>
      </w:pPr>
      <w:r w:rsidRPr="0058617C">
        <w:rPr>
          <w:lang w:val="sl-SI"/>
        </w:rPr>
        <w:t xml:space="preserve">Razpisi in projekti, skupno imenovano intervencije, </w:t>
      </w:r>
      <w:r w:rsidR="00465FDD">
        <w:rPr>
          <w:lang w:val="sl-SI"/>
        </w:rPr>
        <w:t>izhajajo</w:t>
      </w:r>
      <w:r w:rsidRPr="0058617C">
        <w:rPr>
          <w:lang w:val="sl-SI"/>
        </w:rPr>
        <w:t xml:space="preserve"> iz OP in so osnov</w:t>
      </w:r>
      <w:r w:rsidR="00465FDD">
        <w:rPr>
          <w:lang w:val="sl-SI"/>
        </w:rPr>
        <w:t xml:space="preserve">a za </w:t>
      </w:r>
      <w:r w:rsidRPr="0058617C">
        <w:rPr>
          <w:lang w:val="sl-SI"/>
        </w:rPr>
        <w:t>dose</w:t>
      </w:r>
      <w:r w:rsidR="00465FDD">
        <w:rPr>
          <w:lang w:val="sl-SI"/>
        </w:rPr>
        <w:t xml:space="preserve">ganje identificiranih </w:t>
      </w:r>
      <w:r w:rsidRPr="0058617C">
        <w:rPr>
          <w:lang w:val="sl-SI"/>
        </w:rPr>
        <w:t>cilj</w:t>
      </w:r>
      <w:r w:rsidR="00465FDD">
        <w:rPr>
          <w:lang w:val="sl-SI"/>
        </w:rPr>
        <w:t xml:space="preserve">ev </w:t>
      </w:r>
      <w:r w:rsidRPr="0058617C">
        <w:rPr>
          <w:lang w:val="sl-SI"/>
        </w:rPr>
        <w:t>v OP in PS, kot tudi način</w:t>
      </w:r>
      <w:r w:rsidR="00AC1C5F">
        <w:rPr>
          <w:lang w:val="sl-SI"/>
        </w:rPr>
        <w:t>,</w:t>
      </w:r>
      <w:r w:rsidRPr="0058617C">
        <w:rPr>
          <w:lang w:val="sl-SI"/>
        </w:rPr>
        <w:t xml:space="preserve"> kako se zadovoljijo potrebe RS. </w:t>
      </w:r>
    </w:p>
    <w:p w14:paraId="21D12B62" w14:textId="0E74619F" w:rsidR="00B76F20" w:rsidRPr="0058617C" w:rsidRDefault="00AC1C5F" w:rsidP="00B76F20">
      <w:pPr>
        <w:rPr>
          <w:lang w:val="sl-SI"/>
        </w:rPr>
      </w:pPr>
      <w:r>
        <w:rPr>
          <w:lang w:val="sl-SI"/>
        </w:rPr>
        <w:t>Ta</w:t>
      </w:r>
      <w:r w:rsidR="00B76F20" w:rsidRPr="0058617C">
        <w:rPr>
          <w:lang w:val="sl-SI"/>
        </w:rPr>
        <w:t xml:space="preserve"> dokument </w:t>
      </w:r>
      <w:r>
        <w:rPr>
          <w:lang w:val="sl-SI"/>
        </w:rPr>
        <w:t xml:space="preserve">se </w:t>
      </w:r>
      <w:r w:rsidR="00104FC2">
        <w:rPr>
          <w:lang w:val="sl-SI"/>
        </w:rPr>
        <w:t xml:space="preserve">v nadaljevanju osredotoča izključno </w:t>
      </w:r>
      <w:r w:rsidR="00B76F20" w:rsidRPr="0058617C">
        <w:rPr>
          <w:lang w:val="sl-SI"/>
        </w:rPr>
        <w:t xml:space="preserve">na potrebe, TC in intervencije, ki se nanašajo na </w:t>
      </w:r>
      <w:r w:rsidR="00D74E57">
        <w:rPr>
          <w:lang w:val="sl-SI"/>
        </w:rPr>
        <w:t>p</w:t>
      </w:r>
      <w:r w:rsidR="00D74E57" w:rsidRPr="00D74E57">
        <w:rPr>
          <w:lang w:val="sl-SI"/>
        </w:rPr>
        <w:t xml:space="preserve">ovečanje učinkovitosti rabe energije v javnem sektorju </w:t>
      </w:r>
      <w:r w:rsidR="00B76F20" w:rsidRPr="0058617C">
        <w:rPr>
          <w:lang w:val="sl-SI"/>
        </w:rPr>
        <w:t xml:space="preserve">v Sloveniji. Cilji, obseg in spodbude so </w:t>
      </w:r>
      <w:r w:rsidR="00D74E57">
        <w:rPr>
          <w:lang w:val="sl-SI"/>
        </w:rPr>
        <w:t>podrobneje</w:t>
      </w:r>
      <w:r w:rsidR="00B76F20" w:rsidRPr="0058617C">
        <w:rPr>
          <w:lang w:val="sl-SI"/>
        </w:rPr>
        <w:t xml:space="preserve"> opisan</w:t>
      </w:r>
      <w:r w:rsidR="00D74E57">
        <w:rPr>
          <w:lang w:val="sl-SI"/>
        </w:rPr>
        <w:t>i</w:t>
      </w:r>
      <w:r w:rsidR="00B76F20" w:rsidRPr="0058617C">
        <w:rPr>
          <w:lang w:val="sl-SI"/>
        </w:rPr>
        <w:t xml:space="preserve"> v nadaljevanju tega poglavja. </w:t>
      </w:r>
    </w:p>
    <w:p w14:paraId="5132FF10" w14:textId="77777777" w:rsidR="00B76F20" w:rsidRDefault="00B76F20" w:rsidP="00B76F20">
      <w:pPr>
        <w:rPr>
          <w:lang w:val="sl-SI"/>
        </w:rPr>
      </w:pPr>
    </w:p>
    <w:p w14:paraId="3340923E" w14:textId="77777777" w:rsidR="009378A1" w:rsidRPr="0058617C" w:rsidRDefault="009378A1" w:rsidP="00B76F20">
      <w:pPr>
        <w:rPr>
          <w:lang w:val="sl-SI"/>
        </w:rPr>
      </w:pPr>
    </w:p>
    <w:p w14:paraId="2C744C6B" w14:textId="0344C602" w:rsidR="00BE1692" w:rsidRPr="004F4D37" w:rsidRDefault="00B76F20" w:rsidP="00BE1692">
      <w:pPr>
        <w:pStyle w:val="Naslov2"/>
        <w:rPr>
          <w:lang w:val="sl-SI"/>
        </w:rPr>
      </w:pPr>
      <w:bookmarkStart w:id="13" w:name="_Toc129003807"/>
      <w:bookmarkStart w:id="14" w:name="_Toc136287527"/>
      <w:r w:rsidRPr="004F4D37">
        <w:rPr>
          <w:lang w:val="sl-SI"/>
        </w:rPr>
        <w:lastRenderedPageBreak/>
        <w:t>Pregled ciljev intervencijske logike</w:t>
      </w:r>
      <w:bookmarkEnd w:id="13"/>
      <w:bookmarkEnd w:id="14"/>
      <w:r w:rsidRPr="004F4D37">
        <w:rPr>
          <w:lang w:val="sl-SI"/>
        </w:rPr>
        <w:t xml:space="preserve"> </w:t>
      </w:r>
    </w:p>
    <w:p w14:paraId="11F03B92" w14:textId="77777777" w:rsidR="008603EF" w:rsidRDefault="008603EF" w:rsidP="00B76F20">
      <w:pPr>
        <w:rPr>
          <w:lang w:val="sl-SI"/>
        </w:rPr>
      </w:pPr>
    </w:p>
    <w:p w14:paraId="5E5C2F8D" w14:textId="0CFD0F54" w:rsidR="00B76F20" w:rsidRPr="0058617C" w:rsidRDefault="00104FC2" w:rsidP="00B76F20">
      <w:pPr>
        <w:rPr>
          <w:lang w:val="sl-SI"/>
        </w:rPr>
      </w:pPr>
      <w:r>
        <w:rPr>
          <w:lang w:val="sl-SI"/>
        </w:rPr>
        <w:t>P</w:t>
      </w:r>
      <w:r w:rsidR="00B76F20" w:rsidRPr="0058617C">
        <w:rPr>
          <w:lang w:val="sl-SI"/>
        </w:rPr>
        <w:t xml:space="preserve">redmet vrednotenja </w:t>
      </w:r>
      <w:r>
        <w:rPr>
          <w:lang w:val="sl-SI"/>
        </w:rPr>
        <w:t xml:space="preserve">je </w:t>
      </w:r>
      <w:r w:rsidR="00B76F20" w:rsidRPr="0058617C">
        <w:rPr>
          <w:lang w:val="sl-SI"/>
        </w:rPr>
        <w:t xml:space="preserve">specifični cilj </w:t>
      </w:r>
      <w:r w:rsidR="00BE1692" w:rsidRPr="0058617C">
        <w:rPr>
          <w:lang w:val="sl-SI"/>
        </w:rPr>
        <w:t>1 »</w:t>
      </w:r>
      <w:r w:rsidR="00BE1692" w:rsidRPr="00D74E57">
        <w:rPr>
          <w:b/>
          <w:bCs/>
          <w:color w:val="032D5B" w:themeColor="accent1"/>
          <w:lang w:val="sl-SI"/>
        </w:rPr>
        <w:t>Povečanje učinkovitosti rabe energije v javnem sektorju</w:t>
      </w:r>
      <w:r w:rsidR="00BE1692" w:rsidRPr="0058617C">
        <w:rPr>
          <w:lang w:val="sl-SI"/>
        </w:rPr>
        <w:t xml:space="preserve">« </w:t>
      </w:r>
      <w:r>
        <w:rPr>
          <w:lang w:val="sl-SI"/>
        </w:rPr>
        <w:t>v sklopu</w:t>
      </w:r>
      <w:r w:rsidR="00BE1692" w:rsidRPr="0058617C">
        <w:rPr>
          <w:lang w:val="sl-SI"/>
        </w:rPr>
        <w:t xml:space="preserve"> »Operativnega programa Evropske kohezijske politike za obdobje 2014 - 2020«, prednostne osi 4 »Trajnostna raba in proizvodnja energije in pametna omrežja«, prednostne naložbe 4.1 »Spodbujanje energetske učinkovitosti, pametnega upravljanja z energijo in uporabe energije iz obnovljivih virov v javni infrastrukturi, vključno z javnimi stavbami, in stanovanjskem sektorju«</w:t>
      </w:r>
      <w:r>
        <w:rPr>
          <w:lang w:val="sl-SI"/>
        </w:rPr>
        <w:t xml:space="preserve">. Skladno z navedenim </w:t>
      </w:r>
      <w:r w:rsidR="00B76F20" w:rsidRPr="0058617C">
        <w:rPr>
          <w:lang w:val="sl-SI"/>
        </w:rPr>
        <w:t xml:space="preserve">v svojo analizo vključujemo samo </w:t>
      </w:r>
      <w:r>
        <w:rPr>
          <w:lang w:val="sl-SI"/>
        </w:rPr>
        <w:t>tiste</w:t>
      </w:r>
      <w:r w:rsidR="00B76F20" w:rsidRPr="0058617C">
        <w:rPr>
          <w:lang w:val="sl-SI"/>
        </w:rPr>
        <w:t xml:space="preserve"> ključn</w:t>
      </w:r>
      <w:r>
        <w:rPr>
          <w:lang w:val="sl-SI"/>
        </w:rPr>
        <w:t>e</w:t>
      </w:r>
      <w:r w:rsidR="00B76F20" w:rsidRPr="0058617C">
        <w:rPr>
          <w:lang w:val="sl-SI"/>
        </w:rPr>
        <w:t xml:space="preserve"> dokument</w:t>
      </w:r>
      <w:r>
        <w:rPr>
          <w:lang w:val="sl-SI"/>
        </w:rPr>
        <w:t>e</w:t>
      </w:r>
      <w:r w:rsidR="00B76F20" w:rsidRPr="0058617C">
        <w:rPr>
          <w:lang w:val="sl-SI"/>
        </w:rPr>
        <w:t>, ki so relevantn</w:t>
      </w:r>
      <w:r>
        <w:rPr>
          <w:lang w:val="sl-SI"/>
        </w:rPr>
        <w:t>i</w:t>
      </w:r>
      <w:r w:rsidR="00B76F20" w:rsidRPr="0058617C">
        <w:rPr>
          <w:lang w:val="sl-SI"/>
        </w:rPr>
        <w:t xml:space="preserve"> za ta specifični cilj. Zavedamo se, da PS in OP definira</w:t>
      </w:r>
      <w:r>
        <w:rPr>
          <w:lang w:val="sl-SI"/>
        </w:rPr>
        <w:t xml:space="preserve">ta </w:t>
      </w:r>
      <w:r w:rsidR="00B76F20" w:rsidRPr="0058617C">
        <w:rPr>
          <w:lang w:val="sl-SI"/>
        </w:rPr>
        <w:t xml:space="preserve">tudi druge potrebe ter specificirajo druge intervencije, ki </w:t>
      </w:r>
      <w:r w:rsidR="00D74E57">
        <w:rPr>
          <w:lang w:val="sl-SI"/>
        </w:rPr>
        <w:t xml:space="preserve">pa </w:t>
      </w:r>
      <w:r w:rsidR="00B76F20" w:rsidRPr="0058617C">
        <w:rPr>
          <w:lang w:val="sl-SI"/>
        </w:rPr>
        <w:t xml:space="preserve">niso </w:t>
      </w:r>
      <w:r>
        <w:rPr>
          <w:lang w:val="sl-SI"/>
        </w:rPr>
        <w:t>neposredno</w:t>
      </w:r>
      <w:r w:rsidR="00B76F20" w:rsidRPr="0058617C">
        <w:rPr>
          <w:lang w:val="sl-SI"/>
        </w:rPr>
        <w:t xml:space="preserve"> vezan</w:t>
      </w:r>
      <w:r>
        <w:rPr>
          <w:lang w:val="sl-SI"/>
        </w:rPr>
        <w:t>i</w:t>
      </w:r>
      <w:r w:rsidR="00B76F20" w:rsidRPr="0058617C">
        <w:rPr>
          <w:lang w:val="sl-SI"/>
        </w:rPr>
        <w:t xml:space="preserve"> za predmetno vrednotenje. </w:t>
      </w:r>
    </w:p>
    <w:p w14:paraId="0B919BC5" w14:textId="16AFA4CA" w:rsidR="00BE1692" w:rsidRPr="0058617C" w:rsidRDefault="00BE1692" w:rsidP="00BE1692">
      <w:pPr>
        <w:rPr>
          <w:lang w:val="sl-SI"/>
        </w:rPr>
      </w:pPr>
      <w:r w:rsidRPr="0058617C">
        <w:rPr>
          <w:lang w:val="sl-SI"/>
        </w:rPr>
        <w:t>PS to področje naslavlja z ugotovitvijo, da Slovenija uvaža veliko količino energentov (</w:t>
      </w:r>
      <w:r w:rsidR="00104FC2">
        <w:rPr>
          <w:lang w:val="sl-SI"/>
        </w:rPr>
        <w:t>brez</w:t>
      </w:r>
      <w:r w:rsidRPr="0058617C">
        <w:rPr>
          <w:lang w:val="sl-SI"/>
        </w:rPr>
        <w:t xml:space="preserve"> elektrik</w:t>
      </w:r>
      <w:r w:rsidR="00104FC2">
        <w:rPr>
          <w:lang w:val="sl-SI"/>
        </w:rPr>
        <w:t>e</w:t>
      </w:r>
      <w:r w:rsidRPr="0058617C">
        <w:rPr>
          <w:lang w:val="sl-SI"/>
        </w:rPr>
        <w:t xml:space="preserve">) in da to predstavlja nemajhen delež BDP, ki narašča, kar </w:t>
      </w:r>
      <w:r w:rsidR="00D74E57">
        <w:rPr>
          <w:lang w:val="sl-SI"/>
        </w:rPr>
        <w:t>j</w:t>
      </w:r>
      <w:r w:rsidRPr="0058617C">
        <w:rPr>
          <w:lang w:val="sl-SI"/>
        </w:rPr>
        <w:t xml:space="preserve">e </w:t>
      </w:r>
      <w:r w:rsidR="00104FC2">
        <w:rPr>
          <w:lang w:val="sl-SI"/>
        </w:rPr>
        <w:t xml:space="preserve">lahko </w:t>
      </w:r>
      <w:r w:rsidRPr="0058617C">
        <w:rPr>
          <w:lang w:val="sl-SI"/>
        </w:rPr>
        <w:t xml:space="preserve">problematično ob </w:t>
      </w:r>
      <w:r w:rsidR="00104FC2">
        <w:rPr>
          <w:lang w:val="sl-SI"/>
        </w:rPr>
        <w:t xml:space="preserve">sočasno </w:t>
      </w:r>
      <w:r w:rsidRPr="0058617C">
        <w:rPr>
          <w:lang w:val="sl-SI"/>
        </w:rPr>
        <w:t>nizki gospodarski rasti. T</w:t>
      </w:r>
      <w:r w:rsidR="00104FC2">
        <w:rPr>
          <w:lang w:val="sl-SI"/>
        </w:rPr>
        <w:t xml:space="preserve">o je </w:t>
      </w:r>
      <w:r w:rsidRPr="0058617C">
        <w:rPr>
          <w:lang w:val="sl-SI"/>
        </w:rPr>
        <w:t>izhodišče, ki narekuje</w:t>
      </w:r>
      <w:r w:rsidR="00104FC2">
        <w:rPr>
          <w:lang w:val="sl-SI"/>
        </w:rPr>
        <w:t xml:space="preserve"> </w:t>
      </w:r>
      <w:r w:rsidRPr="0058617C">
        <w:rPr>
          <w:lang w:val="sl-SI"/>
        </w:rPr>
        <w:t>ukrepe za povečanje učinkovit</w:t>
      </w:r>
      <w:r w:rsidR="00104FC2">
        <w:rPr>
          <w:lang w:val="sl-SI"/>
        </w:rPr>
        <w:t xml:space="preserve">e </w:t>
      </w:r>
      <w:r w:rsidRPr="0058617C">
        <w:rPr>
          <w:lang w:val="sl-SI"/>
        </w:rPr>
        <w:t xml:space="preserve">rabe energije skupaj </w:t>
      </w:r>
      <w:r w:rsidRPr="00D74E57">
        <w:rPr>
          <w:b/>
          <w:bCs/>
          <w:color w:val="032D5B" w:themeColor="accent1"/>
          <w:lang w:val="sl-SI"/>
        </w:rPr>
        <w:t xml:space="preserve">z vizijo, da se do </w:t>
      </w:r>
      <w:r w:rsidR="00104FC2">
        <w:rPr>
          <w:b/>
          <w:bCs/>
          <w:color w:val="032D5B" w:themeColor="accent1"/>
          <w:lang w:val="sl-SI"/>
        </w:rPr>
        <w:t xml:space="preserve">leta </w:t>
      </w:r>
      <w:r w:rsidRPr="00D74E57">
        <w:rPr>
          <w:b/>
          <w:bCs/>
          <w:color w:val="032D5B" w:themeColor="accent1"/>
          <w:lang w:val="sl-SI"/>
        </w:rPr>
        <w:t>2050 emisije pri stavbah znižajo na skoraj ničelno raven</w:t>
      </w:r>
      <w:r w:rsidRPr="0058617C">
        <w:rPr>
          <w:lang w:val="sl-SI"/>
        </w:rPr>
        <w:t xml:space="preserve">.  </w:t>
      </w:r>
    </w:p>
    <w:p w14:paraId="5EAA956A" w14:textId="7194453D" w:rsidR="00B76F20" w:rsidRPr="0058617C" w:rsidRDefault="007D4EAF" w:rsidP="00B76F20">
      <w:pPr>
        <w:rPr>
          <w:lang w:val="sl-SI"/>
        </w:rPr>
      </w:pPr>
      <w:r w:rsidRPr="0058617C">
        <w:rPr>
          <w:lang w:val="sl-SI"/>
        </w:rPr>
        <w:t xml:space="preserve">Prednost naložb v (celovito) energetsko obnovo stavb je njihov multiplikativni učinek zaradi delovne intenzivnosti. Cilj, ki ga </w:t>
      </w:r>
      <w:r w:rsidR="008E07AA">
        <w:rPr>
          <w:lang w:val="sl-SI"/>
        </w:rPr>
        <w:t xml:space="preserve">navaja </w:t>
      </w:r>
      <w:r w:rsidRPr="0058617C">
        <w:rPr>
          <w:lang w:val="sl-SI"/>
        </w:rPr>
        <w:t>PS</w:t>
      </w:r>
      <w:r w:rsidR="008E07AA">
        <w:rPr>
          <w:lang w:val="sl-SI"/>
        </w:rPr>
        <w:t xml:space="preserve">, </w:t>
      </w:r>
      <w:r w:rsidRPr="0058617C">
        <w:rPr>
          <w:lang w:val="sl-SI"/>
        </w:rPr>
        <w:t xml:space="preserve">je 20-odstotno povečanje energetske učinkovitosti do leta 2020, skladno z evropsko direktivo o energetski učinkovitosti. PS </w:t>
      </w:r>
      <w:r w:rsidR="00CF39AA">
        <w:rPr>
          <w:lang w:val="sl-SI"/>
        </w:rPr>
        <w:t>zgotavlja,</w:t>
      </w:r>
      <w:r w:rsidRPr="0058617C">
        <w:rPr>
          <w:lang w:val="sl-SI"/>
        </w:rPr>
        <w:t xml:space="preserve"> da </w:t>
      </w:r>
      <w:r w:rsidR="00104FC2">
        <w:rPr>
          <w:lang w:val="sl-SI"/>
        </w:rPr>
        <w:t xml:space="preserve">v letu </w:t>
      </w:r>
      <w:r w:rsidRPr="0058617C">
        <w:rPr>
          <w:lang w:val="sl-SI"/>
        </w:rPr>
        <w:t>2008</w:t>
      </w:r>
      <w:r w:rsidR="00104FC2">
        <w:rPr>
          <w:lang w:val="sl-SI"/>
        </w:rPr>
        <w:t xml:space="preserve"> </w:t>
      </w:r>
      <w:r w:rsidRPr="0058617C">
        <w:rPr>
          <w:lang w:val="sl-SI"/>
        </w:rPr>
        <w:t xml:space="preserve">sprejet nacionalni akcijski načrt za energetsko učinkovitost ni zadosten in da so potrebni močnejši in bolj ambiciozni ukrepi. </w:t>
      </w:r>
    </w:p>
    <w:p w14:paraId="04D7859C" w14:textId="4CE98D1A" w:rsidR="00CB1EA6" w:rsidRPr="0058617C" w:rsidRDefault="007D4EAF" w:rsidP="00C30A06">
      <w:pPr>
        <w:rPr>
          <w:lang w:val="sl-SI"/>
        </w:rPr>
      </w:pPr>
      <w:r w:rsidRPr="0058617C">
        <w:rPr>
          <w:lang w:val="sl-SI"/>
        </w:rPr>
        <w:t xml:space="preserve">Slovenija je </w:t>
      </w:r>
      <w:r w:rsidR="002741E0">
        <w:rPr>
          <w:lang w:val="sl-SI"/>
        </w:rPr>
        <w:t xml:space="preserve">v </w:t>
      </w:r>
      <w:r w:rsidR="00587E33">
        <w:rPr>
          <w:lang w:val="sl-SI"/>
        </w:rPr>
        <w:t xml:space="preserve">prejšnji finančni perspektivi že </w:t>
      </w:r>
      <w:r w:rsidRPr="0058617C">
        <w:rPr>
          <w:lang w:val="sl-SI"/>
        </w:rPr>
        <w:t>črpala k</w:t>
      </w:r>
      <w:r w:rsidR="00BE1692" w:rsidRPr="0058617C">
        <w:rPr>
          <w:lang w:val="sl-SI"/>
        </w:rPr>
        <w:t xml:space="preserve">ohezijska sredstva operativnega programa razvoja </w:t>
      </w:r>
      <w:proofErr w:type="spellStart"/>
      <w:r w:rsidRPr="0058617C">
        <w:rPr>
          <w:lang w:val="sl-SI"/>
        </w:rPr>
        <w:t>okoljske</w:t>
      </w:r>
      <w:proofErr w:type="spellEnd"/>
      <w:r w:rsidR="00BE1692" w:rsidRPr="0058617C">
        <w:rPr>
          <w:lang w:val="sl-SI"/>
        </w:rPr>
        <w:t xml:space="preserve"> in prometne infrastrukture za obdobje 2007–2013 (OP ROPI)</w:t>
      </w:r>
      <w:r w:rsidRPr="0058617C">
        <w:rPr>
          <w:lang w:val="sl-SI"/>
        </w:rPr>
        <w:t>, ki so bil</w:t>
      </w:r>
      <w:r w:rsidR="003D656D">
        <w:rPr>
          <w:lang w:val="sl-SI"/>
        </w:rPr>
        <w:t>a</w:t>
      </w:r>
      <w:r w:rsidRPr="0058617C">
        <w:rPr>
          <w:lang w:val="sl-SI"/>
        </w:rPr>
        <w:t xml:space="preserve"> </w:t>
      </w:r>
      <w:r w:rsidR="00BE1692" w:rsidRPr="0058617C">
        <w:rPr>
          <w:lang w:val="sl-SI"/>
        </w:rPr>
        <w:t>večinoma usmerjen</w:t>
      </w:r>
      <w:r w:rsidR="003D656D">
        <w:rPr>
          <w:lang w:val="sl-SI"/>
        </w:rPr>
        <w:t>a</w:t>
      </w:r>
      <w:r w:rsidR="00BE1692" w:rsidRPr="0058617C">
        <w:rPr>
          <w:lang w:val="sl-SI"/>
        </w:rPr>
        <w:t xml:space="preserve"> v razpise sofinanciranja energetske sanacije javnih stavb</w:t>
      </w:r>
      <w:r w:rsidRPr="0058617C">
        <w:rPr>
          <w:lang w:val="sl-SI"/>
        </w:rPr>
        <w:t xml:space="preserve">, pri čemer je bil izračunani prihranek na podlagi projektne dokumentacije okoli 1,6 </w:t>
      </w:r>
      <w:r w:rsidR="00360303">
        <w:rPr>
          <w:lang w:val="sl-SI"/>
        </w:rPr>
        <w:t>milijonov EUR</w:t>
      </w:r>
      <w:r w:rsidRPr="0058617C">
        <w:rPr>
          <w:lang w:val="sl-SI"/>
        </w:rPr>
        <w:t xml:space="preserve"> na letni ravni, pri čemer je Slovenija iz takrat veljavne</w:t>
      </w:r>
      <w:r w:rsidR="00BE1692" w:rsidRPr="0058617C">
        <w:rPr>
          <w:lang w:val="sl-SI"/>
        </w:rPr>
        <w:t xml:space="preserve"> finančne perspektive lahko obnovila </w:t>
      </w:r>
      <w:r w:rsidR="00104FC2">
        <w:rPr>
          <w:lang w:val="sl-SI"/>
        </w:rPr>
        <w:t>le</w:t>
      </w:r>
      <w:r w:rsidR="00BE1692" w:rsidRPr="0058617C">
        <w:rPr>
          <w:lang w:val="sl-SI"/>
        </w:rPr>
        <w:t xml:space="preserve"> manjši del javnih stavb</w:t>
      </w:r>
      <w:r w:rsidR="00587E33">
        <w:rPr>
          <w:lang w:val="sl-SI"/>
        </w:rPr>
        <w:t>. N</w:t>
      </w:r>
      <w:r w:rsidR="00851AC2" w:rsidRPr="0058617C">
        <w:rPr>
          <w:lang w:val="sl-SI"/>
        </w:rPr>
        <w:t>avk</w:t>
      </w:r>
      <w:r w:rsidR="00BE1692" w:rsidRPr="0058617C">
        <w:rPr>
          <w:lang w:val="sl-SI"/>
        </w:rPr>
        <w:t xml:space="preserve">ljub </w:t>
      </w:r>
      <w:r w:rsidR="00E0693F">
        <w:rPr>
          <w:lang w:val="sl-SI"/>
        </w:rPr>
        <w:t xml:space="preserve">vsem </w:t>
      </w:r>
      <w:r w:rsidR="00BE1692" w:rsidRPr="0058617C">
        <w:rPr>
          <w:lang w:val="sl-SI"/>
        </w:rPr>
        <w:t>naložbam v energetsko sanacijo stavb, obnovljive vire energije in učinkovito rabo električne energije</w:t>
      </w:r>
      <w:r w:rsidR="00851AC2" w:rsidRPr="0058617C">
        <w:rPr>
          <w:lang w:val="sl-SI"/>
        </w:rPr>
        <w:t>,</w:t>
      </w:r>
      <w:r w:rsidR="00BE1692" w:rsidRPr="0058617C">
        <w:rPr>
          <w:lang w:val="sl-SI"/>
        </w:rPr>
        <w:t xml:space="preserve"> </w:t>
      </w:r>
      <w:r w:rsidR="00E0693F">
        <w:rPr>
          <w:lang w:val="sl-SI"/>
        </w:rPr>
        <w:t>so ob zaključku prejšnje perspektive obstajale še vedno</w:t>
      </w:r>
      <w:r w:rsidR="00BE1692" w:rsidRPr="0058617C">
        <w:rPr>
          <w:lang w:val="sl-SI"/>
        </w:rPr>
        <w:t xml:space="preserve"> velike potrebe po nadaljevanju in nadgradnji tovrstnih naložb. </w:t>
      </w:r>
    </w:p>
    <w:p w14:paraId="6BEBE5A8" w14:textId="7D82B2B1" w:rsidR="00851AC2" w:rsidRPr="0058617C" w:rsidRDefault="00E0693F" w:rsidP="00851AC2">
      <w:pPr>
        <w:rPr>
          <w:lang w:val="sl-SI"/>
        </w:rPr>
      </w:pPr>
      <w:r>
        <w:rPr>
          <w:lang w:val="sl-SI"/>
        </w:rPr>
        <w:t xml:space="preserve">Vsebinsko </w:t>
      </w:r>
      <w:r w:rsidR="0048660F">
        <w:rPr>
          <w:lang w:val="sl-SI"/>
        </w:rPr>
        <w:t>je za predmetno vrednotenje relevanten</w:t>
      </w:r>
      <w:r w:rsidR="00851AC2" w:rsidRPr="0058617C">
        <w:rPr>
          <w:lang w:val="sl-SI"/>
        </w:rPr>
        <w:t xml:space="preserve"> TC 4 - podpora prehodu na gospodarstvo z nizkimi emisijami ogljika v vseh sektorjih, ter znotraj tega cilj Slovenije, zapisan v NRP, »povečanje učinkovite rabe energije«, ki </w:t>
      </w:r>
      <w:r w:rsidR="0048660F">
        <w:rPr>
          <w:lang w:val="sl-SI"/>
        </w:rPr>
        <w:t>naslavlja</w:t>
      </w:r>
      <w:r w:rsidR="00851AC2" w:rsidRPr="0058617C">
        <w:rPr>
          <w:lang w:val="sl-SI"/>
        </w:rPr>
        <w:t xml:space="preserve"> Cilj EU 2020 za trajnostno rast »20-odstotno povečanje energetske učinkovitosti«. </w:t>
      </w:r>
    </w:p>
    <w:p w14:paraId="074C50F3" w14:textId="3E4F5772" w:rsidR="00851AC2" w:rsidRPr="0058617C" w:rsidRDefault="00851AC2" w:rsidP="00851AC2">
      <w:pPr>
        <w:rPr>
          <w:lang w:val="sl-SI"/>
        </w:rPr>
      </w:pPr>
      <w:r w:rsidRPr="0058617C">
        <w:rPr>
          <w:lang w:val="sl-SI"/>
        </w:rPr>
        <w:t>PS poudarja</w:t>
      </w:r>
      <w:r w:rsidR="00104FC2">
        <w:rPr>
          <w:lang w:val="sl-SI"/>
        </w:rPr>
        <w:t>,</w:t>
      </w:r>
      <w:r w:rsidRPr="0058617C">
        <w:rPr>
          <w:lang w:val="sl-SI"/>
        </w:rPr>
        <w:t xml:space="preserve"> da bo Slovenija zadostila ključnim potrebam, prepoznanim znotraj TC 4 z »usklajenim izvajanjem prednostnih naložb v energetski politiki in prometu, raziskavah, razvoju, podjetništvu in zaposlovanju«. Kot prva od ključnih potreb je navedeno »izboljšanje energetske učinkovitosti (večji energetski prihranki) stavbnega fonda v javnem in zasebnem sektorju«, vključuje pa tudi druge kategorije, kot so: povečanje rabe OVE, zmanjšanje energetske revščine, razvoj in uporaba pametnih omrežij in spodbujanje učinkovite rabe naravnih virov.</w:t>
      </w:r>
    </w:p>
    <w:p w14:paraId="76286032" w14:textId="2A6C0D52" w:rsidR="00851AC2" w:rsidRPr="0058617C" w:rsidRDefault="00851AC2" w:rsidP="00851AC2">
      <w:pPr>
        <w:rPr>
          <w:lang w:val="sl-SI"/>
        </w:rPr>
      </w:pPr>
      <w:r w:rsidRPr="0058617C">
        <w:rPr>
          <w:lang w:val="sl-SI"/>
        </w:rPr>
        <w:t xml:space="preserve">Na podlagi omenjenih potreb, analize stanja slovenskega sistema, Nacionalnih reformnih programov in drugih dokumentov, se v procesu priprave </w:t>
      </w:r>
      <w:r w:rsidR="00D203B0" w:rsidRPr="0058617C">
        <w:rPr>
          <w:lang w:val="sl-SI"/>
        </w:rPr>
        <w:t>OP</w:t>
      </w:r>
      <w:r w:rsidRPr="0058617C">
        <w:rPr>
          <w:lang w:val="sl-SI"/>
        </w:rPr>
        <w:t xml:space="preserve"> definira nabor področ</w:t>
      </w:r>
      <w:r w:rsidR="0048660F">
        <w:rPr>
          <w:lang w:val="sl-SI"/>
        </w:rPr>
        <w:t>i</w:t>
      </w:r>
      <w:r w:rsidRPr="0058617C">
        <w:rPr>
          <w:lang w:val="sl-SI"/>
        </w:rPr>
        <w:t>j, ki bodo predmet vlaganj sredstev ESI skladov. Ta področja predstavljajo načine</w:t>
      </w:r>
      <w:r w:rsidR="00D74E57">
        <w:rPr>
          <w:lang w:val="sl-SI"/>
        </w:rPr>
        <w:t>,</w:t>
      </w:r>
      <w:r w:rsidRPr="0058617C">
        <w:rPr>
          <w:lang w:val="sl-SI"/>
        </w:rPr>
        <w:t xml:space="preserve"> kako vplivati na doseganje zastavljenih ciljev in odgovor na identificirane ključne potrebe. OP sicer definira različne ukrepe znotraj 11 prednostnih osi (PO), ki so v skladu </w:t>
      </w:r>
      <w:r w:rsidR="0048660F">
        <w:rPr>
          <w:lang w:val="sl-SI"/>
        </w:rPr>
        <w:t>s</w:t>
      </w:r>
      <w:r w:rsidRPr="0058617C">
        <w:rPr>
          <w:lang w:val="sl-SI"/>
        </w:rPr>
        <w:t xml:space="preserve"> TC iz PS. </w:t>
      </w:r>
      <w:r w:rsidR="00D203B0" w:rsidRPr="0058617C">
        <w:rPr>
          <w:lang w:val="sl-SI"/>
        </w:rPr>
        <w:t>Glede</w:t>
      </w:r>
      <w:r w:rsidRPr="0058617C">
        <w:rPr>
          <w:lang w:val="sl-SI"/>
        </w:rPr>
        <w:t xml:space="preserve"> na predmet vrednotenja, se dokument osredotoča na prednostno os</w:t>
      </w:r>
      <w:r w:rsidR="00D203B0" w:rsidRPr="0058617C">
        <w:rPr>
          <w:lang w:val="sl-SI"/>
        </w:rPr>
        <w:t xml:space="preserve"> 4. </w:t>
      </w:r>
    </w:p>
    <w:p w14:paraId="4526F124" w14:textId="33C2EFDC" w:rsidR="00D203B0" w:rsidRPr="0058617C" w:rsidRDefault="00D203B0" w:rsidP="00D203B0">
      <w:pPr>
        <w:rPr>
          <w:lang w:val="sl-SI"/>
        </w:rPr>
      </w:pPr>
      <w:r w:rsidRPr="0058617C">
        <w:rPr>
          <w:lang w:val="sl-SI"/>
        </w:rPr>
        <w:t xml:space="preserve">Oktobra 2015 je Slovenija objavila dokument z naslovom </w:t>
      </w:r>
      <w:r w:rsidRPr="0058617C">
        <w:rPr>
          <w:i/>
          <w:iCs/>
          <w:lang w:val="sl-SI"/>
        </w:rPr>
        <w:t>Dolgoročna strategija za spodbujanje naložb energetske prenove stavb</w:t>
      </w:r>
      <w:r w:rsidR="0058617C" w:rsidRPr="0058617C">
        <w:rPr>
          <w:lang w:val="sl-SI"/>
        </w:rPr>
        <w:t xml:space="preserve"> (DSEPS)</w:t>
      </w:r>
      <w:r w:rsidRPr="0058617C">
        <w:rPr>
          <w:i/>
          <w:iCs/>
          <w:lang w:val="sl-SI"/>
        </w:rPr>
        <w:t xml:space="preserve">, </w:t>
      </w:r>
      <w:r w:rsidRPr="0058617C">
        <w:rPr>
          <w:lang w:val="sl-SI"/>
        </w:rPr>
        <w:t>ki vsebuje</w:t>
      </w:r>
      <w:r w:rsidRPr="0058617C">
        <w:rPr>
          <w:i/>
          <w:iCs/>
          <w:lang w:val="sl-SI"/>
        </w:rPr>
        <w:t xml:space="preserve"> </w:t>
      </w:r>
      <w:r w:rsidRPr="0058617C">
        <w:rPr>
          <w:lang w:val="sl-SI"/>
        </w:rPr>
        <w:t xml:space="preserve">pregled nacionalnega stavbnega fonda na podlagi statističnega vzorčenja, opredelitev stroškovno učinkovitih pristopov k prenovam glede na kategorijo stavb ter njihovo lokacijo, politike in ukrepe za spodbujanje stroškovno učinkovitih prenov stavb, perspektive za usmerjanje naložbenih </w:t>
      </w:r>
      <w:r w:rsidRPr="0058617C">
        <w:rPr>
          <w:lang w:val="sl-SI"/>
        </w:rPr>
        <w:lastRenderedPageBreak/>
        <w:t>odločitev posameznikov, gradbene industrije in finančnih institucij ter oceno pričakovanih prihrankov in širših koristi.</w:t>
      </w:r>
    </w:p>
    <w:p w14:paraId="0458A7CB" w14:textId="27A14105" w:rsidR="0058617C" w:rsidRDefault="00D203B0" w:rsidP="0058617C">
      <w:pPr>
        <w:rPr>
          <w:lang w:val="sl-SI"/>
        </w:rPr>
      </w:pPr>
      <w:r w:rsidRPr="0058617C">
        <w:rPr>
          <w:lang w:val="sl-SI"/>
        </w:rPr>
        <w:t>Dokument je bil leta 2018 dopolnjen za doseganje skladnosti z zahtevami in smernicami, ki izhajajo iz 4. člena Direktive 2012/27/EU o energetski učinkovitosti</w:t>
      </w:r>
      <w:r w:rsidR="0058617C" w:rsidRPr="0058617C">
        <w:rPr>
          <w:lang w:val="sl-SI"/>
        </w:rPr>
        <w:t xml:space="preserve">. Operativni cilji DSEPS v javnem sektorju do leta 2023 so bili postavljeni kot </w:t>
      </w:r>
      <w:r w:rsidR="0058617C">
        <w:rPr>
          <w:lang w:val="sl-SI"/>
        </w:rPr>
        <w:t>sledeči:</w:t>
      </w:r>
    </w:p>
    <w:p w14:paraId="3B17447E" w14:textId="738F1930" w:rsidR="0058617C" w:rsidRPr="0048660F" w:rsidRDefault="0058617C" w:rsidP="0097037F">
      <w:pPr>
        <w:pStyle w:val="Odstavekseznama"/>
        <w:numPr>
          <w:ilvl w:val="0"/>
          <w:numId w:val="19"/>
        </w:numPr>
        <w:rPr>
          <w:lang w:val="sl-SI"/>
        </w:rPr>
      </w:pPr>
      <w:r w:rsidRPr="0048660F">
        <w:rPr>
          <w:b/>
          <w:bCs/>
          <w:lang w:val="sl-SI"/>
        </w:rPr>
        <w:t>Prenova 3 % javnih stavb ožjega javnega sektorja letno</w:t>
      </w:r>
      <w:r w:rsidRPr="0048660F">
        <w:rPr>
          <w:lang w:val="sl-SI"/>
        </w:rPr>
        <w:t xml:space="preserve"> - v skladu z takrat-veljavno evidenco stavb v lasti in uporabi osrednje vlade z uporabno tlorisno površino, večjo kot 250 m2, znaša površina stavb osrednje vlade 782.158 m2 (stanje 1. januarja 2017). Za to obveznost je treba vsako leto prenoviti 23.465 m2 površine stavb, ob predpostavki, da so vse površine potrebne obnove.</w:t>
      </w:r>
      <w:r w:rsidR="005742D1" w:rsidRPr="0048660F">
        <w:rPr>
          <w:lang w:val="sl-SI"/>
        </w:rPr>
        <w:t xml:space="preserve"> Seznam je bil v letu 2020 osvežen</w:t>
      </w:r>
      <w:r w:rsidR="00DC4FA7" w:rsidRPr="0048660F">
        <w:rPr>
          <w:lang w:val="sl-SI"/>
        </w:rPr>
        <w:t xml:space="preserve"> in po novem znaša </w:t>
      </w:r>
      <w:r w:rsidR="005742D1" w:rsidRPr="0048660F">
        <w:rPr>
          <w:lang w:val="sl-SI"/>
        </w:rPr>
        <w:t>kratkoročn</w:t>
      </w:r>
      <w:r w:rsidR="00DC4FA7" w:rsidRPr="0048660F">
        <w:rPr>
          <w:lang w:val="sl-SI"/>
        </w:rPr>
        <w:t xml:space="preserve">i </w:t>
      </w:r>
      <w:r w:rsidR="005742D1" w:rsidRPr="0048660F">
        <w:rPr>
          <w:lang w:val="sl-SI"/>
        </w:rPr>
        <w:t xml:space="preserve">cilj celovite energetske prenove </w:t>
      </w:r>
      <w:r w:rsidR="00DC4FA7" w:rsidRPr="0048660F">
        <w:rPr>
          <w:lang w:val="sl-SI"/>
        </w:rPr>
        <w:t xml:space="preserve">za obdobje 2014–2023 </w:t>
      </w:r>
      <w:r w:rsidR="005742D1" w:rsidRPr="003D54A3">
        <w:rPr>
          <w:b/>
          <w:bCs/>
          <w:lang w:val="sl-SI"/>
        </w:rPr>
        <w:t>127.116 m2</w:t>
      </w:r>
      <w:r w:rsidR="00DC4FA7" w:rsidRPr="0048660F">
        <w:rPr>
          <w:lang w:val="sl-SI"/>
        </w:rPr>
        <w:t>.</w:t>
      </w:r>
    </w:p>
    <w:p w14:paraId="26FDEE42" w14:textId="543E78BE" w:rsidR="0058617C" w:rsidRPr="0048660F" w:rsidRDefault="0058617C" w:rsidP="0097037F">
      <w:pPr>
        <w:pStyle w:val="Odstavekseznama"/>
        <w:numPr>
          <w:ilvl w:val="0"/>
          <w:numId w:val="19"/>
        </w:numPr>
        <w:rPr>
          <w:lang w:val="sl-SI"/>
        </w:rPr>
      </w:pPr>
      <w:r w:rsidRPr="0048660F">
        <w:rPr>
          <w:b/>
          <w:bCs/>
          <w:lang w:val="sl-SI"/>
        </w:rPr>
        <w:t>Prenova 1,8 mio m2 stavb v širšem javnem sektorju v obdobju do leta 2023</w:t>
      </w:r>
      <w:r w:rsidRPr="0048660F">
        <w:rPr>
          <w:lang w:val="sl-SI"/>
        </w:rPr>
        <w:t xml:space="preserve"> - načrtovana je torej prenova 200.000 m2 v povprečju na leto</w:t>
      </w:r>
      <w:r w:rsidR="001A66ED" w:rsidRPr="0048660F">
        <w:rPr>
          <w:lang w:val="sl-SI"/>
        </w:rPr>
        <w:t>.</w:t>
      </w:r>
    </w:p>
    <w:p w14:paraId="6F6D5FBF" w14:textId="4D4D27BC" w:rsidR="005F459B" w:rsidRDefault="00416ED7" w:rsidP="00416ED7">
      <w:pPr>
        <w:rPr>
          <w:b/>
          <w:bCs/>
          <w:color w:val="0A131B" w:themeColor="text2"/>
          <w:lang w:val="sl-SI"/>
        </w:rPr>
      </w:pPr>
      <w:r w:rsidRPr="0058617C">
        <w:rPr>
          <w:noProof/>
          <w:lang w:val="sl-SI"/>
        </w:rPr>
        <w:drawing>
          <wp:anchor distT="0" distB="0" distL="114300" distR="114300" simplePos="0" relativeHeight="251658254" behindDoc="1" locked="0" layoutInCell="1" allowOverlap="1" wp14:anchorId="01FF2FB1" wp14:editId="4D1E5837">
            <wp:simplePos x="0" y="0"/>
            <wp:positionH relativeFrom="column">
              <wp:posOffset>-57785</wp:posOffset>
            </wp:positionH>
            <wp:positionV relativeFrom="paragraph">
              <wp:posOffset>163195</wp:posOffset>
            </wp:positionV>
            <wp:extent cx="323850" cy="323850"/>
            <wp:effectExtent l="0" t="0" r="0" b="0"/>
            <wp:wrapTight wrapText="bothSides">
              <wp:wrapPolygon edited="0">
                <wp:start x="1271" y="0"/>
                <wp:lineTo x="1271" y="20329"/>
                <wp:lineTo x="20329" y="20329"/>
                <wp:lineTo x="20329" y="0"/>
                <wp:lineTo x="1271" y="0"/>
              </wp:wrapPolygon>
            </wp:wrapTight>
            <wp:docPr id="6" name="Grafika 6" descr="Play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layboo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bookmarkStart w:id="15" w:name="_Toc129003808"/>
    </w:p>
    <w:p w14:paraId="315B0634" w14:textId="3E521E9E" w:rsidR="00C0265F" w:rsidRPr="004F4D37" w:rsidRDefault="00C0265F" w:rsidP="00416ED7">
      <w:pPr>
        <w:rPr>
          <w:b/>
          <w:bCs/>
          <w:color w:val="0A131B" w:themeColor="text2"/>
          <w:lang w:val="sl-SI"/>
        </w:rPr>
      </w:pPr>
      <w:r w:rsidRPr="004F4D37">
        <w:rPr>
          <w:b/>
          <w:bCs/>
          <w:color w:val="0A131B" w:themeColor="text2"/>
          <w:lang w:val="sl-SI"/>
        </w:rPr>
        <w:t xml:space="preserve">Ključne ugotovitve </w:t>
      </w:r>
      <w:bookmarkEnd w:id="15"/>
    </w:p>
    <w:p w14:paraId="1341AFF9" w14:textId="77777777" w:rsidR="00625252" w:rsidRDefault="00625252" w:rsidP="003F1943">
      <w:pPr>
        <w:rPr>
          <w:lang w:val="sl-SI"/>
        </w:rPr>
      </w:pPr>
    </w:p>
    <w:p w14:paraId="63816F5C" w14:textId="01D73D30" w:rsidR="00B24190" w:rsidRDefault="001C58C4" w:rsidP="003F1943">
      <w:pPr>
        <w:rPr>
          <w:lang w:val="sl-SI"/>
        </w:rPr>
      </w:pPr>
      <w:r>
        <w:rPr>
          <w:lang w:val="sl-SI"/>
        </w:rPr>
        <w:t xml:space="preserve">V marcu 2021 je bila sprejeta </w:t>
      </w:r>
      <w:r w:rsidRPr="008D6149">
        <w:rPr>
          <w:lang w:val="sl-SI"/>
        </w:rPr>
        <w:t>Dolgoročna strategija energetske prenove stavb do leta 2050</w:t>
      </w:r>
      <w:r>
        <w:rPr>
          <w:lang w:val="sl-SI"/>
        </w:rPr>
        <w:t xml:space="preserve"> (DSEPS 2050). </w:t>
      </w:r>
      <w:r w:rsidRPr="00D37869">
        <w:rPr>
          <w:lang w:val="sl-SI"/>
        </w:rPr>
        <w:t xml:space="preserve">Dolgoročni cilj stavb ožjega javnega sektorja (OJS) je </w:t>
      </w:r>
      <w:r>
        <w:rPr>
          <w:lang w:val="sl-SI"/>
        </w:rPr>
        <w:t xml:space="preserve">še vedno </w:t>
      </w:r>
      <w:r w:rsidRPr="00D37869">
        <w:rPr>
          <w:lang w:val="sl-SI"/>
        </w:rPr>
        <w:t xml:space="preserve">energetska prenova </w:t>
      </w:r>
      <w:r>
        <w:rPr>
          <w:lang w:val="sl-SI"/>
        </w:rPr>
        <w:t>3 %</w:t>
      </w:r>
      <w:r w:rsidRPr="00D37869">
        <w:rPr>
          <w:lang w:val="sl-SI"/>
        </w:rPr>
        <w:t xml:space="preserve"> skupne tlorisne površine, kjer so dosežene minimalne zahteve energetske učinkovitosti v skladu z nacionalno zakonodajo. </w:t>
      </w:r>
      <w:r>
        <w:rPr>
          <w:lang w:val="sl-SI"/>
        </w:rPr>
        <w:t>Kot navaja strategija</w:t>
      </w:r>
      <w:r w:rsidR="00070A51">
        <w:rPr>
          <w:lang w:val="sl-SI"/>
        </w:rPr>
        <w:t>,</w:t>
      </w:r>
      <w:r>
        <w:rPr>
          <w:lang w:val="sl-SI"/>
        </w:rPr>
        <w:t xml:space="preserve"> bi bilo z</w:t>
      </w:r>
      <w:r w:rsidRPr="00D37869">
        <w:rPr>
          <w:lang w:val="sl-SI"/>
        </w:rPr>
        <w:t>a doseganje kratkoročnega cilja aktivnosti celovite energetske prenove</w:t>
      </w:r>
      <w:r>
        <w:rPr>
          <w:lang w:val="sl-SI"/>
        </w:rPr>
        <w:t xml:space="preserve"> potrebno okrepiti, v kolikor bi želeli doseči prenovo </w:t>
      </w:r>
      <w:r w:rsidRPr="00D37869">
        <w:rPr>
          <w:lang w:val="sl-SI"/>
        </w:rPr>
        <w:t xml:space="preserve">127.116 m2 v obdobju 2014–2023. </w:t>
      </w:r>
      <w:r>
        <w:rPr>
          <w:lang w:val="sl-SI"/>
        </w:rPr>
        <w:t>Iz zadnjega Poročila o izvajanju Nacionalnega energetskega in podnebnega načrta (izdano v letu 2022) izhaja, da je bilo k</w:t>
      </w:r>
      <w:r w:rsidRPr="00C309A1">
        <w:rPr>
          <w:lang w:val="sl-SI"/>
        </w:rPr>
        <w:t xml:space="preserve">ljub izvajanju večine obstoječih in dodatnih ukrepov </w:t>
      </w:r>
      <w:r>
        <w:rPr>
          <w:lang w:val="sl-SI"/>
        </w:rPr>
        <w:t xml:space="preserve">izvajanje prenov </w:t>
      </w:r>
      <w:r w:rsidRPr="00C309A1">
        <w:rPr>
          <w:lang w:val="sl-SI"/>
        </w:rPr>
        <w:t xml:space="preserve">v javnem sektorju </w:t>
      </w:r>
      <w:r>
        <w:rPr>
          <w:lang w:val="sl-SI"/>
        </w:rPr>
        <w:t xml:space="preserve">še vedno </w:t>
      </w:r>
      <w:r w:rsidRPr="00C309A1">
        <w:rPr>
          <w:lang w:val="sl-SI"/>
        </w:rPr>
        <w:t xml:space="preserve">prepočasno. </w:t>
      </w:r>
      <w:r w:rsidRPr="006662AD">
        <w:rPr>
          <w:lang w:val="sl-SI"/>
        </w:rPr>
        <w:t>Slovenija leta 2020 ni dosegla svojega cilja na področju energetske prenove 3 % skupne tlorisne površine stavb v lasti in rabi osrednje vlade letno</w:t>
      </w:r>
      <w:r>
        <w:rPr>
          <w:lang w:val="sl-SI"/>
        </w:rPr>
        <w:t xml:space="preserve">. </w:t>
      </w:r>
      <w:r w:rsidRPr="006662AD">
        <w:rPr>
          <w:lang w:val="sl-SI"/>
        </w:rPr>
        <w:t>Prenovila je skupaj 66.022 m2.</w:t>
      </w:r>
      <w:r>
        <w:rPr>
          <w:lang w:val="sl-SI"/>
        </w:rPr>
        <w:t xml:space="preserve"> </w:t>
      </w:r>
      <w:r w:rsidR="00E35D86">
        <w:rPr>
          <w:lang w:val="sl-SI"/>
        </w:rPr>
        <w:t xml:space="preserve">V letu 2022 </w:t>
      </w:r>
      <w:r w:rsidR="00E35D86" w:rsidRPr="00E35D86">
        <w:rPr>
          <w:lang w:val="sl-SI"/>
        </w:rPr>
        <w:t xml:space="preserve">je </w:t>
      </w:r>
      <w:r w:rsidR="002439F3">
        <w:rPr>
          <w:lang w:val="sl-SI"/>
        </w:rPr>
        <w:t xml:space="preserve">Slovenija </w:t>
      </w:r>
      <w:r w:rsidR="00E35D86" w:rsidRPr="00E35D86">
        <w:rPr>
          <w:lang w:val="sl-SI"/>
        </w:rPr>
        <w:t>prenov</w:t>
      </w:r>
      <w:r w:rsidR="002439F3">
        <w:rPr>
          <w:lang w:val="sl-SI"/>
        </w:rPr>
        <w:t xml:space="preserve">ila </w:t>
      </w:r>
      <w:r w:rsidR="00E35D86" w:rsidRPr="00E35D86">
        <w:rPr>
          <w:lang w:val="sl-SI"/>
        </w:rPr>
        <w:t xml:space="preserve">skupaj 68.617 m2 površin </w:t>
      </w:r>
      <w:r w:rsidR="002439F3" w:rsidRPr="006662AD">
        <w:rPr>
          <w:lang w:val="sl-SI"/>
        </w:rPr>
        <w:t>stavb v lasti in rabi osrednje vlade</w:t>
      </w:r>
      <w:r w:rsidR="002439F3">
        <w:rPr>
          <w:lang w:val="sl-SI"/>
        </w:rPr>
        <w:t xml:space="preserve">, v sklopu </w:t>
      </w:r>
      <w:r w:rsidR="00E35D86" w:rsidRPr="00E35D86">
        <w:rPr>
          <w:lang w:val="sl-SI"/>
        </w:rPr>
        <w:t>OP EKP 36.654,16 m2 ter z lastnimi sredstvi 31.962,60 m2.</w:t>
      </w:r>
    </w:p>
    <w:p w14:paraId="68EAF59D" w14:textId="51B85DDE" w:rsidR="00B24190" w:rsidRPr="00B24190" w:rsidRDefault="00B24190" w:rsidP="003F1943">
      <w:pPr>
        <w:rPr>
          <w:lang w:val="sl-SI"/>
        </w:rPr>
      </w:pPr>
      <w:r w:rsidRPr="00A22870">
        <w:rPr>
          <w:lang w:val="sl-SI"/>
        </w:rPr>
        <w:t xml:space="preserve">Podatki iz </w:t>
      </w:r>
      <w:r w:rsidR="00DE0CA1" w:rsidRPr="00A22870">
        <w:rPr>
          <w:lang w:val="sl-SI"/>
        </w:rPr>
        <w:t xml:space="preserve">letnega </w:t>
      </w:r>
      <w:r w:rsidRPr="00A22870">
        <w:rPr>
          <w:lang w:val="sl-SI"/>
        </w:rPr>
        <w:t>poročila</w:t>
      </w:r>
      <w:r w:rsidR="00DE0CA1">
        <w:rPr>
          <w:lang w:val="sl-SI"/>
        </w:rPr>
        <w:t xml:space="preserve"> o izvajanju cilja </w:t>
      </w:r>
      <w:r w:rsidR="00A22870" w:rsidRPr="00A22870">
        <w:rPr>
          <w:lang w:val="sl-SI"/>
        </w:rPr>
        <w:t>"naložbe za rast in delovna mesta"</w:t>
      </w:r>
      <w:r>
        <w:rPr>
          <w:lang w:val="sl-SI"/>
        </w:rPr>
        <w:t xml:space="preserve"> </w:t>
      </w:r>
      <w:r w:rsidR="00A22870">
        <w:rPr>
          <w:lang w:val="sl-SI"/>
        </w:rPr>
        <w:t xml:space="preserve">za leto 2022 </w:t>
      </w:r>
      <w:r>
        <w:rPr>
          <w:lang w:val="sl-SI"/>
        </w:rPr>
        <w:t>pokažejo</w:t>
      </w:r>
      <w:r w:rsidR="00EB6ED7">
        <w:rPr>
          <w:lang w:val="sl-SI"/>
        </w:rPr>
        <w:t xml:space="preserve"> torej</w:t>
      </w:r>
      <w:r>
        <w:rPr>
          <w:lang w:val="sl-SI"/>
        </w:rPr>
        <w:t>, da so k</w:t>
      </w:r>
      <w:r w:rsidR="004B1BAD" w:rsidRPr="00B24190">
        <w:rPr>
          <w:lang w:val="sl-SI"/>
        </w:rPr>
        <w:t xml:space="preserve">onec leta 2022 </w:t>
      </w:r>
      <w:r w:rsidR="00775F53" w:rsidRPr="00B24190">
        <w:rPr>
          <w:lang w:val="sl-SI"/>
        </w:rPr>
        <w:t xml:space="preserve">operacije </w:t>
      </w:r>
      <w:r>
        <w:rPr>
          <w:lang w:val="sl-SI"/>
        </w:rPr>
        <w:t xml:space="preserve">energetskih prenov </w:t>
      </w:r>
      <w:r w:rsidRPr="00B24190">
        <w:rPr>
          <w:lang w:val="sl-SI"/>
        </w:rPr>
        <w:t xml:space="preserve">stavb v lasti in uporabi osrednje oziroma ožje vlade </w:t>
      </w:r>
      <w:r w:rsidR="00775F53" w:rsidRPr="00B24190">
        <w:rPr>
          <w:lang w:val="sl-SI"/>
        </w:rPr>
        <w:t xml:space="preserve">v okviru OP kumulativno dosegle </w:t>
      </w:r>
      <w:r w:rsidR="00775F53" w:rsidRPr="00D15EA9">
        <w:rPr>
          <w:b/>
          <w:bCs/>
          <w:lang w:val="sl-SI"/>
        </w:rPr>
        <w:t>36.654,16 m2</w:t>
      </w:r>
      <w:r>
        <w:rPr>
          <w:lang w:val="sl-SI"/>
        </w:rPr>
        <w:t>,</w:t>
      </w:r>
      <w:r w:rsidR="00775F53" w:rsidRPr="00B24190">
        <w:rPr>
          <w:lang w:val="sl-SI"/>
        </w:rPr>
        <w:t xml:space="preserve"> kar predstavlja </w:t>
      </w:r>
      <w:r w:rsidR="00F667C2" w:rsidRPr="00D15EA9">
        <w:rPr>
          <w:b/>
          <w:bCs/>
          <w:lang w:val="sl-SI"/>
        </w:rPr>
        <w:t>32</w:t>
      </w:r>
      <w:r w:rsidR="004B1BAD" w:rsidRPr="00D15EA9">
        <w:rPr>
          <w:b/>
          <w:bCs/>
          <w:lang w:val="sl-SI"/>
        </w:rPr>
        <w:t>% zastavljenega cilja OP</w:t>
      </w:r>
      <w:r>
        <w:rPr>
          <w:lang w:val="sl-SI"/>
        </w:rPr>
        <w:t xml:space="preserve">. Po </w:t>
      </w:r>
      <w:r w:rsidR="00F667C2" w:rsidRPr="00B24190">
        <w:rPr>
          <w:lang w:val="sl-SI"/>
        </w:rPr>
        <w:t xml:space="preserve">napovedih upravičencev bi moralo biti konec leta 2022 doseženih </w:t>
      </w:r>
      <w:r>
        <w:rPr>
          <w:lang w:val="sl-SI"/>
        </w:rPr>
        <w:t xml:space="preserve">že </w:t>
      </w:r>
      <w:r w:rsidR="00F667C2" w:rsidRPr="00B24190">
        <w:rPr>
          <w:lang w:val="sl-SI"/>
        </w:rPr>
        <w:t xml:space="preserve">58.084,46 m2 </w:t>
      </w:r>
      <w:r>
        <w:rPr>
          <w:lang w:val="sl-SI"/>
        </w:rPr>
        <w:t xml:space="preserve">prenov </w:t>
      </w:r>
      <w:r w:rsidR="00F667C2" w:rsidRPr="00B24190">
        <w:rPr>
          <w:lang w:val="sl-SI"/>
        </w:rPr>
        <w:t xml:space="preserve">oziroma </w:t>
      </w:r>
      <w:r w:rsidR="00D8129B" w:rsidRPr="00B24190">
        <w:rPr>
          <w:lang w:val="sl-SI"/>
        </w:rPr>
        <w:t xml:space="preserve">50 % zastavljenega cilja. </w:t>
      </w:r>
      <w:r>
        <w:rPr>
          <w:lang w:val="sl-SI"/>
        </w:rPr>
        <w:t xml:space="preserve">Konec leta 2022 so </w:t>
      </w:r>
      <w:r w:rsidR="003764E4">
        <w:rPr>
          <w:lang w:val="sl-SI"/>
        </w:rPr>
        <w:t xml:space="preserve">vse </w:t>
      </w:r>
      <w:r>
        <w:rPr>
          <w:lang w:val="sl-SI"/>
        </w:rPr>
        <w:t>operacije energetskih prenov</w:t>
      </w:r>
      <w:r w:rsidR="00994189">
        <w:rPr>
          <w:lang w:val="sl-SI"/>
        </w:rPr>
        <w:t xml:space="preserve"> </w:t>
      </w:r>
      <w:r w:rsidR="003764E4" w:rsidRPr="003764E4">
        <w:rPr>
          <w:lang w:val="sl-SI"/>
        </w:rPr>
        <w:t>stavb javnega sektorja</w:t>
      </w:r>
      <w:r w:rsidR="003764E4">
        <w:rPr>
          <w:lang w:val="sl-SI"/>
        </w:rPr>
        <w:t xml:space="preserve">, ki vključujejo tudi ožji vlado (zgornje podatke), </w:t>
      </w:r>
      <w:r w:rsidR="003764E4" w:rsidRPr="00B24190">
        <w:rPr>
          <w:lang w:val="sl-SI"/>
        </w:rPr>
        <w:t xml:space="preserve">v okviru OP kumulativno dosegle </w:t>
      </w:r>
      <w:r w:rsidR="006F4687" w:rsidRPr="00D15EA9">
        <w:rPr>
          <w:b/>
          <w:bCs/>
          <w:lang w:val="sl-SI"/>
        </w:rPr>
        <w:t xml:space="preserve">928.247,10 </w:t>
      </w:r>
      <w:r w:rsidR="003764E4" w:rsidRPr="00D15EA9">
        <w:rPr>
          <w:b/>
          <w:bCs/>
          <w:lang w:val="sl-SI"/>
        </w:rPr>
        <w:t>m2</w:t>
      </w:r>
      <w:r w:rsidR="003764E4">
        <w:rPr>
          <w:lang w:val="sl-SI"/>
        </w:rPr>
        <w:t>,</w:t>
      </w:r>
      <w:r w:rsidR="003764E4" w:rsidRPr="00B24190">
        <w:rPr>
          <w:lang w:val="sl-SI"/>
        </w:rPr>
        <w:t xml:space="preserve"> kar predstavlja </w:t>
      </w:r>
      <w:r w:rsidR="009D0C45" w:rsidRPr="00D15EA9">
        <w:rPr>
          <w:b/>
          <w:bCs/>
          <w:lang w:val="sl-SI"/>
        </w:rPr>
        <w:t>81</w:t>
      </w:r>
      <w:r w:rsidR="003764E4" w:rsidRPr="00D15EA9">
        <w:rPr>
          <w:b/>
          <w:bCs/>
          <w:lang w:val="sl-SI"/>
        </w:rPr>
        <w:t>% zastavljenega cilja OP</w:t>
      </w:r>
      <w:r w:rsidR="003764E4">
        <w:rPr>
          <w:lang w:val="sl-SI"/>
        </w:rPr>
        <w:t xml:space="preserve">. Po </w:t>
      </w:r>
      <w:r w:rsidR="003764E4" w:rsidRPr="00B24190">
        <w:rPr>
          <w:lang w:val="sl-SI"/>
        </w:rPr>
        <w:t xml:space="preserve">napovedih upravičencev bi moralo biti konec leta 2022 doseženih </w:t>
      </w:r>
      <w:r w:rsidR="003764E4">
        <w:rPr>
          <w:lang w:val="sl-SI"/>
        </w:rPr>
        <w:t xml:space="preserve">že </w:t>
      </w:r>
      <w:r w:rsidR="009D0C45">
        <w:rPr>
          <w:lang w:val="sl-SI"/>
        </w:rPr>
        <w:t xml:space="preserve">kar </w:t>
      </w:r>
      <w:r w:rsidR="00D15EA9" w:rsidRPr="00D15EA9">
        <w:rPr>
          <w:lang w:val="sl-SI"/>
        </w:rPr>
        <w:t>1.174.607,20</w:t>
      </w:r>
      <w:r w:rsidR="00D15EA9">
        <w:rPr>
          <w:lang w:val="sl-SI"/>
        </w:rPr>
        <w:t xml:space="preserve"> </w:t>
      </w:r>
      <w:r w:rsidR="003764E4" w:rsidRPr="00B24190">
        <w:rPr>
          <w:lang w:val="sl-SI"/>
        </w:rPr>
        <w:t xml:space="preserve">m2 </w:t>
      </w:r>
      <w:r w:rsidR="003764E4">
        <w:rPr>
          <w:lang w:val="sl-SI"/>
        </w:rPr>
        <w:t>prenov</w:t>
      </w:r>
      <w:r w:rsidR="00D15EA9">
        <w:rPr>
          <w:lang w:val="sl-SI"/>
        </w:rPr>
        <w:t>, s čimer bi bil kazalnik presežen že konec leta 2022.</w:t>
      </w:r>
    </w:p>
    <w:p w14:paraId="6CA62C20" w14:textId="2A1A3538" w:rsidR="00D15EA9" w:rsidRDefault="00683492" w:rsidP="003F1943">
      <w:pPr>
        <w:rPr>
          <w:lang w:val="sl-SI"/>
        </w:rPr>
      </w:pPr>
      <w:r>
        <w:rPr>
          <w:lang w:val="sl-SI"/>
        </w:rPr>
        <w:t xml:space="preserve">Dodatno smo analizirali </w:t>
      </w:r>
      <w:r w:rsidR="00413292">
        <w:rPr>
          <w:lang w:val="sl-SI"/>
        </w:rPr>
        <w:t xml:space="preserve">še podatke </w:t>
      </w:r>
      <w:r w:rsidR="00D15EA9">
        <w:rPr>
          <w:lang w:val="sl-SI"/>
        </w:rPr>
        <w:t xml:space="preserve">operacij in doseganje kazalnikov v sistemu </w:t>
      </w:r>
      <w:proofErr w:type="spellStart"/>
      <w:r w:rsidR="00D15EA9">
        <w:rPr>
          <w:lang w:val="sl-SI"/>
        </w:rPr>
        <w:t>eMA</w:t>
      </w:r>
      <w:proofErr w:type="spellEnd"/>
      <w:r w:rsidR="00D15EA9">
        <w:rPr>
          <w:lang w:val="sl-SI"/>
        </w:rPr>
        <w:t xml:space="preserve"> z namenom, da smo ugotovili dinamiko realizacije obsega načrtovanih prenov.</w:t>
      </w:r>
      <w:r w:rsidR="00413292" w:rsidRPr="00413292">
        <w:rPr>
          <w:lang w:val="sl-SI"/>
        </w:rPr>
        <w:t xml:space="preserve"> </w:t>
      </w:r>
      <w:r w:rsidR="00413292">
        <w:rPr>
          <w:lang w:val="sl-SI"/>
        </w:rPr>
        <w:t>Podatki kazalnikov so seveda povezani s samim poročanjem o zaključenih operacijah, zato pri podatkih o realizaciji prihaja do realnega zamika in nekoliko odstopajo</w:t>
      </w:r>
      <w:r w:rsidR="00EF1A19">
        <w:rPr>
          <w:lang w:val="sl-SI"/>
        </w:rPr>
        <w:t xml:space="preserve"> od v zgornjem odstavku prikazanih podatkov</w:t>
      </w:r>
      <w:r w:rsidR="00413292">
        <w:rPr>
          <w:lang w:val="sl-SI"/>
        </w:rPr>
        <w:t>.</w:t>
      </w:r>
    </w:p>
    <w:p w14:paraId="70A30309" w14:textId="10D59447" w:rsidR="00FC37F3" w:rsidRPr="00D15EA9" w:rsidRDefault="00221F7E" w:rsidP="003F1943">
      <w:pPr>
        <w:rPr>
          <w:lang w:val="sl-SI"/>
        </w:rPr>
      </w:pPr>
      <w:r w:rsidRPr="00D15EA9">
        <w:rPr>
          <w:lang w:val="sl-SI"/>
        </w:rPr>
        <w:t xml:space="preserve">Ukrepi izvedeni v </w:t>
      </w:r>
      <w:r w:rsidR="004534EE" w:rsidRPr="00D15EA9">
        <w:rPr>
          <w:lang w:val="sl-SI"/>
        </w:rPr>
        <w:t xml:space="preserve">sklopu </w:t>
      </w:r>
      <w:r w:rsidR="004B1BAD" w:rsidRPr="00D15EA9">
        <w:rPr>
          <w:lang w:val="sl-SI"/>
        </w:rPr>
        <w:t xml:space="preserve">SC 4.1 </w:t>
      </w:r>
      <w:r w:rsidRPr="00D15EA9">
        <w:rPr>
          <w:lang w:val="sl-SI"/>
        </w:rPr>
        <w:t xml:space="preserve">so </w:t>
      </w:r>
      <w:r w:rsidR="00A529DA" w:rsidRPr="00D15EA9">
        <w:rPr>
          <w:lang w:val="sl-SI"/>
        </w:rPr>
        <w:t xml:space="preserve">do konca leta 2022 </w:t>
      </w:r>
      <w:r w:rsidRPr="00D15EA9">
        <w:rPr>
          <w:lang w:val="sl-SI"/>
        </w:rPr>
        <w:t xml:space="preserve">prispevali skupaj </w:t>
      </w:r>
      <w:r w:rsidR="00795D17" w:rsidRPr="00D15EA9">
        <w:rPr>
          <w:lang w:val="sl-SI"/>
        </w:rPr>
        <w:t>730.192,70</w:t>
      </w:r>
      <w:r w:rsidR="00AA06FB" w:rsidRPr="00D15EA9">
        <w:rPr>
          <w:lang w:val="sl-SI"/>
        </w:rPr>
        <w:t xml:space="preserve"> m2 skupno prenovljene tlorisne površine</w:t>
      </w:r>
      <w:r w:rsidR="007F3534" w:rsidRPr="00D15EA9">
        <w:rPr>
          <w:lang w:val="sl-SI"/>
        </w:rPr>
        <w:t xml:space="preserve"> od sicer načrtovanih </w:t>
      </w:r>
      <w:r w:rsidR="00795D17" w:rsidRPr="00D15EA9">
        <w:rPr>
          <w:lang w:val="sl-SI"/>
        </w:rPr>
        <w:t>1.048.105,06</w:t>
      </w:r>
      <w:r w:rsidR="007F3534" w:rsidRPr="00D15EA9">
        <w:rPr>
          <w:lang w:val="sl-SI"/>
        </w:rPr>
        <w:t xml:space="preserve"> m2 v istem obdobju</w:t>
      </w:r>
      <w:r w:rsidR="00A529DA" w:rsidRPr="00D15EA9">
        <w:rPr>
          <w:lang w:val="sl-SI"/>
        </w:rPr>
        <w:t>, kar predstav</w:t>
      </w:r>
      <w:r w:rsidR="009F6067" w:rsidRPr="00D15EA9">
        <w:rPr>
          <w:lang w:val="sl-SI"/>
        </w:rPr>
        <w:t xml:space="preserve">lja </w:t>
      </w:r>
      <w:r w:rsidR="001F087C" w:rsidRPr="00D15EA9">
        <w:rPr>
          <w:lang w:val="sl-SI"/>
        </w:rPr>
        <w:t>70</w:t>
      </w:r>
      <w:r w:rsidR="00BF5918" w:rsidRPr="00D15EA9">
        <w:rPr>
          <w:lang w:val="sl-SI"/>
        </w:rPr>
        <w:t xml:space="preserve">% </w:t>
      </w:r>
      <w:r w:rsidR="008E383F" w:rsidRPr="00D15EA9">
        <w:rPr>
          <w:lang w:val="sl-SI"/>
        </w:rPr>
        <w:t xml:space="preserve">realizacijo </w:t>
      </w:r>
      <w:r w:rsidR="00BF5918" w:rsidRPr="00D15EA9">
        <w:rPr>
          <w:lang w:val="sl-SI"/>
        </w:rPr>
        <w:t>načrtovanega</w:t>
      </w:r>
      <w:r w:rsidR="007A7634" w:rsidRPr="00D15EA9">
        <w:rPr>
          <w:lang w:val="sl-SI"/>
        </w:rPr>
        <w:t xml:space="preserve"> </w:t>
      </w:r>
      <w:r w:rsidR="001F087C" w:rsidRPr="00D15EA9">
        <w:rPr>
          <w:lang w:val="sl-SI"/>
        </w:rPr>
        <w:t xml:space="preserve">obsega prenov </w:t>
      </w:r>
      <w:r w:rsidR="007A7634" w:rsidRPr="00D15EA9">
        <w:rPr>
          <w:lang w:val="sl-SI"/>
        </w:rPr>
        <w:t>do konca leta 2022</w:t>
      </w:r>
      <w:r w:rsidR="00AA06FB" w:rsidRPr="00D15EA9">
        <w:rPr>
          <w:lang w:val="sl-SI"/>
        </w:rPr>
        <w:t>.</w:t>
      </w:r>
      <w:r w:rsidR="007F3534" w:rsidRPr="00D15EA9">
        <w:rPr>
          <w:lang w:val="sl-SI"/>
        </w:rPr>
        <w:t xml:space="preserve"> </w:t>
      </w:r>
      <w:r w:rsidR="001F087C" w:rsidRPr="00D15EA9">
        <w:rPr>
          <w:lang w:val="sl-SI"/>
        </w:rPr>
        <w:t>Do</w:t>
      </w:r>
      <w:r w:rsidR="007F3534" w:rsidRPr="00D15EA9">
        <w:rPr>
          <w:lang w:val="sl-SI"/>
        </w:rPr>
        <w:t xml:space="preserve"> konca leta </w:t>
      </w:r>
      <w:r w:rsidR="009F6067" w:rsidRPr="00D15EA9">
        <w:rPr>
          <w:lang w:val="sl-SI"/>
        </w:rPr>
        <w:t xml:space="preserve">2023 </w:t>
      </w:r>
      <w:r w:rsidR="00196CCC" w:rsidRPr="00D15EA9">
        <w:rPr>
          <w:lang w:val="sl-SI"/>
        </w:rPr>
        <w:t xml:space="preserve">je </w:t>
      </w:r>
      <w:r w:rsidR="008E383F" w:rsidRPr="00D15EA9">
        <w:rPr>
          <w:lang w:val="sl-SI"/>
        </w:rPr>
        <w:t xml:space="preserve">sicer </w:t>
      </w:r>
      <w:r w:rsidR="007F3534" w:rsidRPr="00D15EA9">
        <w:rPr>
          <w:lang w:val="sl-SI"/>
        </w:rPr>
        <w:t xml:space="preserve">načrtovanih </w:t>
      </w:r>
      <w:r w:rsidR="001F087C" w:rsidRPr="00D15EA9">
        <w:rPr>
          <w:lang w:val="sl-SI"/>
        </w:rPr>
        <w:t xml:space="preserve">skupaj </w:t>
      </w:r>
      <w:r w:rsidR="00742629" w:rsidRPr="00D15EA9">
        <w:rPr>
          <w:lang w:val="sl-SI"/>
        </w:rPr>
        <w:t>1.</w:t>
      </w:r>
      <w:r w:rsidR="001F087C" w:rsidRPr="00D15EA9">
        <w:rPr>
          <w:lang w:val="sl-SI"/>
        </w:rPr>
        <w:t>541.805</w:t>
      </w:r>
      <w:r w:rsidR="00742143" w:rsidRPr="00D15EA9">
        <w:rPr>
          <w:lang w:val="sl-SI"/>
        </w:rPr>
        <w:t>,92</w:t>
      </w:r>
      <w:r w:rsidR="00742629" w:rsidRPr="00D15EA9">
        <w:rPr>
          <w:lang w:val="sl-SI"/>
        </w:rPr>
        <w:t xml:space="preserve"> m2</w:t>
      </w:r>
      <w:r w:rsidR="00CD0866" w:rsidRPr="00D15EA9">
        <w:rPr>
          <w:lang w:val="sl-SI"/>
        </w:rPr>
        <w:t xml:space="preserve"> (po kazalniku 4.41)</w:t>
      </w:r>
      <w:r w:rsidR="00742629" w:rsidRPr="00D15EA9">
        <w:rPr>
          <w:lang w:val="sl-SI"/>
        </w:rPr>
        <w:t>. Slednje pomeni, da je bilo do konca leta 2022</w:t>
      </w:r>
      <w:r w:rsidR="00BF5918" w:rsidRPr="00D15EA9">
        <w:rPr>
          <w:lang w:val="sl-SI"/>
        </w:rPr>
        <w:t xml:space="preserve"> </w:t>
      </w:r>
      <w:r w:rsidR="00C10A6C" w:rsidRPr="00D15EA9">
        <w:rPr>
          <w:lang w:val="sl-SI"/>
        </w:rPr>
        <w:t xml:space="preserve">prenovljenih </w:t>
      </w:r>
      <w:r w:rsidR="00742143" w:rsidRPr="00D15EA9">
        <w:rPr>
          <w:lang w:val="sl-SI"/>
        </w:rPr>
        <w:t>47</w:t>
      </w:r>
      <w:r w:rsidR="00C10A6C" w:rsidRPr="00D15EA9">
        <w:rPr>
          <w:lang w:val="sl-SI"/>
        </w:rPr>
        <w:t xml:space="preserve">% vseh načrtovanih </w:t>
      </w:r>
      <w:r w:rsidR="00ED0183" w:rsidRPr="00D15EA9">
        <w:rPr>
          <w:lang w:val="sl-SI"/>
        </w:rPr>
        <w:t xml:space="preserve">prenov tlorisne površine. </w:t>
      </w:r>
    </w:p>
    <w:p w14:paraId="53A11E1E" w14:textId="1DA43EBD" w:rsidR="00CD0866" w:rsidRDefault="00EF1A19" w:rsidP="003F1943">
      <w:pPr>
        <w:rPr>
          <w:lang w:val="sl-SI"/>
        </w:rPr>
      </w:pPr>
      <w:r>
        <w:rPr>
          <w:lang w:val="sl-SI"/>
        </w:rPr>
        <w:lastRenderedPageBreak/>
        <w:t>P</w:t>
      </w:r>
      <w:r w:rsidR="00142445">
        <w:rPr>
          <w:lang w:val="sl-SI"/>
        </w:rPr>
        <w:t>r</w:t>
      </w:r>
      <w:r w:rsidR="000B0CBC">
        <w:rPr>
          <w:lang w:val="sl-SI"/>
        </w:rPr>
        <w:t>egled dinamike prenov</w:t>
      </w:r>
      <w:r w:rsidR="008B351D">
        <w:rPr>
          <w:lang w:val="sl-SI"/>
        </w:rPr>
        <w:t xml:space="preserve">, ki so bile financirane </w:t>
      </w:r>
      <w:r w:rsidR="00486CF1">
        <w:rPr>
          <w:lang w:val="sl-SI"/>
        </w:rPr>
        <w:t>iz SC 4.1,</w:t>
      </w:r>
      <w:r w:rsidR="000B0CBC">
        <w:rPr>
          <w:lang w:val="sl-SI"/>
        </w:rPr>
        <w:t xml:space="preserve"> pokažejo </w:t>
      </w:r>
      <w:r w:rsidR="008E383F">
        <w:rPr>
          <w:lang w:val="sl-SI"/>
        </w:rPr>
        <w:t>naslednje</w:t>
      </w:r>
      <w:r w:rsidR="000B0CBC">
        <w:rPr>
          <w:rStyle w:val="Sprotnaopomba-sklic"/>
          <w:lang w:val="sl-SI"/>
        </w:rPr>
        <w:footnoteReference w:id="5"/>
      </w:r>
      <w:r w:rsidR="000B0CBC">
        <w:rPr>
          <w:lang w:val="sl-SI"/>
        </w:rPr>
        <w:t>:</w:t>
      </w:r>
    </w:p>
    <w:p w14:paraId="175F8A4F" w14:textId="77777777" w:rsidR="00974110" w:rsidRDefault="00974110" w:rsidP="003F1943">
      <w:pPr>
        <w:rPr>
          <w:lang w:val="sl-SI"/>
        </w:rPr>
      </w:pPr>
    </w:p>
    <w:p w14:paraId="476BCE1C" w14:textId="5F4897AB" w:rsidR="002A21C9" w:rsidRDefault="00974110" w:rsidP="003F1943">
      <w:pPr>
        <w:rPr>
          <w:lang w:val="sl-SI"/>
        </w:rPr>
      </w:pPr>
      <w:r w:rsidRPr="00974110">
        <w:rPr>
          <w:noProof/>
        </w:rPr>
        <w:drawing>
          <wp:inline distT="0" distB="0" distL="0" distR="0" wp14:anchorId="0E11DFE6" wp14:editId="257EDEE0">
            <wp:extent cx="5731510" cy="1782445"/>
            <wp:effectExtent l="0" t="0" r="2540" b="825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782445"/>
                    </a:xfrm>
                    <a:prstGeom prst="rect">
                      <a:avLst/>
                    </a:prstGeom>
                    <a:noFill/>
                    <a:ln>
                      <a:noFill/>
                    </a:ln>
                  </pic:spPr>
                </pic:pic>
              </a:graphicData>
            </a:graphic>
          </wp:inline>
        </w:drawing>
      </w:r>
    </w:p>
    <w:p w14:paraId="244BA73D" w14:textId="77777777" w:rsidR="00885F0D" w:rsidRDefault="00885F0D" w:rsidP="004C3D6A">
      <w:pPr>
        <w:rPr>
          <w:lang w:val="sl-SI"/>
        </w:rPr>
      </w:pPr>
    </w:p>
    <w:p w14:paraId="7152E17B" w14:textId="16E68366" w:rsidR="000A3F4F" w:rsidRDefault="00CD0866" w:rsidP="004C3D6A">
      <w:pPr>
        <w:rPr>
          <w:lang w:val="sl-SI"/>
        </w:rPr>
      </w:pPr>
      <w:r>
        <w:rPr>
          <w:lang w:val="sl-SI"/>
        </w:rPr>
        <w:t xml:space="preserve">Podatki pokažejo, da se </w:t>
      </w:r>
      <w:r w:rsidR="004F0A23">
        <w:rPr>
          <w:lang w:val="sl-SI"/>
        </w:rPr>
        <w:t xml:space="preserve">načrtovana </w:t>
      </w:r>
      <w:r w:rsidRPr="00D72D3D">
        <w:rPr>
          <w:b/>
          <w:bCs/>
          <w:lang w:val="sl-SI"/>
        </w:rPr>
        <w:t xml:space="preserve">realizacija prenov </w:t>
      </w:r>
      <w:r w:rsidR="004F0A23" w:rsidRPr="00D72D3D">
        <w:rPr>
          <w:b/>
          <w:bCs/>
          <w:lang w:val="sl-SI"/>
        </w:rPr>
        <w:t>zamika v zadnje leto upravičenosti</w:t>
      </w:r>
      <w:r w:rsidR="004F0A23">
        <w:rPr>
          <w:lang w:val="sl-SI"/>
        </w:rPr>
        <w:t>, kar ob upoštevanju dolžine projektnega cikla predstavlja visoko tveg</w:t>
      </w:r>
      <w:r w:rsidR="00A06244">
        <w:rPr>
          <w:lang w:val="sl-SI"/>
        </w:rPr>
        <w:t>a</w:t>
      </w:r>
      <w:r w:rsidR="004F0A23">
        <w:rPr>
          <w:lang w:val="sl-SI"/>
        </w:rPr>
        <w:t xml:space="preserve">nje za dosego načrtovanega rezultata. </w:t>
      </w:r>
    </w:p>
    <w:p w14:paraId="02BE4DB9" w14:textId="3D162886" w:rsidR="003F1943" w:rsidRDefault="00A06244" w:rsidP="004C3D6A">
      <w:pPr>
        <w:rPr>
          <w:lang w:val="sl-SI"/>
        </w:rPr>
      </w:pPr>
      <w:r>
        <w:rPr>
          <w:lang w:val="sl-SI"/>
        </w:rPr>
        <w:t>V</w:t>
      </w:r>
      <w:r w:rsidR="004E7AE2">
        <w:rPr>
          <w:lang w:val="sl-SI"/>
        </w:rPr>
        <w:t xml:space="preserve">sem upravičencem </w:t>
      </w:r>
      <w:r w:rsidR="00735AA6">
        <w:rPr>
          <w:lang w:val="sl-SI"/>
        </w:rPr>
        <w:t>smo zastavili</w:t>
      </w:r>
      <w:r>
        <w:rPr>
          <w:lang w:val="sl-SI"/>
        </w:rPr>
        <w:t xml:space="preserve"> </w:t>
      </w:r>
      <w:r w:rsidR="00735AA6">
        <w:rPr>
          <w:lang w:val="sl-SI"/>
        </w:rPr>
        <w:t>v</w:t>
      </w:r>
      <w:r w:rsidR="00E3261D">
        <w:rPr>
          <w:lang w:val="sl-SI"/>
        </w:rPr>
        <w:t>prašanje</w:t>
      </w:r>
      <w:r w:rsidR="00D73834">
        <w:rPr>
          <w:lang w:val="sl-SI"/>
        </w:rPr>
        <w:t xml:space="preserve"> </w:t>
      </w:r>
      <w:r w:rsidR="004E7AE2">
        <w:rPr>
          <w:lang w:val="sl-SI"/>
        </w:rPr>
        <w:t>»</w:t>
      </w:r>
      <w:r w:rsidR="004E7AE2" w:rsidRPr="0085125F">
        <w:rPr>
          <w:b/>
          <w:bCs/>
          <w:lang w:val="sl-SI"/>
        </w:rPr>
        <w:t>koliko let bi še potrebovali, da bi po trenutni dinamiki obnov energetsko prenovili vse objekte, ki so v vašem upravljanju</w:t>
      </w:r>
      <w:r w:rsidR="004E7AE2">
        <w:rPr>
          <w:lang w:val="sl-SI"/>
        </w:rPr>
        <w:t>«</w:t>
      </w:r>
      <w:r w:rsidR="00735AA6">
        <w:rPr>
          <w:lang w:val="sl-SI"/>
        </w:rPr>
        <w:t>. V anketnem vprašalniku so nam občine odgovorile, da</w:t>
      </w:r>
      <w:r w:rsidR="006212A6">
        <w:rPr>
          <w:lang w:val="sl-SI"/>
        </w:rPr>
        <w:t xml:space="preserve"> bi potrebovale še vsaj </w:t>
      </w:r>
      <w:r w:rsidR="00036085">
        <w:rPr>
          <w:lang w:val="sl-SI"/>
        </w:rPr>
        <w:t>9 let (aritmetična sredina</w:t>
      </w:r>
      <w:r w:rsidR="00735AA6">
        <w:rPr>
          <w:lang w:val="sl-SI"/>
        </w:rPr>
        <w:t xml:space="preserve"> odgovor</w:t>
      </w:r>
      <w:r w:rsidR="00D774AC">
        <w:rPr>
          <w:lang w:val="sl-SI"/>
        </w:rPr>
        <w:t>ov</w:t>
      </w:r>
      <w:r w:rsidR="00036085">
        <w:rPr>
          <w:lang w:val="sl-SI"/>
        </w:rPr>
        <w:t>, pri čemer smo izločili odgovor 1000 let</w:t>
      </w:r>
      <w:r w:rsidR="00D774AC">
        <w:rPr>
          <w:lang w:val="sl-SI"/>
        </w:rPr>
        <w:t>; največ odgovorov je bilo sicer 10 let</w:t>
      </w:r>
      <w:r w:rsidR="00036085">
        <w:rPr>
          <w:lang w:val="sl-SI"/>
        </w:rPr>
        <w:t xml:space="preserve">), </w:t>
      </w:r>
      <w:r w:rsidR="00086DFD">
        <w:rPr>
          <w:lang w:val="sl-SI"/>
        </w:rPr>
        <w:t>medtem ko</w:t>
      </w:r>
      <w:r w:rsidR="00742143">
        <w:rPr>
          <w:lang w:val="sl-SI"/>
        </w:rPr>
        <w:t xml:space="preserve"> so nam </w:t>
      </w:r>
      <w:r w:rsidR="00086DFD">
        <w:rPr>
          <w:lang w:val="sl-SI"/>
        </w:rPr>
        <w:t>ministrstva</w:t>
      </w:r>
      <w:r w:rsidR="00742143">
        <w:rPr>
          <w:lang w:val="sl-SI"/>
        </w:rPr>
        <w:t xml:space="preserve"> na strukturiranih intervjujih ocenila</w:t>
      </w:r>
      <w:r w:rsidR="00086DFD">
        <w:rPr>
          <w:lang w:val="sl-SI"/>
        </w:rPr>
        <w:t xml:space="preserve">, da bi potrebovala </w:t>
      </w:r>
      <w:r w:rsidR="00590356">
        <w:rPr>
          <w:lang w:val="sl-SI"/>
        </w:rPr>
        <w:t>še vsaj 35 let (aritmetična sredina</w:t>
      </w:r>
      <w:r w:rsidR="00490378">
        <w:rPr>
          <w:lang w:val="sl-SI"/>
        </w:rPr>
        <w:t xml:space="preserve"> odgovorov</w:t>
      </w:r>
      <w:r w:rsidR="00590356">
        <w:rPr>
          <w:lang w:val="sl-SI"/>
        </w:rPr>
        <w:t>; največ odgovor</w:t>
      </w:r>
      <w:r w:rsidR="009E7B8A">
        <w:rPr>
          <w:lang w:val="sl-SI"/>
        </w:rPr>
        <w:t>ov</w:t>
      </w:r>
      <w:r w:rsidR="00590356">
        <w:rPr>
          <w:lang w:val="sl-SI"/>
        </w:rPr>
        <w:t xml:space="preserve"> je bilo </w:t>
      </w:r>
      <w:r w:rsidR="00D774AC">
        <w:rPr>
          <w:lang w:val="sl-SI"/>
        </w:rPr>
        <w:t>sicer</w:t>
      </w:r>
      <w:r w:rsidR="00590356">
        <w:rPr>
          <w:lang w:val="sl-SI"/>
        </w:rPr>
        <w:t xml:space="preserve"> 2</w:t>
      </w:r>
      <w:r w:rsidR="00D774AC">
        <w:rPr>
          <w:lang w:val="sl-SI"/>
        </w:rPr>
        <w:t>0</w:t>
      </w:r>
      <w:r w:rsidR="00590356">
        <w:rPr>
          <w:lang w:val="sl-SI"/>
        </w:rPr>
        <w:t xml:space="preserve"> let)</w:t>
      </w:r>
      <w:r w:rsidR="00490378">
        <w:rPr>
          <w:lang w:val="sl-SI"/>
        </w:rPr>
        <w:t>.</w:t>
      </w:r>
      <w:r w:rsidR="00CF523B">
        <w:rPr>
          <w:lang w:val="sl-SI"/>
        </w:rPr>
        <w:t xml:space="preserve"> </w:t>
      </w:r>
    </w:p>
    <w:p w14:paraId="6B5FB5B9" w14:textId="55D2601E" w:rsidR="00C0265F" w:rsidRPr="0058617C" w:rsidRDefault="00C0265F" w:rsidP="004C3D6A">
      <w:pPr>
        <w:rPr>
          <w:lang w:val="sl-SI"/>
        </w:rPr>
      </w:pPr>
      <w:r w:rsidRPr="0058617C">
        <w:rPr>
          <w:noProof/>
          <w:lang w:val="sl-SI"/>
        </w:rPr>
        <w:drawing>
          <wp:anchor distT="0" distB="0" distL="114300" distR="114300" simplePos="0" relativeHeight="251658255" behindDoc="1" locked="0" layoutInCell="1" allowOverlap="1" wp14:anchorId="52E0E09D" wp14:editId="354C8584">
            <wp:simplePos x="0" y="0"/>
            <wp:positionH relativeFrom="column">
              <wp:posOffset>-57150</wp:posOffset>
            </wp:positionH>
            <wp:positionV relativeFrom="paragraph">
              <wp:posOffset>163830</wp:posOffset>
            </wp:positionV>
            <wp:extent cx="324000" cy="324000"/>
            <wp:effectExtent l="0" t="0" r="0" b="0"/>
            <wp:wrapTight wrapText="bothSides">
              <wp:wrapPolygon edited="0">
                <wp:start x="5082" y="0"/>
                <wp:lineTo x="1271" y="7624"/>
                <wp:lineTo x="1271" y="15247"/>
                <wp:lineTo x="7624" y="20329"/>
                <wp:lineTo x="12706" y="20329"/>
                <wp:lineTo x="20329" y="13976"/>
                <wp:lineTo x="20329" y="8894"/>
                <wp:lineTo x="15247" y="0"/>
                <wp:lineTo x="5082" y="0"/>
              </wp:wrapPolygon>
            </wp:wrapTight>
            <wp:docPr id="10" name="Grafika 10"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p comp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5CBB6B87" w14:textId="66DF754D" w:rsidR="00A54EB1" w:rsidRPr="004F4D37" w:rsidRDefault="00A54EB1" w:rsidP="00A54EB1">
      <w:pPr>
        <w:rPr>
          <w:b/>
          <w:bCs/>
          <w:color w:val="0A131B" w:themeColor="text2"/>
          <w:lang w:val="sl-SI"/>
        </w:rPr>
      </w:pPr>
      <w:r>
        <w:rPr>
          <w:b/>
          <w:bCs/>
          <w:color w:val="0A131B" w:themeColor="text2"/>
          <w:lang w:val="sl-SI"/>
        </w:rPr>
        <w:t>Priporočila</w:t>
      </w:r>
    </w:p>
    <w:p w14:paraId="3C16E816" w14:textId="77777777" w:rsidR="003F1943" w:rsidRDefault="003F1943" w:rsidP="003F1943">
      <w:pPr>
        <w:rPr>
          <w:lang w:val="sl-SI"/>
        </w:rPr>
      </w:pPr>
    </w:p>
    <w:p w14:paraId="15C22FD8" w14:textId="213659DF" w:rsidR="00BD0621" w:rsidRDefault="0024325C" w:rsidP="003F1943">
      <w:pPr>
        <w:rPr>
          <w:lang w:val="sl-SI"/>
        </w:rPr>
      </w:pPr>
      <w:r>
        <w:rPr>
          <w:lang w:val="sl-SI"/>
        </w:rPr>
        <w:t>V p</w:t>
      </w:r>
      <w:r w:rsidR="001A4696">
        <w:rPr>
          <w:lang w:val="sl-SI"/>
        </w:rPr>
        <w:t>redlog</w:t>
      </w:r>
      <w:r w:rsidR="004930E5">
        <w:rPr>
          <w:lang w:val="sl-SI"/>
        </w:rPr>
        <w:t>u</w:t>
      </w:r>
      <w:r w:rsidR="001A4696">
        <w:rPr>
          <w:lang w:val="sl-SI"/>
        </w:rPr>
        <w:t xml:space="preserve"> </w:t>
      </w:r>
      <w:r w:rsidR="001E0A1F">
        <w:rPr>
          <w:lang w:val="sl-SI"/>
        </w:rPr>
        <w:t xml:space="preserve">za prenovo </w:t>
      </w:r>
      <w:r w:rsidR="001A4696">
        <w:rPr>
          <w:lang w:val="sl-SI"/>
        </w:rPr>
        <w:t xml:space="preserve">direktive evropskega parlamenta in sveta o energijski učinkovitosti </w:t>
      </w:r>
      <w:r w:rsidR="001C58C4">
        <w:rPr>
          <w:lang w:val="sl-SI"/>
        </w:rPr>
        <w:t>stavb</w:t>
      </w:r>
      <w:r>
        <w:rPr>
          <w:lang w:val="sl-SI"/>
        </w:rPr>
        <w:t xml:space="preserve"> </w:t>
      </w:r>
      <w:r w:rsidR="008047BF">
        <w:rPr>
          <w:lang w:val="sl-SI"/>
        </w:rPr>
        <w:t xml:space="preserve">je določena vizija za doseganje </w:t>
      </w:r>
      <w:proofErr w:type="spellStart"/>
      <w:r w:rsidR="008047BF">
        <w:rPr>
          <w:lang w:val="sl-SI"/>
        </w:rPr>
        <w:t>brezemisijskega</w:t>
      </w:r>
      <w:proofErr w:type="spellEnd"/>
      <w:r w:rsidR="008047BF">
        <w:rPr>
          <w:lang w:val="sl-SI"/>
        </w:rPr>
        <w:t xml:space="preserve"> fonda do leta 2050, </w:t>
      </w:r>
      <w:r w:rsidR="0053369A">
        <w:rPr>
          <w:lang w:val="sl-SI"/>
        </w:rPr>
        <w:t xml:space="preserve">ki pomembno vpliva tudi na </w:t>
      </w:r>
      <w:r w:rsidR="009802FB">
        <w:rPr>
          <w:lang w:val="sl-SI"/>
        </w:rPr>
        <w:t xml:space="preserve">zahteve za prenove </w:t>
      </w:r>
      <w:r w:rsidR="000C1B55">
        <w:rPr>
          <w:lang w:val="sl-SI"/>
        </w:rPr>
        <w:t xml:space="preserve">stavb javnega sektorja. Primeroma bodo morale biti vse </w:t>
      </w:r>
      <w:r w:rsidR="00253A35" w:rsidRPr="00253A35">
        <w:rPr>
          <w:lang w:val="sl-SI"/>
        </w:rPr>
        <w:t>nove javne stavbe od leta 20</w:t>
      </w:r>
      <w:r w:rsidR="00253A35">
        <w:rPr>
          <w:lang w:val="sl-SI"/>
        </w:rPr>
        <w:t>27</w:t>
      </w:r>
      <w:r w:rsidR="00253A35" w:rsidRPr="00253A35">
        <w:rPr>
          <w:lang w:val="sl-SI"/>
        </w:rPr>
        <w:t xml:space="preserve"> </w:t>
      </w:r>
      <w:proofErr w:type="spellStart"/>
      <w:r w:rsidR="00253A35" w:rsidRPr="00253A35">
        <w:rPr>
          <w:lang w:val="sl-SI"/>
        </w:rPr>
        <w:t>brezemisijske</w:t>
      </w:r>
      <w:proofErr w:type="spellEnd"/>
      <w:r w:rsidR="00253A35">
        <w:rPr>
          <w:lang w:val="sl-SI"/>
        </w:rPr>
        <w:t>, z namenom</w:t>
      </w:r>
      <w:r w:rsidR="00BD152A">
        <w:rPr>
          <w:lang w:val="sl-SI"/>
        </w:rPr>
        <w:t xml:space="preserve"> </w:t>
      </w:r>
      <w:r w:rsidR="00E80C0D">
        <w:rPr>
          <w:lang w:val="sl-SI"/>
        </w:rPr>
        <w:t xml:space="preserve">spodbuditi povečanje stopenj prenove se bodo dosedanje določbe o </w:t>
      </w:r>
      <w:r w:rsidR="00AF079F">
        <w:rPr>
          <w:lang w:val="sl-SI"/>
        </w:rPr>
        <w:t>večji prenovi dopolnjevale z novimi standardi energijske učinkovitosti na r</w:t>
      </w:r>
      <w:r w:rsidR="007578E4">
        <w:rPr>
          <w:lang w:val="sl-SI"/>
        </w:rPr>
        <w:t>a</w:t>
      </w:r>
      <w:r w:rsidR="00AF079F">
        <w:rPr>
          <w:lang w:val="sl-SI"/>
        </w:rPr>
        <w:t xml:space="preserve">vni EU za najmanj učinkovite javne </w:t>
      </w:r>
      <w:r w:rsidR="00CE4C3C">
        <w:rPr>
          <w:lang w:val="sl-SI"/>
        </w:rPr>
        <w:t>stavbe. Z njimi se bo zahtevalo</w:t>
      </w:r>
      <w:r w:rsidR="00BD0621" w:rsidRPr="00BD0621">
        <w:rPr>
          <w:lang w:val="sl-SI"/>
        </w:rPr>
        <w:t>, da se stavbe razreda energijske učinkovitosti G prenovijo in izboljšajo, tako da bodo najpozneje do leta 2027 dosegale vsaj v razred energijske učinkovitosti F, najpozneje do leta 2030 pa vsaj v razred energijske učinkovitosti E</w:t>
      </w:r>
      <w:r w:rsidR="00BD0621">
        <w:rPr>
          <w:lang w:val="sl-SI"/>
        </w:rPr>
        <w:t xml:space="preserve">. </w:t>
      </w:r>
    </w:p>
    <w:p w14:paraId="36EEBCBA" w14:textId="1F0C1BB0" w:rsidR="00CF2AC7" w:rsidRDefault="00BD0621" w:rsidP="003F1943">
      <w:pPr>
        <w:rPr>
          <w:lang w:val="sl-SI"/>
        </w:rPr>
      </w:pPr>
      <w:r>
        <w:rPr>
          <w:lang w:val="sl-SI"/>
        </w:rPr>
        <w:t>Vse navedeno pomeni,</w:t>
      </w:r>
      <w:r w:rsidR="00E80C0D">
        <w:rPr>
          <w:lang w:val="sl-SI"/>
        </w:rPr>
        <w:t xml:space="preserve"> </w:t>
      </w:r>
      <w:r>
        <w:rPr>
          <w:lang w:val="sl-SI"/>
        </w:rPr>
        <w:t>da je trenutni cilj prenov</w:t>
      </w:r>
      <w:r w:rsidR="00E84185">
        <w:rPr>
          <w:lang w:val="sl-SI"/>
        </w:rPr>
        <w:t xml:space="preserve"> premalo ambiciozen</w:t>
      </w:r>
      <w:r>
        <w:rPr>
          <w:lang w:val="sl-SI"/>
        </w:rPr>
        <w:t>, predvsem pa</w:t>
      </w:r>
      <w:r w:rsidR="00E84185">
        <w:rPr>
          <w:lang w:val="sl-SI"/>
        </w:rPr>
        <w:t xml:space="preserve"> je</w:t>
      </w:r>
      <w:r>
        <w:rPr>
          <w:lang w:val="sl-SI"/>
        </w:rPr>
        <w:t xml:space="preserve"> </w:t>
      </w:r>
      <w:r w:rsidR="00355C84">
        <w:rPr>
          <w:lang w:val="sl-SI"/>
        </w:rPr>
        <w:t>hitrost izvedbe prenov prepočasna</w:t>
      </w:r>
      <w:r w:rsidR="008244B3">
        <w:rPr>
          <w:lang w:val="sl-SI"/>
        </w:rPr>
        <w:t xml:space="preserve"> ne le za dosego trenutno zastavljenega cilja pač pa tudi v luči vseh </w:t>
      </w:r>
      <w:r w:rsidR="005C2A98">
        <w:rPr>
          <w:lang w:val="sl-SI"/>
        </w:rPr>
        <w:t>nakazanih sprememb v evropskem zakonodajnem okviru</w:t>
      </w:r>
      <w:r w:rsidR="00355C84">
        <w:rPr>
          <w:lang w:val="sl-SI"/>
        </w:rPr>
        <w:t xml:space="preserve">. </w:t>
      </w:r>
      <w:r w:rsidR="005C2A98" w:rsidRPr="00C45432">
        <w:rPr>
          <w:lang w:val="sl-SI"/>
        </w:rPr>
        <w:t>To</w:t>
      </w:r>
      <w:r w:rsidR="00355C84" w:rsidRPr="00C45432">
        <w:rPr>
          <w:lang w:val="sl-SI"/>
        </w:rPr>
        <w:t xml:space="preserve"> pomeni, da bi bilo za večji </w:t>
      </w:r>
      <w:r w:rsidR="005C2A98" w:rsidRPr="00C45432">
        <w:rPr>
          <w:lang w:val="sl-SI"/>
        </w:rPr>
        <w:t xml:space="preserve">in hitrejši </w:t>
      </w:r>
      <w:r w:rsidR="00355C84" w:rsidRPr="00C45432">
        <w:rPr>
          <w:lang w:val="sl-SI"/>
        </w:rPr>
        <w:t xml:space="preserve">obseg prenov potrebno zagotoviti </w:t>
      </w:r>
      <w:r w:rsidR="00D73834" w:rsidRPr="00C45432">
        <w:rPr>
          <w:lang w:val="sl-SI"/>
        </w:rPr>
        <w:t xml:space="preserve">ne le </w:t>
      </w:r>
      <w:r w:rsidR="00355C84" w:rsidRPr="00C45432">
        <w:rPr>
          <w:lang w:val="sl-SI"/>
        </w:rPr>
        <w:t xml:space="preserve">večji </w:t>
      </w:r>
      <w:r w:rsidR="00272221" w:rsidRPr="00C45432">
        <w:rPr>
          <w:lang w:val="sl-SI"/>
        </w:rPr>
        <w:t xml:space="preserve">obseg </w:t>
      </w:r>
      <w:r w:rsidR="001825AA" w:rsidRPr="00C45432">
        <w:rPr>
          <w:lang w:val="sl-SI"/>
        </w:rPr>
        <w:t xml:space="preserve">lastnih </w:t>
      </w:r>
      <w:r w:rsidR="00043DAA">
        <w:rPr>
          <w:lang w:val="sl-SI"/>
        </w:rPr>
        <w:t xml:space="preserve">(nacionalnih) </w:t>
      </w:r>
      <w:r w:rsidR="001825AA" w:rsidRPr="00C45432">
        <w:rPr>
          <w:lang w:val="sl-SI"/>
        </w:rPr>
        <w:t>sredstev</w:t>
      </w:r>
      <w:r w:rsidR="00D73834" w:rsidRPr="00C45432">
        <w:rPr>
          <w:lang w:val="sl-SI"/>
        </w:rPr>
        <w:t xml:space="preserve">, </w:t>
      </w:r>
      <w:r w:rsidR="00C45432">
        <w:rPr>
          <w:lang w:val="sl-SI"/>
        </w:rPr>
        <w:t xml:space="preserve">pač pa </w:t>
      </w:r>
      <w:r w:rsidR="00EF10DA" w:rsidRPr="00C45432">
        <w:rPr>
          <w:lang w:val="sl-SI"/>
        </w:rPr>
        <w:t xml:space="preserve">v primeru sofinanciranja iz EU sredstev </w:t>
      </w:r>
      <w:r w:rsidR="00C45432">
        <w:rPr>
          <w:lang w:val="sl-SI"/>
        </w:rPr>
        <w:t xml:space="preserve">tudi </w:t>
      </w:r>
      <w:r w:rsidR="00EF10DA" w:rsidRPr="00C45432">
        <w:rPr>
          <w:lang w:val="sl-SI"/>
        </w:rPr>
        <w:t>višjo stopnjo sofinanciranja</w:t>
      </w:r>
      <w:r w:rsidR="002E068D" w:rsidRPr="00C45432">
        <w:rPr>
          <w:lang w:val="sl-SI"/>
        </w:rPr>
        <w:t>,</w:t>
      </w:r>
      <w:r w:rsidR="001825AA" w:rsidRPr="00C45432">
        <w:rPr>
          <w:lang w:val="sl-SI"/>
        </w:rPr>
        <w:t xml:space="preserve"> </w:t>
      </w:r>
      <w:r w:rsidR="002E068D" w:rsidRPr="00C45432">
        <w:rPr>
          <w:lang w:val="sl-SI"/>
        </w:rPr>
        <w:t>zadostne kadrovske vire in znanje.</w:t>
      </w:r>
      <w:r w:rsidR="00D72D3D">
        <w:rPr>
          <w:lang w:val="sl-SI"/>
        </w:rPr>
        <w:t xml:space="preserve"> Predvsem pa je </w:t>
      </w:r>
      <w:r w:rsidR="00684E09">
        <w:rPr>
          <w:lang w:val="sl-SI"/>
        </w:rPr>
        <w:t>s projekti nujno štartati že na začetku upravičenega obdobja, v koliko želimo obvladovati tveganj</w:t>
      </w:r>
      <w:r w:rsidR="00B819AC">
        <w:rPr>
          <w:lang w:val="sl-SI"/>
        </w:rPr>
        <w:t>e povezano z doseganjem rezultata</w:t>
      </w:r>
      <w:r w:rsidR="0034349C">
        <w:rPr>
          <w:lang w:val="sl-SI"/>
        </w:rPr>
        <w:t xml:space="preserve"> na koncu upravičenega obdobja</w:t>
      </w:r>
      <w:r w:rsidR="00B819AC">
        <w:rPr>
          <w:lang w:val="sl-SI"/>
        </w:rPr>
        <w:t>.</w:t>
      </w:r>
      <w:r w:rsidR="0034349C">
        <w:rPr>
          <w:lang w:val="sl-SI"/>
        </w:rPr>
        <w:t xml:space="preserve"> </w:t>
      </w:r>
      <w:r w:rsidR="00684E09">
        <w:rPr>
          <w:lang w:val="sl-SI"/>
        </w:rPr>
        <w:t xml:space="preserve"> </w:t>
      </w:r>
    </w:p>
    <w:p w14:paraId="512B7F7F" w14:textId="7056D350" w:rsidR="00272221" w:rsidRDefault="001825AA" w:rsidP="003F1943">
      <w:pPr>
        <w:rPr>
          <w:lang w:val="sl-SI"/>
        </w:rPr>
      </w:pPr>
      <w:r w:rsidRPr="00C45432">
        <w:rPr>
          <w:lang w:val="sl-SI"/>
        </w:rPr>
        <w:t>Identificirani izzivi oziroma slabosti</w:t>
      </w:r>
      <w:r w:rsidR="00077DC3" w:rsidRPr="00C45432">
        <w:rPr>
          <w:lang w:val="sl-SI"/>
        </w:rPr>
        <w:t xml:space="preserve"> trenutnega sistema izvajanja so</w:t>
      </w:r>
      <w:r w:rsidRPr="00C45432">
        <w:rPr>
          <w:lang w:val="sl-SI"/>
        </w:rPr>
        <w:t>:</w:t>
      </w:r>
      <w:r w:rsidR="00077DC3" w:rsidRPr="00C45432">
        <w:rPr>
          <w:lang w:val="sl-SI"/>
        </w:rPr>
        <w:t xml:space="preserve"> </w:t>
      </w:r>
      <w:r w:rsidR="00B819AC">
        <w:rPr>
          <w:lang w:val="sl-SI"/>
        </w:rPr>
        <w:t>poz</w:t>
      </w:r>
      <w:r w:rsidR="00C3558C">
        <w:rPr>
          <w:lang w:val="sl-SI"/>
        </w:rPr>
        <w:t xml:space="preserve">en </w:t>
      </w:r>
      <w:r w:rsidR="00477C8B">
        <w:rPr>
          <w:lang w:val="sl-SI"/>
        </w:rPr>
        <w:t xml:space="preserve">začetek </w:t>
      </w:r>
      <w:r w:rsidR="00CF2AC7">
        <w:rPr>
          <w:lang w:val="sl-SI"/>
        </w:rPr>
        <w:t xml:space="preserve">implementacije (priprava razpisov, pozivov, navodil), </w:t>
      </w:r>
      <w:r w:rsidRPr="00C45432">
        <w:rPr>
          <w:lang w:val="sl-SI"/>
        </w:rPr>
        <w:t>d</w:t>
      </w:r>
      <w:r w:rsidR="002E068D" w:rsidRPr="00C45432">
        <w:rPr>
          <w:lang w:val="sl-SI"/>
        </w:rPr>
        <w:t xml:space="preserve">ecentralizirano </w:t>
      </w:r>
      <w:r w:rsidR="00D348E5" w:rsidRPr="00C45432">
        <w:rPr>
          <w:lang w:val="sl-SI"/>
        </w:rPr>
        <w:t>izvajanje projektov</w:t>
      </w:r>
      <w:r w:rsidRPr="00C45432">
        <w:rPr>
          <w:lang w:val="sl-SI"/>
        </w:rPr>
        <w:t xml:space="preserve">, decentralizirano financiranje v smislu </w:t>
      </w:r>
      <w:r w:rsidR="00D348E5" w:rsidRPr="00C45432">
        <w:rPr>
          <w:lang w:val="sl-SI"/>
        </w:rPr>
        <w:t>iskanj</w:t>
      </w:r>
      <w:r w:rsidRPr="00C45432">
        <w:rPr>
          <w:lang w:val="sl-SI"/>
        </w:rPr>
        <w:t>a</w:t>
      </w:r>
      <w:r w:rsidR="00D348E5" w:rsidRPr="00C45432">
        <w:rPr>
          <w:lang w:val="sl-SI"/>
        </w:rPr>
        <w:t xml:space="preserve"> lastnih sredstev za finančno zahtevne </w:t>
      </w:r>
      <w:r w:rsidR="00D348E5" w:rsidRPr="00C45432">
        <w:rPr>
          <w:lang w:val="sl-SI"/>
        </w:rPr>
        <w:lastRenderedPageBreak/>
        <w:t>celovite prenove</w:t>
      </w:r>
      <w:r w:rsidR="00610DE8" w:rsidRPr="00C45432">
        <w:rPr>
          <w:lang w:val="sl-SI"/>
        </w:rPr>
        <w:t xml:space="preserve">, pomanjkanje </w:t>
      </w:r>
      <w:r w:rsidR="001D20EA" w:rsidRPr="00C45432">
        <w:rPr>
          <w:lang w:val="sl-SI"/>
        </w:rPr>
        <w:t xml:space="preserve">kadrovskih virov, </w:t>
      </w:r>
      <w:r w:rsidR="00043DAA">
        <w:rPr>
          <w:lang w:val="sl-SI"/>
        </w:rPr>
        <w:t xml:space="preserve">specializiranega </w:t>
      </w:r>
      <w:r w:rsidR="00610DE8" w:rsidRPr="00C45432">
        <w:rPr>
          <w:lang w:val="sl-SI"/>
        </w:rPr>
        <w:t>znanja in</w:t>
      </w:r>
      <w:r w:rsidR="001D20EA" w:rsidRPr="00C45432">
        <w:rPr>
          <w:lang w:val="sl-SI"/>
        </w:rPr>
        <w:t xml:space="preserve"> izkušenj ter izredno dolgi projektni cikli</w:t>
      </w:r>
      <w:r w:rsidR="00272221" w:rsidRPr="00C45432">
        <w:rPr>
          <w:lang w:val="sl-SI"/>
        </w:rPr>
        <w:t>.</w:t>
      </w:r>
      <w:r w:rsidR="003714AF">
        <w:rPr>
          <w:lang w:val="sl-SI"/>
        </w:rPr>
        <w:t xml:space="preserve"> </w:t>
      </w:r>
      <w:r w:rsidR="00DB67F3">
        <w:rPr>
          <w:lang w:val="sl-SI"/>
        </w:rPr>
        <w:t>V zadnjem letu pa tudi pomanjkanje izvajalcev del.</w:t>
      </w:r>
      <w:r w:rsidR="00D72D3D">
        <w:rPr>
          <w:lang w:val="sl-SI"/>
        </w:rPr>
        <w:t xml:space="preserve"> </w:t>
      </w:r>
    </w:p>
    <w:p w14:paraId="58A8FDA4" w14:textId="77777777" w:rsidR="00D500B4" w:rsidRDefault="00D500B4" w:rsidP="00C30A06">
      <w:pPr>
        <w:rPr>
          <w:lang w:val="sl-SI"/>
        </w:rPr>
      </w:pPr>
    </w:p>
    <w:p w14:paraId="2E627EDD" w14:textId="77777777" w:rsidR="00D500B4" w:rsidRPr="0058617C" w:rsidRDefault="00D500B4" w:rsidP="00C30A06">
      <w:pPr>
        <w:rPr>
          <w:lang w:val="sl-SI"/>
        </w:rPr>
      </w:pPr>
    </w:p>
    <w:p w14:paraId="12FEAC9F" w14:textId="7B5A4F8E" w:rsidR="00C30A06" w:rsidRPr="0058617C" w:rsidRDefault="00C30A06" w:rsidP="00C30A06">
      <w:pPr>
        <w:pStyle w:val="Naslov1"/>
        <w:rPr>
          <w:lang w:val="sl-SI"/>
        </w:rPr>
      </w:pPr>
      <w:bookmarkStart w:id="16" w:name="_Toc129003810"/>
      <w:bookmarkStart w:id="17" w:name="_Toc136287528"/>
      <w:r w:rsidRPr="0058617C">
        <w:rPr>
          <w:lang w:val="sl-SI"/>
        </w:rPr>
        <w:t xml:space="preserve">Metodologija in pristop </w:t>
      </w:r>
      <w:r w:rsidR="00B30EDA">
        <w:rPr>
          <w:lang w:val="sl-SI"/>
        </w:rPr>
        <w:t>k</w:t>
      </w:r>
      <w:r w:rsidRPr="0058617C">
        <w:rPr>
          <w:lang w:val="sl-SI"/>
        </w:rPr>
        <w:t xml:space="preserve"> vrednotenju</w:t>
      </w:r>
      <w:bookmarkEnd w:id="16"/>
      <w:bookmarkEnd w:id="17"/>
      <w:r w:rsidRPr="0058617C">
        <w:rPr>
          <w:lang w:val="sl-SI"/>
        </w:rPr>
        <w:t xml:space="preserve"> </w:t>
      </w:r>
    </w:p>
    <w:p w14:paraId="4291CDCB" w14:textId="4305C374" w:rsidR="00C30A06" w:rsidRPr="0058617C" w:rsidRDefault="00C30A06" w:rsidP="00C30A06">
      <w:pPr>
        <w:rPr>
          <w:lang w:val="sl-SI"/>
        </w:rPr>
      </w:pPr>
    </w:p>
    <w:p w14:paraId="57FDC589" w14:textId="23B62C81" w:rsidR="006A58FF" w:rsidRPr="006A58FF" w:rsidRDefault="006A58FF" w:rsidP="006A58FF">
      <w:pPr>
        <w:rPr>
          <w:lang w:val="sl-SI"/>
        </w:rPr>
      </w:pPr>
      <w:r w:rsidRPr="006A58FF">
        <w:rPr>
          <w:lang w:val="sl-SI"/>
        </w:rPr>
        <w:t xml:space="preserve">Metodologija vrednotenja temelji na metodologiji, ki je definirana v tehničnih specifikacijah objavljenih v sklopu javnega naročila "Vrednotenji izvajanja specifičnih ciljev 'povečanje deleža inovacijsko aktivnih podjetij' in 'povečanje učinkovitosti rabe energije v javnem sektorju'". </w:t>
      </w:r>
    </w:p>
    <w:p w14:paraId="45D07745" w14:textId="77777777" w:rsidR="000A5AD2" w:rsidRDefault="006A58FF" w:rsidP="006A58FF">
      <w:pPr>
        <w:rPr>
          <w:lang w:val="sl-SI"/>
        </w:rPr>
      </w:pPr>
      <w:r w:rsidRPr="006A58FF">
        <w:rPr>
          <w:lang w:val="sl-SI"/>
        </w:rPr>
        <w:t xml:space="preserve">Tehnična specifikacija </w:t>
      </w:r>
      <w:r w:rsidR="0051526B">
        <w:rPr>
          <w:lang w:val="sl-SI"/>
        </w:rPr>
        <w:t xml:space="preserve">je </w:t>
      </w:r>
      <w:r w:rsidRPr="006A58FF">
        <w:rPr>
          <w:lang w:val="sl-SI"/>
        </w:rPr>
        <w:t>definira</w:t>
      </w:r>
      <w:r w:rsidR="0051526B">
        <w:rPr>
          <w:lang w:val="sl-SI"/>
        </w:rPr>
        <w:t>la</w:t>
      </w:r>
      <w:r w:rsidRPr="006A58FF">
        <w:rPr>
          <w:lang w:val="sl-SI"/>
        </w:rPr>
        <w:t xml:space="preserve"> specifična vprašanja</w:t>
      </w:r>
      <w:r w:rsidR="000A5AD2">
        <w:rPr>
          <w:lang w:val="sl-SI"/>
        </w:rPr>
        <w:t xml:space="preserve"> za vrednotenje</w:t>
      </w:r>
      <w:r w:rsidRPr="006A58FF">
        <w:rPr>
          <w:lang w:val="sl-SI"/>
        </w:rPr>
        <w:t>. Da bi nanje lahko odgovorili, se zanašamo tako na kvantitativne (podatki pridobljeni iz anket) kot kvalitativne (podatki pridobljeni iz pregleda dokumentacije,</w:t>
      </w:r>
      <w:r w:rsidR="000A5AD2">
        <w:rPr>
          <w:lang w:val="sl-SI"/>
        </w:rPr>
        <w:t xml:space="preserve"> strukturiranih</w:t>
      </w:r>
      <w:r w:rsidRPr="006A58FF">
        <w:rPr>
          <w:lang w:val="sl-SI"/>
        </w:rPr>
        <w:t xml:space="preserve"> intervjujev) metode raziskovanja, pri pripravi posameznih odgovorov pa jih tudi združujemo. </w:t>
      </w:r>
    </w:p>
    <w:p w14:paraId="0C900D0C" w14:textId="7F54FE64" w:rsidR="00602376" w:rsidRDefault="0060657C" w:rsidP="006A58FF">
      <w:pPr>
        <w:rPr>
          <w:lang w:val="sl-SI"/>
        </w:rPr>
      </w:pPr>
      <w:r>
        <w:rPr>
          <w:lang w:val="sl-SI"/>
        </w:rPr>
        <w:t xml:space="preserve">V </w:t>
      </w:r>
      <w:r w:rsidR="00A86210">
        <w:rPr>
          <w:lang w:val="sl-SI"/>
        </w:rPr>
        <w:t xml:space="preserve">sklopu vrednotenja </w:t>
      </w:r>
      <w:r>
        <w:rPr>
          <w:lang w:val="sl-SI"/>
        </w:rPr>
        <w:t>smo izvedli a</w:t>
      </w:r>
      <w:r w:rsidR="00602376" w:rsidRPr="0058617C">
        <w:rPr>
          <w:lang w:val="sl-SI"/>
        </w:rPr>
        <w:t>naliz</w:t>
      </w:r>
      <w:r>
        <w:rPr>
          <w:lang w:val="sl-SI"/>
        </w:rPr>
        <w:t>o</w:t>
      </w:r>
      <w:r w:rsidR="00602376" w:rsidRPr="0058617C">
        <w:rPr>
          <w:lang w:val="sl-SI"/>
        </w:rPr>
        <w:t xml:space="preserve"> dokumentacije (desk </w:t>
      </w:r>
      <w:proofErr w:type="spellStart"/>
      <w:r w:rsidR="00602376" w:rsidRPr="0058617C">
        <w:rPr>
          <w:lang w:val="sl-SI"/>
        </w:rPr>
        <w:t>research</w:t>
      </w:r>
      <w:proofErr w:type="spellEnd"/>
      <w:r w:rsidR="00602376" w:rsidRPr="0058617C">
        <w:rPr>
          <w:lang w:val="sl-SI"/>
        </w:rPr>
        <w:t>) oz. analiz</w:t>
      </w:r>
      <w:r>
        <w:rPr>
          <w:lang w:val="sl-SI"/>
        </w:rPr>
        <w:t>o</w:t>
      </w:r>
      <w:r w:rsidR="00602376" w:rsidRPr="0058617C">
        <w:rPr>
          <w:lang w:val="sl-SI"/>
        </w:rPr>
        <w:t xml:space="preserve"> sekundarnih virov</w:t>
      </w:r>
      <w:r>
        <w:rPr>
          <w:lang w:val="sl-SI"/>
        </w:rPr>
        <w:t>, ki</w:t>
      </w:r>
      <w:r w:rsidR="00602376" w:rsidRPr="0058617C">
        <w:rPr>
          <w:b/>
          <w:bCs/>
          <w:lang w:val="sl-SI"/>
        </w:rPr>
        <w:t xml:space="preserve"> </w:t>
      </w:r>
      <w:r w:rsidR="00602376" w:rsidRPr="0058617C">
        <w:rPr>
          <w:lang w:val="sl-SI"/>
        </w:rPr>
        <w:t xml:space="preserve">zajema sistematičen pregled razpoložljive dokumentacije, vključno s predhodno že navedenimi dokumenti v tehnični specifikaciji za sklop 2 (relevantne strategije in programski dokumenti, navodila OU in MZI v zvezi z izvajanjem operacij PN 4.1, SC 1, javni razpisi, povabila, odobreni projekti, poročila upravičencev, podatki spremljanja, poročila o izvajanju, administrativni podatki, podatki uradne statistike idr.), kot tudi drugih dokumentov, ki se nanašajo na obravnavano področje. Cilj pregleda dokumentacije in drugih virov je </w:t>
      </w:r>
      <w:r w:rsidR="00AC252D">
        <w:rPr>
          <w:lang w:val="sl-SI"/>
        </w:rPr>
        <w:t xml:space="preserve">bilo </w:t>
      </w:r>
      <w:r w:rsidR="00602376" w:rsidRPr="0058617C">
        <w:rPr>
          <w:lang w:val="sl-SI"/>
        </w:rPr>
        <w:t xml:space="preserve">celovito in izčrpno iskanje odgovorov na zastavljena vprašanja v posamezni fazi vrednotenja. Rezultat je celovit pregled literature, strukturiran glede na temo in vir podatkov. </w:t>
      </w:r>
    </w:p>
    <w:p w14:paraId="1881FC74" w14:textId="2E6577DB" w:rsidR="00D463E2" w:rsidRDefault="00A86210" w:rsidP="00C30A06">
      <w:pPr>
        <w:rPr>
          <w:lang w:val="sl-SI"/>
        </w:rPr>
      </w:pPr>
      <w:r>
        <w:rPr>
          <w:lang w:val="sl-SI"/>
        </w:rPr>
        <w:t>P</w:t>
      </w:r>
      <w:r w:rsidR="00AC252D">
        <w:rPr>
          <w:lang w:val="sl-SI"/>
        </w:rPr>
        <w:t xml:space="preserve">regledali in analizirali </w:t>
      </w:r>
      <w:r>
        <w:rPr>
          <w:lang w:val="sl-SI"/>
        </w:rPr>
        <w:t xml:space="preserve">smo </w:t>
      </w:r>
      <w:r w:rsidR="00692AF2">
        <w:rPr>
          <w:lang w:val="sl-SI"/>
        </w:rPr>
        <w:t xml:space="preserve">vloge, </w:t>
      </w:r>
      <w:r w:rsidR="00AC252D">
        <w:rPr>
          <w:lang w:val="sl-SI"/>
        </w:rPr>
        <w:t>operacije,</w:t>
      </w:r>
      <w:r>
        <w:rPr>
          <w:lang w:val="sl-SI"/>
        </w:rPr>
        <w:t xml:space="preserve"> kazalnike,</w:t>
      </w:r>
      <w:r w:rsidR="00AC252D">
        <w:rPr>
          <w:lang w:val="sl-SI"/>
        </w:rPr>
        <w:t xml:space="preserve"> </w:t>
      </w:r>
      <w:r w:rsidR="00D05739">
        <w:rPr>
          <w:lang w:val="sl-SI"/>
        </w:rPr>
        <w:t>izvedli anketo</w:t>
      </w:r>
      <w:r w:rsidR="00AC252D">
        <w:rPr>
          <w:lang w:val="sl-SI"/>
        </w:rPr>
        <w:t xml:space="preserve"> med upravičenci </w:t>
      </w:r>
      <w:r w:rsidR="00F216C2">
        <w:rPr>
          <w:lang w:val="sl-SI"/>
        </w:rPr>
        <w:t>širšega javnega sektorja</w:t>
      </w:r>
      <w:r w:rsidR="00D05739">
        <w:rPr>
          <w:lang w:val="sl-SI"/>
        </w:rPr>
        <w:t xml:space="preserve"> ter </w:t>
      </w:r>
      <w:r w:rsidR="00F216C2">
        <w:rPr>
          <w:lang w:val="sl-SI"/>
        </w:rPr>
        <w:t xml:space="preserve">izvedli </w:t>
      </w:r>
      <w:r w:rsidR="00D05739">
        <w:rPr>
          <w:lang w:val="sl-SI"/>
        </w:rPr>
        <w:t>strukturirane intervjuje</w:t>
      </w:r>
      <w:r w:rsidR="00F216C2">
        <w:rPr>
          <w:lang w:val="sl-SI"/>
        </w:rPr>
        <w:t xml:space="preserve"> z upravičenci ožjega javnega sektorja</w:t>
      </w:r>
      <w:r w:rsidR="00D05739">
        <w:rPr>
          <w:lang w:val="sl-SI"/>
        </w:rPr>
        <w:t xml:space="preserve">, s čimer </w:t>
      </w:r>
      <w:r>
        <w:rPr>
          <w:lang w:val="sl-SI"/>
        </w:rPr>
        <w:t xml:space="preserve">smo dobili </w:t>
      </w:r>
      <w:r w:rsidR="00D05739">
        <w:rPr>
          <w:lang w:val="sl-SI"/>
        </w:rPr>
        <w:t>še dodaten vpogled v sam</w:t>
      </w:r>
      <w:r w:rsidR="00F216C2">
        <w:rPr>
          <w:lang w:val="sl-SI"/>
        </w:rPr>
        <w:t xml:space="preserve"> proces </w:t>
      </w:r>
      <w:r w:rsidR="00D05739">
        <w:rPr>
          <w:lang w:val="sl-SI"/>
        </w:rPr>
        <w:t>izvajanj</w:t>
      </w:r>
      <w:r w:rsidR="0084524C">
        <w:rPr>
          <w:lang w:val="sl-SI"/>
        </w:rPr>
        <w:t>a</w:t>
      </w:r>
      <w:r w:rsidR="00D05739">
        <w:rPr>
          <w:lang w:val="sl-SI"/>
        </w:rPr>
        <w:t xml:space="preserve"> operacij</w:t>
      </w:r>
      <w:r w:rsidR="0084524C">
        <w:rPr>
          <w:lang w:val="sl-SI"/>
        </w:rPr>
        <w:t xml:space="preserve"> prenove stavb</w:t>
      </w:r>
      <w:r w:rsidR="00D05739">
        <w:rPr>
          <w:lang w:val="sl-SI"/>
        </w:rPr>
        <w:t>.</w:t>
      </w:r>
      <w:r w:rsidR="00EB7D62">
        <w:rPr>
          <w:lang w:val="sl-SI"/>
        </w:rPr>
        <w:t xml:space="preserve"> Presečni datum </w:t>
      </w:r>
      <w:r w:rsidR="00A21CA9">
        <w:rPr>
          <w:lang w:val="sl-SI"/>
        </w:rPr>
        <w:t xml:space="preserve">za podatke </w:t>
      </w:r>
      <w:r w:rsidR="00EB7D62">
        <w:rPr>
          <w:lang w:val="sl-SI"/>
        </w:rPr>
        <w:t>o vlogah, operacijah in kazalnikih je 21.3.</w:t>
      </w:r>
      <w:r w:rsidR="00A21CA9">
        <w:rPr>
          <w:lang w:val="sl-SI"/>
        </w:rPr>
        <w:t xml:space="preserve">2023. </w:t>
      </w:r>
    </w:p>
    <w:p w14:paraId="20DAC554" w14:textId="544DB0FF" w:rsidR="000A443E" w:rsidRDefault="00D46049" w:rsidP="00C30A06">
      <w:pPr>
        <w:rPr>
          <w:lang w:val="sl-SI"/>
        </w:rPr>
      </w:pPr>
      <w:r>
        <w:rPr>
          <w:lang w:val="sl-SI"/>
        </w:rPr>
        <w:t>Spletni a</w:t>
      </w:r>
      <w:r w:rsidR="00A86210">
        <w:rPr>
          <w:lang w:val="sl-SI"/>
        </w:rPr>
        <w:t xml:space="preserve">nketni vprašalnik </w:t>
      </w:r>
      <w:r>
        <w:rPr>
          <w:lang w:val="sl-SI"/>
        </w:rPr>
        <w:t>(</w:t>
      </w:r>
      <w:hyperlink r:id="rId19" w:history="1">
        <w:r w:rsidR="005C17E5" w:rsidRPr="006935EA">
          <w:rPr>
            <w:rStyle w:val="Hiperpovezava"/>
            <w:lang w:val="sl-SI"/>
          </w:rPr>
          <w:t>www.1ka.si</w:t>
        </w:r>
      </w:hyperlink>
      <w:r>
        <w:rPr>
          <w:lang w:val="sl-SI"/>
        </w:rPr>
        <w:t xml:space="preserve">) </w:t>
      </w:r>
      <w:r w:rsidR="00A86210">
        <w:rPr>
          <w:lang w:val="sl-SI"/>
        </w:rPr>
        <w:t xml:space="preserve">smo poslali vsem </w:t>
      </w:r>
      <w:r w:rsidR="00D463E2">
        <w:rPr>
          <w:lang w:val="sl-SI"/>
        </w:rPr>
        <w:t>občinam</w:t>
      </w:r>
      <w:r w:rsidR="005C64B3">
        <w:rPr>
          <w:lang w:val="sl-SI"/>
        </w:rPr>
        <w:t xml:space="preserve">, ki so izvajale projekte, in sicer 70 </w:t>
      </w:r>
      <w:r w:rsidR="00E5546A">
        <w:rPr>
          <w:lang w:val="sl-SI"/>
        </w:rPr>
        <w:t>občinam</w:t>
      </w:r>
      <w:r w:rsidR="00D463E2">
        <w:rPr>
          <w:lang w:val="sl-SI"/>
        </w:rPr>
        <w:t xml:space="preserve">, na </w:t>
      </w:r>
      <w:r w:rsidR="00FB6C98">
        <w:rPr>
          <w:lang w:val="sl-SI"/>
        </w:rPr>
        <w:t xml:space="preserve">89 </w:t>
      </w:r>
      <w:r w:rsidR="009302B5">
        <w:rPr>
          <w:lang w:val="sl-SI"/>
        </w:rPr>
        <w:t>naslovov</w:t>
      </w:r>
      <w:r w:rsidR="00E5546A">
        <w:rPr>
          <w:lang w:val="sl-SI"/>
        </w:rPr>
        <w:t xml:space="preserve"> (od tega 10 </w:t>
      </w:r>
      <w:r w:rsidR="005C64B3">
        <w:rPr>
          <w:lang w:val="sl-SI"/>
        </w:rPr>
        <w:t>napačnih</w:t>
      </w:r>
      <w:r w:rsidR="00E5546A">
        <w:rPr>
          <w:lang w:val="sl-SI"/>
        </w:rPr>
        <w:t xml:space="preserve">, poiskali še </w:t>
      </w:r>
      <w:r w:rsidR="005C64B3">
        <w:rPr>
          <w:lang w:val="sl-SI"/>
        </w:rPr>
        <w:t>20</w:t>
      </w:r>
      <w:r w:rsidR="00E5546A">
        <w:rPr>
          <w:lang w:val="sl-SI"/>
        </w:rPr>
        <w:t xml:space="preserve"> dodatnih naslovov). </w:t>
      </w:r>
      <w:r w:rsidR="00D434B2">
        <w:rPr>
          <w:lang w:val="sl-SI"/>
        </w:rPr>
        <w:t xml:space="preserve">Do priprave končnega poročila smo prejeli </w:t>
      </w:r>
      <w:r w:rsidR="00544178" w:rsidRPr="00EA7AD3">
        <w:rPr>
          <w:b/>
          <w:bCs/>
          <w:lang w:val="sl-SI"/>
        </w:rPr>
        <w:t>27</w:t>
      </w:r>
      <w:r w:rsidR="00D434B2" w:rsidRPr="00EA7AD3">
        <w:rPr>
          <w:b/>
          <w:bCs/>
          <w:lang w:val="sl-SI"/>
        </w:rPr>
        <w:t xml:space="preserve"> </w:t>
      </w:r>
      <w:r w:rsidR="00A74DDD" w:rsidRPr="00EA7AD3">
        <w:rPr>
          <w:b/>
          <w:bCs/>
          <w:lang w:val="sl-SI"/>
        </w:rPr>
        <w:t>ustrezno izpolnjenih anket</w:t>
      </w:r>
      <w:r w:rsidR="00D434B2">
        <w:rPr>
          <w:lang w:val="sl-SI"/>
        </w:rPr>
        <w:t xml:space="preserve">, kar predstavlja </w:t>
      </w:r>
      <w:r w:rsidR="0088333A" w:rsidRPr="00EA7AD3">
        <w:rPr>
          <w:b/>
          <w:bCs/>
          <w:lang w:val="sl-SI"/>
        </w:rPr>
        <w:t>39</w:t>
      </w:r>
      <w:r w:rsidR="00E5546A" w:rsidRPr="00EA7AD3">
        <w:rPr>
          <w:b/>
          <w:bCs/>
          <w:lang w:val="sl-SI"/>
        </w:rPr>
        <w:t xml:space="preserve">% </w:t>
      </w:r>
      <w:r w:rsidR="00EA0DA1" w:rsidRPr="00EA7AD3">
        <w:rPr>
          <w:b/>
          <w:bCs/>
          <w:lang w:val="sl-SI"/>
        </w:rPr>
        <w:t xml:space="preserve">stopnjo </w:t>
      </w:r>
      <w:r w:rsidR="00D23D44" w:rsidRPr="00EA7AD3">
        <w:rPr>
          <w:b/>
          <w:bCs/>
          <w:lang w:val="sl-SI"/>
        </w:rPr>
        <w:t>odziva</w:t>
      </w:r>
      <w:r w:rsidR="00C11137">
        <w:rPr>
          <w:lang w:val="sl-SI"/>
        </w:rPr>
        <w:t xml:space="preserve"> glede na število </w:t>
      </w:r>
      <w:r w:rsidR="00281D5C">
        <w:rPr>
          <w:lang w:val="sl-SI"/>
        </w:rPr>
        <w:t>občin</w:t>
      </w:r>
      <w:r w:rsidR="00EA0DA1">
        <w:rPr>
          <w:lang w:val="sl-SI"/>
        </w:rPr>
        <w:t>.</w:t>
      </w:r>
      <w:r w:rsidR="00F8090F">
        <w:rPr>
          <w:lang w:val="sl-SI"/>
        </w:rPr>
        <w:t xml:space="preserve"> </w:t>
      </w:r>
      <w:r w:rsidR="00F52A0F">
        <w:rPr>
          <w:lang w:val="sl-SI"/>
        </w:rPr>
        <w:t xml:space="preserve">58% odgovorov smo prejeli iz Vzhodne kohezijske regije. Po </w:t>
      </w:r>
      <w:r w:rsidR="0062609B">
        <w:rPr>
          <w:lang w:val="sl-SI"/>
        </w:rPr>
        <w:t xml:space="preserve">velikosti </w:t>
      </w:r>
      <w:r w:rsidR="00DD6C13">
        <w:rPr>
          <w:lang w:val="sl-SI"/>
        </w:rPr>
        <w:t xml:space="preserve">občin </w:t>
      </w:r>
      <w:r w:rsidR="0062609B">
        <w:rPr>
          <w:lang w:val="sl-SI"/>
        </w:rPr>
        <w:t xml:space="preserve">je bilo </w:t>
      </w:r>
      <w:r w:rsidR="00DD6C13">
        <w:rPr>
          <w:lang w:val="sl-SI"/>
        </w:rPr>
        <w:t>56%</w:t>
      </w:r>
      <w:r w:rsidR="0062609B">
        <w:rPr>
          <w:lang w:val="sl-SI"/>
        </w:rPr>
        <w:t xml:space="preserve"> odgovorov prejetih </w:t>
      </w:r>
      <w:r w:rsidR="00DD6C13">
        <w:rPr>
          <w:lang w:val="sl-SI"/>
        </w:rPr>
        <w:t xml:space="preserve">iz občin s 10.000 – 14.999 prebivalcev, </w:t>
      </w:r>
      <w:r w:rsidR="0085746C">
        <w:rPr>
          <w:lang w:val="sl-SI"/>
        </w:rPr>
        <w:t xml:space="preserve">26% iz občin s 5.000 – 9.999 prebivalcev, </w:t>
      </w:r>
      <w:r w:rsidR="00DA14F5">
        <w:rPr>
          <w:lang w:val="sl-SI"/>
        </w:rPr>
        <w:t>11% z nad 25.000 prebivalcev in 8% s pod 4.999 prebivalcev.</w:t>
      </w:r>
    </w:p>
    <w:p w14:paraId="1328CE88" w14:textId="50B084C0" w:rsidR="00402A80" w:rsidRDefault="00F8090F" w:rsidP="00C30A06">
      <w:pPr>
        <w:rPr>
          <w:lang w:val="sl-SI"/>
        </w:rPr>
      </w:pPr>
      <w:r>
        <w:rPr>
          <w:lang w:val="sl-SI"/>
        </w:rPr>
        <w:t>Anketni vprašalnik smo</w:t>
      </w:r>
      <w:r w:rsidR="008F1B3D">
        <w:rPr>
          <w:lang w:val="sl-SI"/>
        </w:rPr>
        <w:t xml:space="preserve"> </w:t>
      </w:r>
      <w:r w:rsidR="005D12F6">
        <w:rPr>
          <w:lang w:val="sl-SI"/>
        </w:rPr>
        <w:t xml:space="preserve">predhodno uskladili z naročnikom in </w:t>
      </w:r>
      <w:r w:rsidR="005C02CB">
        <w:rPr>
          <w:lang w:val="sl-SI"/>
        </w:rPr>
        <w:t>p</w:t>
      </w:r>
      <w:r w:rsidR="005C02CB" w:rsidRPr="005C02CB">
        <w:rPr>
          <w:lang w:val="sl-SI"/>
        </w:rPr>
        <w:t>rojektn</w:t>
      </w:r>
      <w:r w:rsidR="005C02CB">
        <w:rPr>
          <w:lang w:val="sl-SI"/>
        </w:rPr>
        <w:t xml:space="preserve">o </w:t>
      </w:r>
      <w:r w:rsidR="005C02CB" w:rsidRPr="005C02CB">
        <w:rPr>
          <w:lang w:val="sl-SI"/>
        </w:rPr>
        <w:t>pisarn</w:t>
      </w:r>
      <w:r w:rsidR="005C02CB">
        <w:rPr>
          <w:lang w:val="sl-SI"/>
        </w:rPr>
        <w:t>o</w:t>
      </w:r>
      <w:r w:rsidR="005C02CB" w:rsidRPr="005C02CB">
        <w:rPr>
          <w:lang w:val="sl-SI"/>
        </w:rPr>
        <w:t xml:space="preserve"> za energetsko prenovo stavb</w:t>
      </w:r>
      <w:r w:rsidR="005C02CB">
        <w:rPr>
          <w:lang w:val="sl-SI"/>
        </w:rPr>
        <w:t xml:space="preserve"> (prej Ministrstvo za infrastrukturo, sedaj </w:t>
      </w:r>
      <w:r w:rsidR="005C02CB" w:rsidRPr="00F52816">
        <w:rPr>
          <w:lang w:val="sl-SI"/>
        </w:rPr>
        <w:t>Ministrstvo za okolje, podnebje in energijo</w:t>
      </w:r>
      <w:r w:rsidR="005C02CB">
        <w:rPr>
          <w:lang w:val="sl-SI"/>
        </w:rPr>
        <w:t>).</w:t>
      </w:r>
      <w:r w:rsidR="00666AF3">
        <w:rPr>
          <w:lang w:val="sl-SI"/>
        </w:rPr>
        <w:t xml:space="preserve"> </w:t>
      </w:r>
      <w:r w:rsidR="001C3D43" w:rsidRPr="00D46049">
        <w:rPr>
          <w:lang w:val="sl-SI"/>
        </w:rPr>
        <w:t xml:space="preserve">Pri oblikovanju ankete </w:t>
      </w:r>
      <w:r w:rsidR="001C3D43">
        <w:rPr>
          <w:lang w:val="sl-SI"/>
        </w:rPr>
        <w:t>smo</w:t>
      </w:r>
      <w:r w:rsidR="001C3D43" w:rsidRPr="00D46049">
        <w:rPr>
          <w:lang w:val="sl-SI"/>
        </w:rPr>
        <w:t xml:space="preserve"> upošteva</w:t>
      </w:r>
      <w:r w:rsidR="001C3D43">
        <w:rPr>
          <w:lang w:val="sl-SI"/>
        </w:rPr>
        <w:t xml:space="preserve">li </w:t>
      </w:r>
      <w:r w:rsidR="001C3D43" w:rsidRPr="00D46049">
        <w:rPr>
          <w:lang w:val="sl-SI"/>
        </w:rPr>
        <w:t>specifike ciljne skupine, s ciljem pridobiti podatke za pripravo odgovorov na specifična vprašanja</w:t>
      </w:r>
      <w:r w:rsidR="001C3D43">
        <w:rPr>
          <w:lang w:val="sl-SI"/>
        </w:rPr>
        <w:t xml:space="preserve"> vrednotenja</w:t>
      </w:r>
      <w:r w:rsidR="001C3D43" w:rsidRPr="00D46049">
        <w:rPr>
          <w:lang w:val="sl-SI"/>
        </w:rPr>
        <w:t>.</w:t>
      </w:r>
      <w:r w:rsidR="001C3D43">
        <w:rPr>
          <w:lang w:val="sl-SI"/>
        </w:rPr>
        <w:t xml:space="preserve"> </w:t>
      </w:r>
      <w:r w:rsidR="00D46049" w:rsidRPr="00D46049">
        <w:rPr>
          <w:lang w:val="sl-SI"/>
        </w:rPr>
        <w:t xml:space="preserve">Anketa kot kvantitativna metoda vrednotenja </w:t>
      </w:r>
      <w:r w:rsidR="00D46049">
        <w:rPr>
          <w:lang w:val="sl-SI"/>
        </w:rPr>
        <w:t>je</w:t>
      </w:r>
      <w:r w:rsidR="00D46049" w:rsidRPr="00D46049">
        <w:rPr>
          <w:lang w:val="sl-SI"/>
        </w:rPr>
        <w:t xml:space="preserve"> služila pridobivanju tako kvantitativnih kot kvalitativnih </w:t>
      </w:r>
      <w:r w:rsidR="005B6178">
        <w:rPr>
          <w:lang w:val="sl-SI"/>
        </w:rPr>
        <w:t>podatkov</w:t>
      </w:r>
      <w:r w:rsidR="00D46049" w:rsidRPr="00D46049">
        <w:rPr>
          <w:lang w:val="sl-SI"/>
        </w:rPr>
        <w:t xml:space="preserve"> s strani </w:t>
      </w:r>
      <w:r w:rsidR="00D46049" w:rsidRPr="005C17E5">
        <w:rPr>
          <w:b/>
          <w:bCs/>
          <w:lang w:val="sl-SI"/>
        </w:rPr>
        <w:t>upravičencev</w:t>
      </w:r>
      <w:r w:rsidR="005C17E5" w:rsidRPr="005C17E5">
        <w:rPr>
          <w:b/>
          <w:bCs/>
          <w:lang w:val="sl-SI"/>
        </w:rPr>
        <w:t xml:space="preserve"> A</w:t>
      </w:r>
      <w:r w:rsidR="00402A80">
        <w:rPr>
          <w:lang w:val="sl-SI"/>
        </w:rPr>
        <w:t xml:space="preserve">, to so </w:t>
      </w:r>
      <w:r w:rsidR="00402A80" w:rsidRPr="00D46049">
        <w:rPr>
          <w:lang w:val="sl-SI"/>
        </w:rPr>
        <w:t>prejemniki sredstev iz javnih razpisov za sofinanciranje energetske prenove stavb v lasti in rabi lokalnih skupnosti</w:t>
      </w:r>
      <w:r w:rsidR="00643095">
        <w:rPr>
          <w:lang w:val="sl-SI"/>
        </w:rPr>
        <w:t xml:space="preserve"> (</w:t>
      </w:r>
      <w:proofErr w:type="spellStart"/>
      <w:r w:rsidR="00643095">
        <w:rPr>
          <w:lang w:val="sl-SI"/>
        </w:rPr>
        <w:t>t.i</w:t>
      </w:r>
      <w:proofErr w:type="spellEnd"/>
      <w:r w:rsidR="00643095">
        <w:rPr>
          <w:lang w:val="sl-SI"/>
        </w:rPr>
        <w:t>. JOB)</w:t>
      </w:r>
      <w:r w:rsidR="00402A80">
        <w:rPr>
          <w:lang w:val="sl-SI"/>
        </w:rPr>
        <w:t>.</w:t>
      </w:r>
      <w:r w:rsidR="001C3D43" w:rsidRPr="001C3D43">
        <w:rPr>
          <w:lang w:val="sl-SI"/>
        </w:rPr>
        <w:t xml:space="preserve"> </w:t>
      </w:r>
      <w:r w:rsidR="001C3D43">
        <w:rPr>
          <w:lang w:val="sl-SI"/>
        </w:rPr>
        <w:t xml:space="preserve">Anketni vprašalnik je služil tudi za pripravo strukturiranih intervjujev, da smo lahko v nadaljevanju primerjali izkušnje </w:t>
      </w:r>
      <w:r w:rsidR="008444E1" w:rsidRPr="00D46049">
        <w:rPr>
          <w:lang w:val="sl-SI"/>
        </w:rPr>
        <w:t>med upravičenci A in B.</w:t>
      </w:r>
      <w:r w:rsidR="00CF397B">
        <w:rPr>
          <w:lang w:val="sl-SI"/>
        </w:rPr>
        <w:t xml:space="preserve"> Anketni vprašalnik je v prilogi poročila.</w:t>
      </w:r>
      <w:r w:rsidR="00EA7AD3">
        <w:rPr>
          <w:lang w:val="sl-SI"/>
        </w:rPr>
        <w:t xml:space="preserve"> </w:t>
      </w:r>
    </w:p>
    <w:p w14:paraId="40ACDF78" w14:textId="4D0263B8" w:rsidR="00D05739" w:rsidRDefault="008444E1" w:rsidP="00854CB0">
      <w:pPr>
        <w:rPr>
          <w:lang w:val="sl-SI"/>
        </w:rPr>
      </w:pPr>
      <w:r w:rsidRPr="008444E1">
        <w:rPr>
          <w:b/>
          <w:bCs/>
          <w:lang w:val="sl-SI"/>
        </w:rPr>
        <w:t>Upravičenci B</w:t>
      </w:r>
      <w:r>
        <w:rPr>
          <w:lang w:val="sl-SI"/>
        </w:rPr>
        <w:t xml:space="preserve"> so </w:t>
      </w:r>
      <w:r w:rsidR="00275F34">
        <w:rPr>
          <w:lang w:val="sl-SI"/>
        </w:rPr>
        <w:t xml:space="preserve">prejemniki sredstev iz povabil </w:t>
      </w:r>
      <w:r w:rsidR="00FE1C47">
        <w:rPr>
          <w:lang w:val="sl-SI"/>
        </w:rPr>
        <w:t>nosilnega posredniškega organa. S slednjimi smo izvedli s</w:t>
      </w:r>
      <w:r w:rsidR="00D434B2">
        <w:rPr>
          <w:lang w:val="sl-SI"/>
        </w:rPr>
        <w:t>trukturirane intervjuje</w:t>
      </w:r>
      <w:r w:rsidR="00FE1C47">
        <w:rPr>
          <w:lang w:val="sl-SI"/>
        </w:rPr>
        <w:t xml:space="preserve">, in sicer </w:t>
      </w:r>
      <w:r w:rsidR="00756ED4">
        <w:rPr>
          <w:lang w:val="sl-SI"/>
        </w:rPr>
        <w:t>d</w:t>
      </w:r>
      <w:r w:rsidR="00F874AE">
        <w:rPr>
          <w:lang w:val="sl-SI"/>
        </w:rPr>
        <w:t xml:space="preserve">o priprave končnega poročila </w:t>
      </w:r>
      <w:r w:rsidR="005B6178">
        <w:rPr>
          <w:lang w:val="sl-SI"/>
        </w:rPr>
        <w:t>z</w:t>
      </w:r>
      <w:r w:rsidR="00281D5C">
        <w:rPr>
          <w:lang w:val="sl-SI"/>
        </w:rPr>
        <w:t xml:space="preserve"> </w:t>
      </w:r>
      <w:r w:rsidR="005B6178">
        <w:rPr>
          <w:lang w:val="sl-SI"/>
        </w:rPr>
        <w:t>8</w:t>
      </w:r>
      <w:r w:rsidR="00281D5C">
        <w:rPr>
          <w:lang w:val="sl-SI"/>
        </w:rPr>
        <w:t xml:space="preserve"> ministrstvi</w:t>
      </w:r>
      <w:r w:rsidR="00F874AE">
        <w:rPr>
          <w:lang w:val="sl-SI"/>
        </w:rPr>
        <w:t>: M</w:t>
      </w:r>
      <w:r w:rsidR="00F52816" w:rsidRPr="00F52816">
        <w:rPr>
          <w:lang w:val="sl-SI"/>
        </w:rPr>
        <w:t xml:space="preserve">inistrstvo za okolje, podnebje in energijo </w:t>
      </w:r>
      <w:r w:rsidR="001D2C37">
        <w:rPr>
          <w:lang w:val="sl-SI"/>
        </w:rPr>
        <w:t xml:space="preserve">(MOPE) </w:t>
      </w:r>
      <w:r w:rsidR="00F52816">
        <w:rPr>
          <w:lang w:val="sl-SI"/>
        </w:rPr>
        <w:t xml:space="preserve">(prej </w:t>
      </w:r>
      <w:r w:rsidR="00D434B2">
        <w:rPr>
          <w:lang w:val="sl-SI"/>
        </w:rPr>
        <w:t>Ministrstv</w:t>
      </w:r>
      <w:r w:rsidR="00854CB0">
        <w:rPr>
          <w:lang w:val="sl-SI"/>
        </w:rPr>
        <w:t>o</w:t>
      </w:r>
      <w:r w:rsidR="00D434B2">
        <w:rPr>
          <w:lang w:val="sl-SI"/>
        </w:rPr>
        <w:t xml:space="preserve"> za in</w:t>
      </w:r>
      <w:r w:rsidR="00E2258A">
        <w:rPr>
          <w:lang w:val="sl-SI"/>
        </w:rPr>
        <w:t>frastrukturo</w:t>
      </w:r>
      <w:r w:rsidR="005C02CB">
        <w:rPr>
          <w:lang w:val="sl-SI"/>
        </w:rPr>
        <w:t>)</w:t>
      </w:r>
      <w:r w:rsidR="00F52816">
        <w:rPr>
          <w:lang w:val="sl-SI"/>
        </w:rPr>
        <w:t xml:space="preserve">, </w:t>
      </w:r>
      <w:r w:rsidR="00E2258A">
        <w:rPr>
          <w:lang w:val="sl-SI"/>
        </w:rPr>
        <w:t>Ministrstvo za pravosodje</w:t>
      </w:r>
      <w:r w:rsidR="0013425A">
        <w:rPr>
          <w:lang w:val="sl-SI"/>
        </w:rPr>
        <w:t xml:space="preserve"> (MP)</w:t>
      </w:r>
      <w:r w:rsidR="00E2258A">
        <w:rPr>
          <w:lang w:val="sl-SI"/>
        </w:rPr>
        <w:t>, Ministrstvo za javno upravo</w:t>
      </w:r>
      <w:r w:rsidR="0013425A">
        <w:rPr>
          <w:lang w:val="sl-SI"/>
        </w:rPr>
        <w:t xml:space="preserve"> (MJU)</w:t>
      </w:r>
      <w:r w:rsidR="00E2258A">
        <w:rPr>
          <w:lang w:val="sl-SI"/>
        </w:rPr>
        <w:t>, Ministrstvo za notranje zadeve</w:t>
      </w:r>
      <w:r w:rsidR="0013425A">
        <w:rPr>
          <w:lang w:val="sl-SI"/>
        </w:rPr>
        <w:t xml:space="preserve"> (MNZ)</w:t>
      </w:r>
      <w:r w:rsidR="00E2258A">
        <w:rPr>
          <w:lang w:val="sl-SI"/>
        </w:rPr>
        <w:t>, Ministrstvo za obrambo</w:t>
      </w:r>
      <w:r w:rsidR="0013425A">
        <w:rPr>
          <w:lang w:val="sl-SI"/>
        </w:rPr>
        <w:t xml:space="preserve"> (MORS)</w:t>
      </w:r>
      <w:r w:rsidR="00E2258A">
        <w:rPr>
          <w:lang w:val="sl-SI"/>
        </w:rPr>
        <w:t xml:space="preserve">, </w:t>
      </w:r>
      <w:r w:rsidR="00854CB0" w:rsidRPr="00854CB0">
        <w:rPr>
          <w:lang w:val="sl-SI"/>
        </w:rPr>
        <w:t>Ministrstvo za delo, družino, socialne zadeve in enake možnosti</w:t>
      </w:r>
      <w:r w:rsidR="001D2C37">
        <w:rPr>
          <w:lang w:val="sl-SI"/>
        </w:rPr>
        <w:t xml:space="preserve"> (MDDSZ)</w:t>
      </w:r>
      <w:r w:rsidR="00854CB0">
        <w:rPr>
          <w:lang w:val="sl-SI"/>
        </w:rPr>
        <w:t xml:space="preserve">, </w:t>
      </w:r>
      <w:r w:rsidR="00761715" w:rsidRPr="00761715">
        <w:rPr>
          <w:lang w:val="sl-SI"/>
        </w:rPr>
        <w:t xml:space="preserve">Ministrstvo za izobraževanje, </w:t>
      </w:r>
      <w:r w:rsidR="00761715" w:rsidRPr="00761715">
        <w:rPr>
          <w:lang w:val="sl-SI"/>
        </w:rPr>
        <w:lastRenderedPageBreak/>
        <w:t xml:space="preserve">znanost in šport </w:t>
      </w:r>
      <w:r w:rsidR="0013425A">
        <w:rPr>
          <w:lang w:val="sl-SI"/>
        </w:rPr>
        <w:t xml:space="preserve">(MIZŠ) </w:t>
      </w:r>
      <w:r w:rsidR="006C14A5">
        <w:rPr>
          <w:lang w:val="sl-SI"/>
        </w:rPr>
        <w:t>(</w:t>
      </w:r>
      <w:r w:rsidR="00C20BD4">
        <w:rPr>
          <w:lang w:val="sl-SI"/>
        </w:rPr>
        <w:t xml:space="preserve">po novem </w:t>
      </w:r>
      <w:r w:rsidR="00C20BD4" w:rsidRPr="00C20BD4">
        <w:rPr>
          <w:lang w:val="sl-SI"/>
        </w:rPr>
        <w:t>Ministrstvo za vzgojo in izobraževanje</w:t>
      </w:r>
      <w:r w:rsidR="00C20BD4">
        <w:rPr>
          <w:lang w:val="sl-SI"/>
        </w:rPr>
        <w:t xml:space="preserve"> in</w:t>
      </w:r>
      <w:r w:rsidR="00854CB0" w:rsidRPr="00854CB0">
        <w:rPr>
          <w:lang w:val="sl-SI"/>
        </w:rPr>
        <w:t xml:space="preserve"> </w:t>
      </w:r>
      <w:r w:rsidR="006C14A5" w:rsidRPr="006C14A5">
        <w:rPr>
          <w:lang w:val="sl-SI"/>
        </w:rPr>
        <w:t>Ministrstvo za visoko šolstvo, znanost in inovacije</w:t>
      </w:r>
      <w:r w:rsidR="00C20BD4">
        <w:rPr>
          <w:lang w:val="sl-SI"/>
        </w:rPr>
        <w:t>)</w:t>
      </w:r>
      <w:r w:rsidR="005B6178">
        <w:rPr>
          <w:lang w:val="sl-SI"/>
        </w:rPr>
        <w:t xml:space="preserve"> </w:t>
      </w:r>
      <w:r w:rsidR="00B05595">
        <w:rPr>
          <w:lang w:val="sl-SI"/>
        </w:rPr>
        <w:t>ter</w:t>
      </w:r>
      <w:r w:rsidR="005B6178">
        <w:rPr>
          <w:lang w:val="sl-SI"/>
        </w:rPr>
        <w:t xml:space="preserve"> Ministrstvo za zdravje (MZ)</w:t>
      </w:r>
      <w:r w:rsidR="006C14A5" w:rsidRPr="006C14A5">
        <w:rPr>
          <w:lang w:val="sl-SI"/>
        </w:rPr>
        <w:t xml:space="preserve">. </w:t>
      </w:r>
    </w:p>
    <w:p w14:paraId="5CD59CE7" w14:textId="77777777" w:rsidR="009378A1" w:rsidRDefault="009378A1" w:rsidP="00854CB0">
      <w:pPr>
        <w:rPr>
          <w:lang w:val="sl-SI"/>
        </w:rPr>
      </w:pPr>
    </w:p>
    <w:p w14:paraId="6E35BDB6" w14:textId="7D90003F" w:rsidR="00C30A06" w:rsidRPr="0058617C" w:rsidRDefault="00C30A06" w:rsidP="00C30A06">
      <w:pPr>
        <w:pStyle w:val="Naslov1"/>
        <w:rPr>
          <w:lang w:val="sl-SI"/>
        </w:rPr>
      </w:pPr>
      <w:bookmarkStart w:id="18" w:name="_Toc129003811"/>
      <w:bookmarkStart w:id="19" w:name="_Toc136287529"/>
      <w:r w:rsidRPr="0058617C">
        <w:rPr>
          <w:lang w:val="sl-SI"/>
        </w:rPr>
        <w:t>Ugotovitve vrednotenja</w:t>
      </w:r>
      <w:bookmarkEnd w:id="18"/>
      <w:bookmarkEnd w:id="19"/>
    </w:p>
    <w:p w14:paraId="347D9198" w14:textId="1D57C019" w:rsidR="0007604F" w:rsidRPr="0058617C" w:rsidRDefault="0007604F" w:rsidP="00CB1EA6">
      <w:pPr>
        <w:rPr>
          <w:lang w:val="sl-SI"/>
        </w:rPr>
      </w:pPr>
    </w:p>
    <w:p w14:paraId="190B5D29" w14:textId="4EDF8ECA" w:rsidR="00BA28DF" w:rsidRPr="0064207F" w:rsidRDefault="00D250D1" w:rsidP="004C3D6A">
      <w:pPr>
        <w:pStyle w:val="Naslov2"/>
        <w:rPr>
          <w:b/>
          <w:bCs/>
          <w:lang w:val="sl-SI"/>
        </w:rPr>
      </w:pPr>
      <w:bookmarkStart w:id="20" w:name="_Toc129003812"/>
      <w:bookmarkStart w:id="21" w:name="_Toc136287530"/>
      <w:r w:rsidRPr="0064207F">
        <w:rPr>
          <w:b/>
          <w:bCs/>
          <w:lang w:val="sl-SI"/>
        </w:rPr>
        <w:t>Kakšna je uspešnost in učinkovitost na ravni javnih razpisov kot celote (tudi v povezavi z ustreznostjo pripravljenosti razpisne dokumentacije in na ravni izbranih operacij - raven in kakovost doseganja rezultatov)?</w:t>
      </w:r>
      <w:bookmarkEnd w:id="20"/>
      <w:bookmarkEnd w:id="21"/>
    </w:p>
    <w:p w14:paraId="5050F3CD" w14:textId="77777777" w:rsidR="0094034A" w:rsidRDefault="0094034A" w:rsidP="00602376">
      <w:pPr>
        <w:rPr>
          <w:lang w:val="sl-SI"/>
        </w:rPr>
      </w:pPr>
    </w:p>
    <w:p w14:paraId="2FDD322B" w14:textId="08CA349C" w:rsidR="00602376" w:rsidRDefault="009651A1" w:rsidP="00602376">
      <w:pPr>
        <w:rPr>
          <w:lang w:val="sl-SI"/>
        </w:rPr>
      </w:pPr>
      <w:r w:rsidRPr="0058617C">
        <w:rPr>
          <w:noProof/>
          <w:lang w:val="sl-SI"/>
        </w:rPr>
        <w:drawing>
          <wp:anchor distT="0" distB="0" distL="114300" distR="114300" simplePos="0" relativeHeight="251658246" behindDoc="1" locked="0" layoutInCell="1" allowOverlap="1" wp14:anchorId="46ED760E" wp14:editId="2C11A4C3">
            <wp:simplePos x="0" y="0"/>
            <wp:positionH relativeFrom="column">
              <wp:posOffset>-428625</wp:posOffset>
            </wp:positionH>
            <wp:positionV relativeFrom="paragraph">
              <wp:posOffset>140970</wp:posOffset>
            </wp:positionV>
            <wp:extent cx="324000" cy="324000"/>
            <wp:effectExtent l="0" t="0" r="6350" b="0"/>
            <wp:wrapTight wrapText="bothSides">
              <wp:wrapPolygon edited="0">
                <wp:start x="1694" y="847"/>
                <wp:lineTo x="847" y="6776"/>
                <wp:lineTo x="847" y="16094"/>
                <wp:lineTo x="2541" y="20329"/>
                <wp:lineTo x="19482" y="20329"/>
                <wp:lineTo x="21176" y="8471"/>
                <wp:lineTo x="19482" y="3388"/>
                <wp:lineTo x="16094" y="847"/>
                <wp:lineTo x="1694" y="847"/>
              </wp:wrapPolygon>
            </wp:wrapTight>
            <wp:docPr id="2" name="Grafika 2" descr="Tic Tac To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ic Tac Toe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32CA5410" w14:textId="3077EDFC" w:rsidR="00BA28DF" w:rsidRPr="0058617C" w:rsidRDefault="00DC5576" w:rsidP="00794E6E">
      <w:pPr>
        <w:pStyle w:val="Naslov3"/>
      </w:pPr>
      <w:bookmarkStart w:id="22" w:name="_Toc129003813"/>
      <w:bookmarkStart w:id="23" w:name="_Toc129031853"/>
      <w:bookmarkStart w:id="24" w:name="_Toc131352113"/>
      <w:bookmarkStart w:id="25" w:name="_Toc131458155"/>
      <w:bookmarkStart w:id="26" w:name="_Toc136287531"/>
      <w:r w:rsidRPr="0058617C">
        <w:t>Pristop in metodološka orodja</w:t>
      </w:r>
      <w:bookmarkEnd w:id="22"/>
      <w:bookmarkEnd w:id="23"/>
      <w:bookmarkEnd w:id="24"/>
      <w:bookmarkEnd w:id="25"/>
      <w:bookmarkEnd w:id="26"/>
    </w:p>
    <w:p w14:paraId="535ED50B" w14:textId="3AABD1C3" w:rsidR="00602376" w:rsidRPr="0058617C" w:rsidRDefault="00602376" w:rsidP="00ED1F54">
      <w:pPr>
        <w:rPr>
          <w:lang w:val="sl-SI"/>
        </w:rPr>
      </w:pPr>
      <w:r w:rsidRPr="0058617C">
        <w:rPr>
          <w:lang w:val="sl-SI"/>
        </w:rPr>
        <w:t xml:space="preserve">Odgovori na navedeno vprašanje so pridobljeni  z uporabo metodološkega orodja »analiza dokumentacije«. Za pridobitev relevantnih podatkov </w:t>
      </w:r>
      <w:r w:rsidR="00A72902">
        <w:rPr>
          <w:lang w:val="sl-SI"/>
        </w:rPr>
        <w:t>smo</w:t>
      </w:r>
      <w:r w:rsidRPr="0058617C">
        <w:rPr>
          <w:lang w:val="sl-SI"/>
        </w:rPr>
        <w:t xml:space="preserve"> pregledal</w:t>
      </w:r>
      <w:r w:rsidR="00A72902">
        <w:rPr>
          <w:lang w:val="sl-SI"/>
        </w:rPr>
        <w:t>i</w:t>
      </w:r>
      <w:r w:rsidRPr="0058617C">
        <w:rPr>
          <w:lang w:val="sl-SI"/>
        </w:rPr>
        <w:t xml:space="preserve"> vse ključne dokumente:</w:t>
      </w:r>
    </w:p>
    <w:p w14:paraId="4E38502F" w14:textId="7F20B8AD" w:rsidR="00AB48F2" w:rsidRPr="0058617C" w:rsidRDefault="00602376" w:rsidP="00602376">
      <w:pPr>
        <w:pStyle w:val="Odstavekseznama"/>
        <w:numPr>
          <w:ilvl w:val="0"/>
          <w:numId w:val="17"/>
        </w:numPr>
        <w:rPr>
          <w:lang w:val="sl-SI"/>
        </w:rPr>
      </w:pPr>
      <w:r w:rsidRPr="0058617C">
        <w:rPr>
          <w:lang w:val="sl-SI"/>
        </w:rPr>
        <w:t>Navodila in usmeritve (Navodila in tehnične usmeritve za energetsko prenovo javnih stavb, Navodila za delo posredniških organov in upravičencev pri ukrepu energetske prenove stavb javnega sektorja, Podrobnejše usmeritve javnim partnerjem pri ukrepu energetske prenove stavb javnega sektorja, Priročnik upravičenih stroškov pri ukrepu energetske prenove stavb javnega sektorja);</w:t>
      </w:r>
    </w:p>
    <w:p w14:paraId="0D3013B6" w14:textId="3D541A9A" w:rsidR="00602376" w:rsidRDefault="00602376" w:rsidP="00602376">
      <w:pPr>
        <w:pStyle w:val="Odstavekseznama"/>
        <w:numPr>
          <w:ilvl w:val="0"/>
          <w:numId w:val="17"/>
        </w:numPr>
        <w:rPr>
          <w:lang w:val="sl-SI"/>
        </w:rPr>
      </w:pPr>
      <w:r w:rsidRPr="0058617C">
        <w:rPr>
          <w:lang w:val="sl-SI"/>
        </w:rPr>
        <w:t>Razpise (JOB 2016, JOB 2017, JOB 2018, JOB 2019, JOB 2020, JOB 2021)</w:t>
      </w:r>
      <w:r w:rsidR="003C1ABB">
        <w:rPr>
          <w:lang w:val="sl-SI"/>
        </w:rPr>
        <w:t>;</w:t>
      </w:r>
    </w:p>
    <w:p w14:paraId="66179E85" w14:textId="77777777" w:rsidR="003C1ABB" w:rsidRDefault="003C1ABB" w:rsidP="003C1ABB">
      <w:pPr>
        <w:pStyle w:val="Odstavekseznama"/>
        <w:numPr>
          <w:ilvl w:val="0"/>
          <w:numId w:val="17"/>
        </w:numPr>
        <w:rPr>
          <w:lang w:val="sl-SI"/>
        </w:rPr>
      </w:pPr>
      <w:r w:rsidRPr="0058617C">
        <w:rPr>
          <w:lang w:val="sl-SI"/>
        </w:rPr>
        <w:t>Povabila nosilnega posredniškega organa za operacije sofinanciranja energetske prenove javnih stavb ožjega in širšega javnega sektorja (OJS 2016, ŠJS 2016, OJS 2017, ŠJS 2017, OJS 2018, ŠJS 2018, OJS 2019, ŠJS 2019, OJS 2020, ŠJS 2020, OJS 2021, ŠJS 2021)</w:t>
      </w:r>
      <w:r>
        <w:rPr>
          <w:lang w:val="sl-SI"/>
        </w:rPr>
        <w:t>.</w:t>
      </w:r>
    </w:p>
    <w:p w14:paraId="709C9912" w14:textId="3D51D050" w:rsidR="00EE0584" w:rsidRDefault="003C1ABB" w:rsidP="0026481F">
      <w:pPr>
        <w:rPr>
          <w:lang w:val="sl-SI"/>
        </w:rPr>
      </w:pPr>
      <w:r>
        <w:rPr>
          <w:lang w:val="sl-SI"/>
        </w:rPr>
        <w:t xml:space="preserve">Analizirali smo vloge, operacije ter </w:t>
      </w:r>
      <w:r w:rsidR="0026481F">
        <w:rPr>
          <w:lang w:val="sl-SI"/>
        </w:rPr>
        <w:t>doseganje</w:t>
      </w:r>
      <w:r>
        <w:rPr>
          <w:lang w:val="sl-SI"/>
        </w:rPr>
        <w:t xml:space="preserve"> kazalnik</w:t>
      </w:r>
      <w:r w:rsidR="004930E5">
        <w:rPr>
          <w:lang w:val="sl-SI"/>
        </w:rPr>
        <w:t xml:space="preserve">ov </w:t>
      </w:r>
      <w:r w:rsidR="0047407A">
        <w:rPr>
          <w:lang w:val="sl-SI"/>
        </w:rPr>
        <w:t xml:space="preserve">4.41 in 4.51 </w:t>
      </w:r>
      <w:r w:rsidR="0026481F">
        <w:rPr>
          <w:lang w:val="sl-SI"/>
        </w:rPr>
        <w:t xml:space="preserve">iz OP. Poleg navedenega smo </w:t>
      </w:r>
      <w:r w:rsidR="00EE0584">
        <w:rPr>
          <w:lang w:val="sl-SI"/>
        </w:rPr>
        <w:t xml:space="preserve">uspešnost in učinkovitost </w:t>
      </w:r>
      <w:r w:rsidR="0026481F">
        <w:rPr>
          <w:lang w:val="sl-SI"/>
        </w:rPr>
        <w:t xml:space="preserve">presojali </w:t>
      </w:r>
      <w:r w:rsidR="00995E14">
        <w:rPr>
          <w:lang w:val="sl-SI"/>
        </w:rPr>
        <w:t xml:space="preserve">še </w:t>
      </w:r>
      <w:r w:rsidR="0026481F">
        <w:rPr>
          <w:lang w:val="sl-SI"/>
        </w:rPr>
        <w:t>s pomočjo anketn</w:t>
      </w:r>
      <w:r w:rsidR="003012DD">
        <w:rPr>
          <w:lang w:val="sl-SI"/>
        </w:rPr>
        <w:t xml:space="preserve">ega </w:t>
      </w:r>
      <w:r w:rsidR="0026481F">
        <w:rPr>
          <w:lang w:val="sl-SI"/>
        </w:rPr>
        <w:t>vprašalnik</w:t>
      </w:r>
      <w:r w:rsidR="003012DD">
        <w:rPr>
          <w:lang w:val="sl-SI"/>
        </w:rPr>
        <w:t>a</w:t>
      </w:r>
      <w:r w:rsidR="0026481F">
        <w:rPr>
          <w:lang w:val="sl-SI"/>
        </w:rPr>
        <w:t xml:space="preserve"> in </w:t>
      </w:r>
      <w:r w:rsidR="003012DD">
        <w:rPr>
          <w:lang w:val="sl-SI"/>
        </w:rPr>
        <w:t xml:space="preserve">strukturiranih intervjujev. </w:t>
      </w:r>
    </w:p>
    <w:p w14:paraId="24052ED6" w14:textId="2673482D" w:rsidR="003012DD" w:rsidRDefault="003012DD" w:rsidP="0026481F">
      <w:pPr>
        <w:rPr>
          <w:lang w:val="sl-SI"/>
        </w:rPr>
      </w:pPr>
      <w:r>
        <w:rPr>
          <w:lang w:val="sl-SI"/>
        </w:rPr>
        <w:t>Čeprav se vprašanje nanaša na javne razpise, ne pa tudi povabil</w:t>
      </w:r>
      <w:r w:rsidR="00935F7A">
        <w:rPr>
          <w:lang w:val="sl-SI"/>
        </w:rPr>
        <w:t>a</w:t>
      </w:r>
      <w:r>
        <w:rPr>
          <w:lang w:val="sl-SI"/>
        </w:rPr>
        <w:t xml:space="preserve">, smo zaradi celovitosti pregleda uspešnosti in učinkovitosti </w:t>
      </w:r>
      <w:r w:rsidR="00935F7A">
        <w:rPr>
          <w:lang w:val="sl-SI"/>
        </w:rPr>
        <w:t>obravnavali vse operacije in vse upravičence</w:t>
      </w:r>
      <w:r w:rsidR="00995E14">
        <w:rPr>
          <w:lang w:val="sl-SI"/>
        </w:rPr>
        <w:t>, ne glede na način izvajanja</w:t>
      </w:r>
      <w:r w:rsidR="00935F7A">
        <w:rPr>
          <w:lang w:val="sl-SI"/>
        </w:rPr>
        <w:t>.</w:t>
      </w:r>
    </w:p>
    <w:p w14:paraId="67020024" w14:textId="56D2ECAD" w:rsidR="00ED1F54" w:rsidRPr="0058617C" w:rsidRDefault="00D05074" w:rsidP="00416ED7">
      <w:pPr>
        <w:ind w:left="1440"/>
        <w:rPr>
          <w:lang w:val="sl-SI"/>
        </w:rPr>
      </w:pPr>
      <w:r w:rsidRPr="0058617C">
        <w:rPr>
          <w:noProof/>
          <w:lang w:val="sl-SI"/>
        </w:rPr>
        <w:drawing>
          <wp:anchor distT="0" distB="0" distL="114300" distR="114300" simplePos="0" relativeHeight="251658247" behindDoc="1" locked="0" layoutInCell="1" allowOverlap="1" wp14:anchorId="2EFAB85A" wp14:editId="2AE43C46">
            <wp:simplePos x="0" y="0"/>
            <wp:positionH relativeFrom="column">
              <wp:posOffset>-455930</wp:posOffset>
            </wp:positionH>
            <wp:positionV relativeFrom="paragraph">
              <wp:posOffset>168275</wp:posOffset>
            </wp:positionV>
            <wp:extent cx="323850" cy="323850"/>
            <wp:effectExtent l="0" t="0" r="0" b="0"/>
            <wp:wrapTight wrapText="bothSides">
              <wp:wrapPolygon edited="0">
                <wp:start x="2541" y="847"/>
                <wp:lineTo x="2541" y="18635"/>
                <wp:lineTo x="3388" y="20329"/>
                <wp:lineTo x="19482" y="20329"/>
                <wp:lineTo x="19482" y="847"/>
                <wp:lineTo x="2541" y="847"/>
              </wp:wrapPolygon>
            </wp:wrapTight>
            <wp:docPr id="9" name="Grafika 9" descr="Play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layboo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p w14:paraId="60C58ACB" w14:textId="1A2A982A" w:rsidR="002E038F" w:rsidRPr="004C3D6A" w:rsidRDefault="002E038F" w:rsidP="00890189">
      <w:pPr>
        <w:rPr>
          <w:b/>
          <w:bCs/>
          <w:color w:val="0A131B" w:themeColor="text2"/>
          <w:lang w:val="sl-SI"/>
        </w:rPr>
      </w:pPr>
      <w:bookmarkStart w:id="27" w:name="_Toc129003814"/>
      <w:r w:rsidRPr="004C3D6A">
        <w:rPr>
          <w:b/>
          <w:bCs/>
          <w:color w:val="0A131B" w:themeColor="text2"/>
          <w:lang w:val="sl-SI"/>
        </w:rPr>
        <w:t>Ključne ugotovitve</w:t>
      </w:r>
      <w:r w:rsidR="00B760BA" w:rsidRPr="004C3D6A">
        <w:rPr>
          <w:b/>
          <w:bCs/>
          <w:color w:val="0A131B" w:themeColor="text2"/>
          <w:lang w:val="sl-SI"/>
        </w:rPr>
        <w:t xml:space="preserve"> in odgovor na vprašanje vrednotenja</w:t>
      </w:r>
      <w:bookmarkEnd w:id="27"/>
      <w:r w:rsidRPr="004C3D6A">
        <w:rPr>
          <w:b/>
          <w:bCs/>
          <w:color w:val="0A131B" w:themeColor="text2"/>
          <w:lang w:val="sl-SI"/>
        </w:rPr>
        <w:t xml:space="preserve"> </w:t>
      </w:r>
    </w:p>
    <w:p w14:paraId="52931D16" w14:textId="533F6D59" w:rsidR="00131D51" w:rsidRDefault="00131D51" w:rsidP="00935F7A">
      <w:pPr>
        <w:rPr>
          <w:lang w:val="sl-SI"/>
        </w:rPr>
      </w:pPr>
      <w:r>
        <w:rPr>
          <w:lang w:val="sl-SI"/>
        </w:rPr>
        <w:t xml:space="preserve">V obdobju od prvega javnega razpisa </w:t>
      </w:r>
      <w:r w:rsidR="00115790">
        <w:rPr>
          <w:lang w:val="sl-SI"/>
        </w:rPr>
        <w:t>in povabila nosilnega posredniškega organa je bilo izvedenih:</w:t>
      </w:r>
    </w:p>
    <w:p w14:paraId="5D384969" w14:textId="18147A0C" w:rsidR="00115790" w:rsidRDefault="00115790" w:rsidP="00115790">
      <w:pPr>
        <w:pStyle w:val="Odstavekseznama"/>
        <w:numPr>
          <w:ilvl w:val="0"/>
          <w:numId w:val="31"/>
        </w:numPr>
        <w:rPr>
          <w:lang w:val="sl-SI"/>
        </w:rPr>
      </w:pPr>
      <w:r>
        <w:rPr>
          <w:lang w:val="sl-SI"/>
        </w:rPr>
        <w:t xml:space="preserve">6 javnih razpisov </w:t>
      </w:r>
      <w:r w:rsidR="00791C38">
        <w:rPr>
          <w:lang w:val="sl-SI"/>
        </w:rPr>
        <w:t>JOB</w:t>
      </w:r>
    </w:p>
    <w:p w14:paraId="22AA4DD4" w14:textId="53EA1484" w:rsidR="00791C38" w:rsidRDefault="00C629F0" w:rsidP="00115790">
      <w:pPr>
        <w:pStyle w:val="Odstavekseznama"/>
        <w:numPr>
          <w:ilvl w:val="0"/>
          <w:numId w:val="31"/>
        </w:numPr>
        <w:rPr>
          <w:lang w:val="sl-SI"/>
        </w:rPr>
      </w:pPr>
      <w:r>
        <w:rPr>
          <w:lang w:val="sl-SI"/>
        </w:rPr>
        <w:t>13 povabil posredniškim organom.</w:t>
      </w:r>
    </w:p>
    <w:p w14:paraId="2133B3B7" w14:textId="77777777" w:rsidR="00CF397B" w:rsidRDefault="00C629F0" w:rsidP="00935F7A">
      <w:pPr>
        <w:rPr>
          <w:lang w:val="sl-SI"/>
        </w:rPr>
      </w:pPr>
      <w:r>
        <w:rPr>
          <w:lang w:val="sl-SI"/>
        </w:rPr>
        <w:t xml:space="preserve">Na </w:t>
      </w:r>
      <w:r w:rsidRPr="00AC3840">
        <w:rPr>
          <w:b/>
          <w:bCs/>
          <w:lang w:val="sl-SI"/>
        </w:rPr>
        <w:t>razpise JOB</w:t>
      </w:r>
      <w:r>
        <w:rPr>
          <w:lang w:val="sl-SI"/>
        </w:rPr>
        <w:t xml:space="preserve"> se je prijavilo </w:t>
      </w:r>
      <w:r w:rsidR="00F8252A" w:rsidRPr="005946DA">
        <w:rPr>
          <w:b/>
          <w:bCs/>
          <w:lang w:val="sl-SI"/>
        </w:rPr>
        <w:t xml:space="preserve">70 občin </w:t>
      </w:r>
      <w:r w:rsidR="003D29EE" w:rsidRPr="005946DA">
        <w:rPr>
          <w:b/>
          <w:bCs/>
          <w:lang w:val="sl-SI"/>
        </w:rPr>
        <w:t>z 98 operacijami/projekti</w:t>
      </w:r>
      <w:r w:rsidR="00242E31">
        <w:rPr>
          <w:lang w:val="sl-SI"/>
        </w:rPr>
        <w:t xml:space="preserve"> (</w:t>
      </w:r>
      <w:r w:rsidR="008C1D4E">
        <w:rPr>
          <w:lang w:val="sl-SI"/>
        </w:rPr>
        <w:t>izključili smo</w:t>
      </w:r>
      <w:r w:rsidR="00EB7D62">
        <w:rPr>
          <w:lang w:val="sl-SI"/>
        </w:rPr>
        <w:t xml:space="preserve"> ukinjen</w:t>
      </w:r>
      <w:r w:rsidR="008C1D4E">
        <w:rPr>
          <w:lang w:val="sl-SI"/>
        </w:rPr>
        <w:t>e</w:t>
      </w:r>
      <w:r w:rsidR="00EB7D62">
        <w:rPr>
          <w:lang w:val="sl-SI"/>
        </w:rPr>
        <w:t xml:space="preserve"> operacij</w:t>
      </w:r>
      <w:r w:rsidR="008C1D4E">
        <w:rPr>
          <w:lang w:val="sl-SI"/>
        </w:rPr>
        <w:t>e</w:t>
      </w:r>
      <w:r w:rsidR="00EB7D62">
        <w:rPr>
          <w:lang w:val="sl-SI"/>
        </w:rPr>
        <w:t>)</w:t>
      </w:r>
      <w:r w:rsidR="003D29EE">
        <w:rPr>
          <w:lang w:val="sl-SI"/>
        </w:rPr>
        <w:t xml:space="preserve">. </w:t>
      </w:r>
      <w:r w:rsidR="00CF397B">
        <w:rPr>
          <w:lang w:val="sl-SI"/>
        </w:rPr>
        <w:t xml:space="preserve">V sistemu </w:t>
      </w:r>
      <w:proofErr w:type="spellStart"/>
      <w:r w:rsidR="00CF397B">
        <w:rPr>
          <w:lang w:val="sl-SI"/>
        </w:rPr>
        <w:t>eMA</w:t>
      </w:r>
      <w:proofErr w:type="spellEnd"/>
      <w:r w:rsidR="00CF397B">
        <w:rPr>
          <w:lang w:val="sl-SI"/>
        </w:rPr>
        <w:t xml:space="preserve"> je </w:t>
      </w:r>
      <w:r w:rsidR="009D2CD1">
        <w:rPr>
          <w:lang w:val="sl-SI"/>
        </w:rPr>
        <w:t xml:space="preserve">20 </w:t>
      </w:r>
      <w:r w:rsidR="00CF397B">
        <w:rPr>
          <w:lang w:val="sl-SI"/>
        </w:rPr>
        <w:t xml:space="preserve">operacij </w:t>
      </w:r>
      <w:r w:rsidR="009D2CD1">
        <w:rPr>
          <w:lang w:val="sl-SI"/>
        </w:rPr>
        <w:t>zaključenih</w:t>
      </w:r>
      <w:r w:rsidR="00845CC6">
        <w:rPr>
          <w:lang w:val="sl-SI"/>
        </w:rPr>
        <w:t xml:space="preserve"> (status: </w:t>
      </w:r>
      <w:r w:rsidR="00CC216F">
        <w:rPr>
          <w:lang w:val="sl-SI"/>
        </w:rPr>
        <w:t xml:space="preserve">zaključen, finančno zaključen, konec spremljanja), </w:t>
      </w:r>
      <w:r w:rsidR="00414614">
        <w:rPr>
          <w:lang w:val="sl-SI"/>
        </w:rPr>
        <w:t xml:space="preserve">17 pa </w:t>
      </w:r>
      <w:r w:rsidR="00CF397B">
        <w:rPr>
          <w:lang w:val="sl-SI"/>
        </w:rPr>
        <w:t xml:space="preserve">jih </w:t>
      </w:r>
      <w:r w:rsidR="005946DA">
        <w:rPr>
          <w:lang w:val="sl-SI"/>
        </w:rPr>
        <w:t xml:space="preserve">je </w:t>
      </w:r>
      <w:r w:rsidR="00EC5EAB">
        <w:rPr>
          <w:lang w:val="sl-SI"/>
        </w:rPr>
        <w:t>v statusu PZO preverjanje</w:t>
      </w:r>
      <w:r w:rsidR="005946DA">
        <w:rPr>
          <w:lang w:val="sl-SI"/>
        </w:rPr>
        <w:t xml:space="preserve"> (</w:t>
      </w:r>
      <w:r w:rsidR="003B78B5">
        <w:rPr>
          <w:lang w:val="sl-SI"/>
        </w:rPr>
        <w:t xml:space="preserve">v pripravi oziroma potrjevanju </w:t>
      </w:r>
      <w:r w:rsidR="005946DA">
        <w:rPr>
          <w:lang w:val="sl-SI"/>
        </w:rPr>
        <w:t xml:space="preserve">je </w:t>
      </w:r>
      <w:r w:rsidR="003B78B5">
        <w:rPr>
          <w:lang w:val="sl-SI"/>
        </w:rPr>
        <w:t>Poročilo o zaključku operacije</w:t>
      </w:r>
      <w:r w:rsidR="005946DA">
        <w:rPr>
          <w:lang w:val="sl-SI"/>
        </w:rPr>
        <w:t>)</w:t>
      </w:r>
      <w:r w:rsidR="003B78B5">
        <w:rPr>
          <w:lang w:val="sl-SI"/>
        </w:rPr>
        <w:t xml:space="preserve">. Slednje pomeni, da </w:t>
      </w:r>
      <w:r w:rsidR="00DB15DC">
        <w:rPr>
          <w:lang w:val="sl-SI"/>
        </w:rPr>
        <w:t xml:space="preserve">lahko štejemo, da je v času priprave končnega poročila </w:t>
      </w:r>
      <w:r w:rsidR="00DB15DC" w:rsidRPr="00077B7C">
        <w:rPr>
          <w:b/>
          <w:bCs/>
          <w:lang w:val="sl-SI"/>
        </w:rPr>
        <w:t xml:space="preserve">zaključenih skupaj 37 operacij, kar predstavlja </w:t>
      </w:r>
      <w:r w:rsidR="008369CE" w:rsidRPr="00077B7C">
        <w:rPr>
          <w:b/>
          <w:bCs/>
          <w:lang w:val="sl-SI"/>
        </w:rPr>
        <w:t>38% vseh operacij</w:t>
      </w:r>
      <w:r w:rsidR="008369CE">
        <w:rPr>
          <w:lang w:val="sl-SI"/>
        </w:rPr>
        <w:t xml:space="preserve">. </w:t>
      </w:r>
      <w:r w:rsidR="005946DA">
        <w:rPr>
          <w:lang w:val="sl-SI"/>
        </w:rPr>
        <w:t xml:space="preserve">Naj pripomnimo, da </w:t>
      </w:r>
      <w:r w:rsidR="0004651A">
        <w:rPr>
          <w:lang w:val="sl-SI"/>
        </w:rPr>
        <w:t xml:space="preserve">se posamezni statusi PZO v </w:t>
      </w:r>
      <w:proofErr w:type="spellStart"/>
      <w:r w:rsidR="0004651A">
        <w:rPr>
          <w:lang w:val="sl-SI"/>
        </w:rPr>
        <w:t>eMA</w:t>
      </w:r>
      <w:proofErr w:type="spellEnd"/>
      <w:r w:rsidR="0004651A">
        <w:rPr>
          <w:lang w:val="sl-SI"/>
        </w:rPr>
        <w:t xml:space="preserve"> ne posodabljajo</w:t>
      </w:r>
      <w:r w:rsidR="00DF6159">
        <w:rPr>
          <w:lang w:val="sl-SI"/>
        </w:rPr>
        <w:t xml:space="preserve">, čeprav so bile posamezne operacije </w:t>
      </w:r>
      <w:r w:rsidR="009272F8">
        <w:rPr>
          <w:lang w:val="sl-SI"/>
        </w:rPr>
        <w:t xml:space="preserve">že </w:t>
      </w:r>
      <w:r w:rsidR="00DF6159">
        <w:rPr>
          <w:lang w:val="sl-SI"/>
        </w:rPr>
        <w:t>zaključene.</w:t>
      </w:r>
      <w:r w:rsidR="00077B7C">
        <w:rPr>
          <w:lang w:val="sl-SI"/>
        </w:rPr>
        <w:t xml:space="preserve"> </w:t>
      </w:r>
      <w:r w:rsidR="00077B7C" w:rsidRPr="00077B7C">
        <w:rPr>
          <w:lang w:val="sl-SI"/>
        </w:rPr>
        <w:t xml:space="preserve">Upravičenec/PO </w:t>
      </w:r>
      <w:r w:rsidR="00077B7C">
        <w:rPr>
          <w:lang w:val="sl-SI"/>
        </w:rPr>
        <w:t xml:space="preserve">mora v sistemu </w:t>
      </w:r>
      <w:proofErr w:type="spellStart"/>
      <w:r w:rsidR="00077B7C">
        <w:rPr>
          <w:lang w:val="sl-SI"/>
        </w:rPr>
        <w:t>eMA</w:t>
      </w:r>
      <w:proofErr w:type="spellEnd"/>
      <w:r w:rsidR="00077B7C">
        <w:rPr>
          <w:lang w:val="sl-SI"/>
        </w:rPr>
        <w:t xml:space="preserve"> </w:t>
      </w:r>
      <w:r w:rsidR="00077B7C" w:rsidRPr="00077B7C">
        <w:rPr>
          <w:lang w:val="sl-SI"/>
        </w:rPr>
        <w:t>preveri</w:t>
      </w:r>
      <w:r w:rsidR="00077B7C">
        <w:rPr>
          <w:lang w:val="sl-SI"/>
        </w:rPr>
        <w:t>ti</w:t>
      </w:r>
      <w:r w:rsidR="00077B7C" w:rsidRPr="00077B7C">
        <w:rPr>
          <w:lang w:val="sl-SI"/>
        </w:rPr>
        <w:t xml:space="preserve"> točnost in pravilnost podatkov PZO (PDF dokument in Excel priloga)</w:t>
      </w:r>
      <w:r w:rsidR="00077B7C">
        <w:rPr>
          <w:lang w:val="sl-SI"/>
        </w:rPr>
        <w:t xml:space="preserve">, </w:t>
      </w:r>
      <w:r w:rsidR="00077B7C" w:rsidRPr="00077B7C">
        <w:rPr>
          <w:lang w:val="sl-SI"/>
        </w:rPr>
        <w:t xml:space="preserve">PO </w:t>
      </w:r>
      <w:r w:rsidR="00077B7C">
        <w:rPr>
          <w:lang w:val="sl-SI"/>
        </w:rPr>
        <w:t xml:space="preserve">nato </w:t>
      </w:r>
      <w:r w:rsidR="00077B7C" w:rsidRPr="00077B7C">
        <w:rPr>
          <w:lang w:val="sl-SI"/>
        </w:rPr>
        <w:t>potrdi ter prestavi operacijo v status »Zaključen«.</w:t>
      </w:r>
      <w:r w:rsidR="00661CA3">
        <w:rPr>
          <w:lang w:val="sl-SI"/>
        </w:rPr>
        <w:t xml:space="preserve"> </w:t>
      </w:r>
    </w:p>
    <w:p w14:paraId="0917ABBA" w14:textId="1AD0C00C" w:rsidR="000C6096" w:rsidRDefault="00661CA3" w:rsidP="00935F7A">
      <w:pPr>
        <w:rPr>
          <w:lang w:val="sl-SI"/>
        </w:rPr>
      </w:pPr>
      <w:r>
        <w:rPr>
          <w:lang w:val="sl-SI"/>
        </w:rPr>
        <w:t>V dopolnitvi je 7</w:t>
      </w:r>
      <w:r w:rsidR="00CF397B">
        <w:rPr>
          <w:lang w:val="sl-SI"/>
        </w:rPr>
        <w:t xml:space="preserve"> operacij</w:t>
      </w:r>
      <w:r>
        <w:rPr>
          <w:lang w:val="sl-SI"/>
        </w:rPr>
        <w:t xml:space="preserve">, kar pomeni, da so </w:t>
      </w:r>
      <w:r w:rsidR="003D6CF0">
        <w:rPr>
          <w:lang w:val="sl-SI"/>
        </w:rPr>
        <w:t xml:space="preserve">prav tako v fazi pred zaključkom. </w:t>
      </w:r>
    </w:p>
    <w:p w14:paraId="2A1FFFDC" w14:textId="321E0F86" w:rsidR="00DF6159" w:rsidRDefault="00431C5D" w:rsidP="00935F7A">
      <w:pPr>
        <w:rPr>
          <w:lang w:val="sl-SI"/>
        </w:rPr>
      </w:pPr>
      <w:r>
        <w:rPr>
          <w:lang w:val="sl-SI"/>
        </w:rPr>
        <w:t xml:space="preserve">V izvrševanju je </w:t>
      </w:r>
      <w:r w:rsidR="00CF397B">
        <w:rPr>
          <w:lang w:val="sl-SI"/>
        </w:rPr>
        <w:t xml:space="preserve">še </w:t>
      </w:r>
      <w:r>
        <w:rPr>
          <w:lang w:val="sl-SI"/>
        </w:rPr>
        <w:t>43 operacij</w:t>
      </w:r>
      <w:r w:rsidR="003D6CF0">
        <w:rPr>
          <w:lang w:val="sl-SI"/>
        </w:rPr>
        <w:t xml:space="preserve">, v </w:t>
      </w:r>
      <w:r w:rsidR="00352020">
        <w:rPr>
          <w:lang w:val="sl-SI"/>
        </w:rPr>
        <w:t xml:space="preserve">pripravi pa </w:t>
      </w:r>
      <w:r w:rsidR="00CF397B">
        <w:rPr>
          <w:lang w:val="sl-SI"/>
        </w:rPr>
        <w:t xml:space="preserve">jih </w:t>
      </w:r>
      <w:r w:rsidR="003D6CF0">
        <w:rPr>
          <w:lang w:val="sl-SI"/>
        </w:rPr>
        <w:t xml:space="preserve">je </w:t>
      </w:r>
      <w:r w:rsidR="00352020">
        <w:rPr>
          <w:lang w:val="sl-SI"/>
        </w:rPr>
        <w:t>11</w:t>
      </w:r>
      <w:r w:rsidR="00CF397B">
        <w:rPr>
          <w:lang w:val="sl-SI"/>
        </w:rPr>
        <w:t xml:space="preserve">. </w:t>
      </w:r>
      <w:r w:rsidR="00352020">
        <w:rPr>
          <w:lang w:val="sl-SI"/>
        </w:rPr>
        <w:t xml:space="preserve"> </w:t>
      </w:r>
    </w:p>
    <w:p w14:paraId="3A86AB03" w14:textId="0F5AD350" w:rsidR="00CF2AC7" w:rsidRDefault="00446C61" w:rsidP="00935F7A">
      <w:pPr>
        <w:rPr>
          <w:lang w:val="sl-SI"/>
        </w:rPr>
      </w:pPr>
      <w:r>
        <w:rPr>
          <w:lang w:val="sl-SI"/>
        </w:rPr>
        <w:lastRenderedPageBreak/>
        <w:t xml:space="preserve">Analiza </w:t>
      </w:r>
      <w:r w:rsidR="004930E5">
        <w:rPr>
          <w:lang w:val="sl-SI"/>
        </w:rPr>
        <w:t xml:space="preserve">JOB </w:t>
      </w:r>
      <w:r>
        <w:rPr>
          <w:lang w:val="sl-SI"/>
        </w:rPr>
        <w:t>operacij</w:t>
      </w:r>
      <w:r w:rsidR="007B689E">
        <w:rPr>
          <w:lang w:val="sl-SI"/>
        </w:rPr>
        <w:t>/projektov</w:t>
      </w:r>
      <w:r>
        <w:rPr>
          <w:lang w:val="sl-SI"/>
        </w:rPr>
        <w:t xml:space="preserve"> </w:t>
      </w:r>
      <w:r w:rsidR="00C64008">
        <w:rPr>
          <w:lang w:val="sl-SI"/>
        </w:rPr>
        <w:t xml:space="preserve">(brez tistih, ki so še v statusu »v pripravi«) </w:t>
      </w:r>
      <w:r>
        <w:rPr>
          <w:lang w:val="sl-SI"/>
        </w:rPr>
        <w:t>in k</w:t>
      </w:r>
      <w:r w:rsidR="00273CF5">
        <w:rPr>
          <w:lang w:val="sl-SI"/>
        </w:rPr>
        <w:t>azalnik</w:t>
      </w:r>
      <w:r>
        <w:rPr>
          <w:lang w:val="sl-SI"/>
        </w:rPr>
        <w:t>a</w:t>
      </w:r>
      <w:r w:rsidR="00273CF5">
        <w:rPr>
          <w:lang w:val="sl-SI"/>
        </w:rPr>
        <w:t xml:space="preserve"> 4.41</w:t>
      </w:r>
      <w:r w:rsidR="00CF2AC7">
        <w:rPr>
          <w:lang w:val="sl-SI"/>
        </w:rPr>
        <w:t xml:space="preserve"> </w:t>
      </w:r>
      <w:r w:rsidR="00A263EF">
        <w:rPr>
          <w:lang w:val="sl-SI"/>
        </w:rPr>
        <w:t xml:space="preserve">– Skupna tlorisna površina energetsko prenovljenih stavb javnega sektorja (m2) </w:t>
      </w:r>
      <w:r w:rsidR="00CF2AC7">
        <w:rPr>
          <w:lang w:val="sl-SI"/>
        </w:rPr>
        <w:t>pokaže naslednje:</w:t>
      </w:r>
    </w:p>
    <w:p w14:paraId="16A302CF" w14:textId="138C3CFA" w:rsidR="00352020" w:rsidRDefault="00273CF5" w:rsidP="00935F7A">
      <w:pPr>
        <w:rPr>
          <w:lang w:val="sl-SI"/>
        </w:rPr>
      </w:pPr>
      <w:r>
        <w:rPr>
          <w:lang w:val="sl-SI"/>
        </w:rPr>
        <w:t xml:space="preserve"> </w:t>
      </w:r>
      <w:r w:rsidR="007B689E" w:rsidRPr="007B689E">
        <w:rPr>
          <w:noProof/>
        </w:rPr>
        <w:drawing>
          <wp:inline distT="0" distB="0" distL="0" distR="0" wp14:anchorId="61E9689D" wp14:editId="4A303598">
            <wp:extent cx="5731510" cy="1635760"/>
            <wp:effectExtent l="0" t="0" r="2540" b="254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635760"/>
                    </a:xfrm>
                    <a:prstGeom prst="rect">
                      <a:avLst/>
                    </a:prstGeom>
                    <a:noFill/>
                    <a:ln>
                      <a:noFill/>
                    </a:ln>
                  </pic:spPr>
                </pic:pic>
              </a:graphicData>
            </a:graphic>
          </wp:inline>
        </w:drawing>
      </w:r>
    </w:p>
    <w:p w14:paraId="7C103913" w14:textId="2728B0BD" w:rsidR="00FE1DAD" w:rsidRDefault="00FE1DAD" w:rsidP="00935F7A">
      <w:pPr>
        <w:rPr>
          <w:lang w:val="sl-SI"/>
        </w:rPr>
      </w:pPr>
    </w:p>
    <w:p w14:paraId="33FFC7D7" w14:textId="10E9006E" w:rsidR="007C2DA9" w:rsidRDefault="00CF397B" w:rsidP="00935F7A">
      <w:pPr>
        <w:rPr>
          <w:lang w:val="sl-SI"/>
        </w:rPr>
      </w:pPr>
      <w:r>
        <w:rPr>
          <w:lang w:val="sl-SI"/>
        </w:rPr>
        <w:t>N</w:t>
      </w:r>
      <w:r w:rsidR="0013425A">
        <w:rPr>
          <w:lang w:val="sl-SI"/>
        </w:rPr>
        <w:t>a</w:t>
      </w:r>
      <w:r>
        <w:rPr>
          <w:lang w:val="sl-SI"/>
        </w:rPr>
        <w:t xml:space="preserve"> </w:t>
      </w:r>
      <w:r w:rsidRPr="0013425A">
        <w:rPr>
          <w:b/>
          <w:bCs/>
          <w:lang w:val="sl-SI"/>
        </w:rPr>
        <w:t xml:space="preserve">povabila </w:t>
      </w:r>
      <w:r w:rsidR="00D578A9" w:rsidRPr="0013425A">
        <w:rPr>
          <w:b/>
          <w:bCs/>
          <w:lang w:val="sl-SI"/>
        </w:rPr>
        <w:t>nosilnega posredniškega organa</w:t>
      </w:r>
      <w:r w:rsidR="00D578A9">
        <w:rPr>
          <w:lang w:val="sl-SI"/>
        </w:rPr>
        <w:t xml:space="preserve"> </w:t>
      </w:r>
      <w:r w:rsidR="0013425A" w:rsidRPr="0013425A">
        <w:rPr>
          <w:lang w:val="sl-SI"/>
        </w:rPr>
        <w:t xml:space="preserve">za operacije sofinanciranja energetske prenove javnih stavb ožjega in širšega javnega sektorja </w:t>
      </w:r>
      <w:r w:rsidR="00D578A9">
        <w:rPr>
          <w:lang w:val="sl-SI"/>
        </w:rPr>
        <w:t>se je odzvalo</w:t>
      </w:r>
      <w:r w:rsidR="00E37180">
        <w:rPr>
          <w:lang w:val="sl-SI"/>
        </w:rPr>
        <w:t xml:space="preserve"> </w:t>
      </w:r>
      <w:r w:rsidR="00462582">
        <w:rPr>
          <w:lang w:val="sl-SI"/>
        </w:rPr>
        <w:t>7</w:t>
      </w:r>
      <w:r w:rsidR="00E37180">
        <w:rPr>
          <w:lang w:val="sl-SI"/>
        </w:rPr>
        <w:t xml:space="preserve"> ministrstev</w:t>
      </w:r>
      <w:r w:rsidR="00603334">
        <w:rPr>
          <w:lang w:val="sl-SI"/>
        </w:rPr>
        <w:t xml:space="preserve">. Vse skupaj </w:t>
      </w:r>
      <w:r w:rsidR="00FF14B9">
        <w:rPr>
          <w:lang w:val="sl-SI"/>
        </w:rPr>
        <w:t>63 vlog za neposredno potrditev operacij</w:t>
      </w:r>
      <w:r w:rsidR="00863FD6">
        <w:rPr>
          <w:lang w:val="sl-SI"/>
        </w:rPr>
        <w:t xml:space="preserve">, pri čemer je </w:t>
      </w:r>
      <w:r w:rsidR="00172C37">
        <w:rPr>
          <w:lang w:val="sl-SI"/>
        </w:rPr>
        <w:t>48 potrjenih, 9 jih je v pripravi/dopolnitvi, 1 v pregledu pri nosilnem posredniškem organu</w:t>
      </w:r>
      <w:r w:rsidR="00A85C0A">
        <w:rPr>
          <w:lang w:val="sl-SI"/>
        </w:rPr>
        <w:t xml:space="preserve">, 5 pa je bilo ukinjenih/zavrnjenih. V tem seznamu je tudi </w:t>
      </w:r>
      <w:r w:rsidR="00603334">
        <w:rPr>
          <w:lang w:val="sl-SI"/>
        </w:rPr>
        <w:t>vlog</w:t>
      </w:r>
      <w:r w:rsidR="00A85C0A">
        <w:rPr>
          <w:lang w:val="sl-SI"/>
        </w:rPr>
        <w:t>a</w:t>
      </w:r>
      <w:r w:rsidR="00603334">
        <w:rPr>
          <w:lang w:val="sl-SI"/>
        </w:rPr>
        <w:t xml:space="preserve"> za izvajanje finančnih instrumentov</w:t>
      </w:r>
      <w:r w:rsidR="00282C9C">
        <w:rPr>
          <w:lang w:val="sl-SI"/>
        </w:rPr>
        <w:t>, ki pa je v nadaljevanju ne obravnavamo več. Največ</w:t>
      </w:r>
      <w:r w:rsidR="005A7357">
        <w:rPr>
          <w:lang w:val="sl-SI"/>
        </w:rPr>
        <w:t xml:space="preserve"> potrjenih vlog </w:t>
      </w:r>
      <w:r w:rsidR="006C4B01">
        <w:rPr>
          <w:lang w:val="sl-SI"/>
        </w:rPr>
        <w:t>je imel</w:t>
      </w:r>
      <w:r w:rsidR="00625252">
        <w:rPr>
          <w:lang w:val="sl-SI"/>
        </w:rPr>
        <w:t>o</w:t>
      </w:r>
      <w:r w:rsidR="006C4B01">
        <w:rPr>
          <w:lang w:val="sl-SI"/>
        </w:rPr>
        <w:t xml:space="preserve"> v preteklem obdobju MIZŠ (</w:t>
      </w:r>
      <w:r w:rsidR="005A7357">
        <w:rPr>
          <w:lang w:val="sl-SI"/>
        </w:rPr>
        <w:t xml:space="preserve">pri čemer </w:t>
      </w:r>
      <w:r w:rsidR="006C4B01">
        <w:rPr>
          <w:lang w:val="sl-SI"/>
        </w:rPr>
        <w:t>nismo ločevali projektov na novo nastali ministrstvi)</w:t>
      </w:r>
      <w:r w:rsidR="005A7357">
        <w:rPr>
          <w:lang w:val="sl-SI"/>
        </w:rPr>
        <w:t xml:space="preserve"> (15)</w:t>
      </w:r>
      <w:r w:rsidR="006C4B01">
        <w:rPr>
          <w:lang w:val="sl-SI"/>
        </w:rPr>
        <w:t xml:space="preserve">, </w:t>
      </w:r>
      <w:r w:rsidR="005A7357">
        <w:rPr>
          <w:lang w:val="sl-SI"/>
        </w:rPr>
        <w:t>nato MZI (13), MZ (8), MDDSZ (6), MP (2), MJU (2)</w:t>
      </w:r>
      <w:r w:rsidR="00BB16A3">
        <w:rPr>
          <w:lang w:val="sl-SI"/>
        </w:rPr>
        <w:t xml:space="preserve"> in MK (1). Vloge na MZI vključujejo tudi projekte MORS in MNZ.</w:t>
      </w:r>
      <w:r w:rsidR="005212AD">
        <w:rPr>
          <w:lang w:val="sl-SI"/>
        </w:rPr>
        <w:t xml:space="preserve"> </w:t>
      </w:r>
    </w:p>
    <w:p w14:paraId="28F51C0C" w14:textId="76A242A4" w:rsidR="00BB16A3" w:rsidRDefault="007C2DA9" w:rsidP="00935F7A">
      <w:pPr>
        <w:rPr>
          <w:lang w:val="sl-SI"/>
        </w:rPr>
      </w:pPr>
      <w:r>
        <w:rPr>
          <w:lang w:val="sl-SI"/>
        </w:rPr>
        <w:t>Skupaj govorimo o 45 operacijah.</w:t>
      </w:r>
    </w:p>
    <w:p w14:paraId="3F9A9305" w14:textId="39F10156" w:rsidR="00282C9C" w:rsidRDefault="007E1ACB" w:rsidP="00935F7A">
      <w:pPr>
        <w:rPr>
          <w:lang w:val="sl-SI"/>
        </w:rPr>
      </w:pPr>
      <w:r>
        <w:rPr>
          <w:lang w:val="sl-SI"/>
        </w:rPr>
        <w:t>Realizirani so bili 3 pilotni projekti, ki sta jih izvedla MIZŠ in M</w:t>
      </w:r>
      <w:r w:rsidR="007C2DA9">
        <w:rPr>
          <w:lang w:val="sl-SI"/>
        </w:rPr>
        <w:t>P</w:t>
      </w:r>
      <w:r>
        <w:rPr>
          <w:lang w:val="sl-SI"/>
        </w:rPr>
        <w:t xml:space="preserve">. </w:t>
      </w:r>
    </w:p>
    <w:p w14:paraId="43CD81A2" w14:textId="4B9E79DE" w:rsidR="007E1ACB" w:rsidRDefault="00B34C9C" w:rsidP="00935F7A">
      <w:pPr>
        <w:rPr>
          <w:lang w:val="sl-SI"/>
        </w:rPr>
      </w:pPr>
      <w:r>
        <w:rPr>
          <w:lang w:val="sl-SI"/>
        </w:rPr>
        <w:t xml:space="preserve">V sklopu povabila za širši javni sektor </w:t>
      </w:r>
      <w:r w:rsidR="007C4064">
        <w:rPr>
          <w:lang w:val="sl-SI"/>
        </w:rPr>
        <w:t xml:space="preserve">je bilo v izvajanju </w:t>
      </w:r>
      <w:r w:rsidR="00DC5D56">
        <w:rPr>
          <w:lang w:val="sl-SI"/>
        </w:rPr>
        <w:t>34 projektov, pri čemer jih je 1</w:t>
      </w:r>
      <w:r w:rsidR="00096681">
        <w:rPr>
          <w:lang w:val="sl-SI"/>
        </w:rPr>
        <w:t>6</w:t>
      </w:r>
      <w:r w:rsidR="00DC5D56">
        <w:rPr>
          <w:lang w:val="sl-SI"/>
        </w:rPr>
        <w:t xml:space="preserve"> zaključenih, ostal</w:t>
      </w:r>
      <w:r w:rsidR="00365BEF">
        <w:rPr>
          <w:lang w:val="sl-SI"/>
        </w:rPr>
        <w:t>i</w:t>
      </w:r>
      <w:r w:rsidR="00DC5D56">
        <w:rPr>
          <w:lang w:val="sl-SI"/>
        </w:rPr>
        <w:t xml:space="preserve"> pa so še v izvajanju.</w:t>
      </w:r>
    </w:p>
    <w:p w14:paraId="61DB6477" w14:textId="2ED15E43" w:rsidR="00DC5D56" w:rsidRDefault="00DC5D56" w:rsidP="00935F7A">
      <w:pPr>
        <w:rPr>
          <w:lang w:val="sl-SI"/>
        </w:rPr>
      </w:pPr>
      <w:r>
        <w:rPr>
          <w:lang w:val="sl-SI"/>
        </w:rPr>
        <w:t xml:space="preserve">V sklopu povabila za </w:t>
      </w:r>
      <w:r w:rsidR="004A77C6">
        <w:rPr>
          <w:lang w:val="sl-SI"/>
        </w:rPr>
        <w:t xml:space="preserve">ožji javni sektor je bilo v izvajanju </w:t>
      </w:r>
      <w:r w:rsidR="005B5D53">
        <w:rPr>
          <w:lang w:val="sl-SI"/>
        </w:rPr>
        <w:t>8 projektov, pri čemer so 3 zaključeni.</w:t>
      </w:r>
    </w:p>
    <w:p w14:paraId="21596AED" w14:textId="1458AE2B" w:rsidR="00365BEF" w:rsidRDefault="00365BEF" w:rsidP="00365BEF">
      <w:pPr>
        <w:rPr>
          <w:lang w:val="sl-SI"/>
        </w:rPr>
      </w:pPr>
      <w:r>
        <w:rPr>
          <w:lang w:val="sl-SI"/>
        </w:rPr>
        <w:t xml:space="preserve">Analiza operacij/projektov </w:t>
      </w:r>
      <w:r w:rsidR="004930E5">
        <w:rPr>
          <w:lang w:val="sl-SI"/>
        </w:rPr>
        <w:t xml:space="preserve">iz povabil </w:t>
      </w:r>
      <w:r>
        <w:rPr>
          <w:lang w:val="sl-SI"/>
        </w:rPr>
        <w:t xml:space="preserve">in </w:t>
      </w:r>
      <w:r w:rsidR="004930E5">
        <w:rPr>
          <w:lang w:val="sl-SI"/>
        </w:rPr>
        <w:t xml:space="preserve">z njimi povezanega </w:t>
      </w:r>
      <w:r>
        <w:rPr>
          <w:lang w:val="sl-SI"/>
        </w:rPr>
        <w:t xml:space="preserve">kazalnika 4.41 – Skupna tlorisna površina energetsko prenovljenih stavb javnega sektorja (m2) ter </w:t>
      </w:r>
      <w:r w:rsidR="002E7E91">
        <w:rPr>
          <w:lang w:val="sl-SI"/>
        </w:rPr>
        <w:t xml:space="preserve">kazalnika </w:t>
      </w:r>
      <w:r>
        <w:rPr>
          <w:lang w:val="sl-SI"/>
        </w:rPr>
        <w:t xml:space="preserve">4.51 </w:t>
      </w:r>
      <w:r w:rsidR="00DC456B">
        <w:rPr>
          <w:lang w:val="sl-SI"/>
        </w:rPr>
        <w:t>–</w:t>
      </w:r>
      <w:r>
        <w:rPr>
          <w:lang w:val="sl-SI"/>
        </w:rPr>
        <w:t xml:space="preserve"> </w:t>
      </w:r>
      <w:r w:rsidR="00DC456B">
        <w:rPr>
          <w:lang w:val="sl-SI"/>
        </w:rPr>
        <w:t xml:space="preserve">Skupna tlorisna površina energetsko prenovljenih stavb v lasti in uporabi osrednje oz. ožje vlade </w:t>
      </w:r>
      <w:r>
        <w:rPr>
          <w:lang w:val="sl-SI"/>
        </w:rPr>
        <w:t>pokaže naslednje:</w:t>
      </w:r>
    </w:p>
    <w:p w14:paraId="4C7BB59C" w14:textId="77777777" w:rsidR="005B5D53" w:rsidRDefault="005B5D53" w:rsidP="00935F7A">
      <w:pPr>
        <w:rPr>
          <w:lang w:val="sl-SI"/>
        </w:rPr>
      </w:pPr>
    </w:p>
    <w:p w14:paraId="41445A5A" w14:textId="2C7887F1" w:rsidR="00AD2AED" w:rsidRDefault="00AD2AED" w:rsidP="00935F7A">
      <w:pPr>
        <w:rPr>
          <w:lang w:val="sl-SI"/>
        </w:rPr>
      </w:pPr>
      <w:r w:rsidRPr="00AD2AED">
        <w:rPr>
          <w:noProof/>
        </w:rPr>
        <w:drawing>
          <wp:inline distT="0" distB="0" distL="0" distR="0" wp14:anchorId="3C0A83D9" wp14:editId="367E486A">
            <wp:extent cx="5731510" cy="1386205"/>
            <wp:effectExtent l="0" t="0" r="2540" b="444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386205"/>
                    </a:xfrm>
                    <a:prstGeom prst="rect">
                      <a:avLst/>
                    </a:prstGeom>
                    <a:noFill/>
                    <a:ln>
                      <a:noFill/>
                    </a:ln>
                  </pic:spPr>
                </pic:pic>
              </a:graphicData>
            </a:graphic>
          </wp:inline>
        </w:drawing>
      </w:r>
    </w:p>
    <w:p w14:paraId="2D744FCC" w14:textId="77777777" w:rsidR="00E53E7A" w:rsidRDefault="00E53E7A" w:rsidP="00E53E7A">
      <w:pPr>
        <w:rPr>
          <w:lang w:val="sl-SI"/>
        </w:rPr>
      </w:pPr>
    </w:p>
    <w:p w14:paraId="0E513FA1" w14:textId="392F937B" w:rsidR="00E53E7A" w:rsidRDefault="00E53E7A" w:rsidP="00E53E7A">
      <w:pPr>
        <w:rPr>
          <w:lang w:val="sl-SI"/>
        </w:rPr>
      </w:pPr>
      <w:r>
        <w:rPr>
          <w:lang w:val="sl-SI"/>
        </w:rPr>
        <w:t xml:space="preserve">Podatki pokažejo, da se načrtovana </w:t>
      </w:r>
      <w:r w:rsidRPr="00D72D3D">
        <w:rPr>
          <w:b/>
          <w:bCs/>
          <w:lang w:val="sl-SI"/>
        </w:rPr>
        <w:t xml:space="preserve">realizacija prenov </w:t>
      </w:r>
      <w:r>
        <w:rPr>
          <w:b/>
          <w:bCs/>
          <w:lang w:val="sl-SI"/>
        </w:rPr>
        <w:t xml:space="preserve">ne glede na način izvajanja </w:t>
      </w:r>
      <w:r w:rsidRPr="00D72D3D">
        <w:rPr>
          <w:b/>
          <w:bCs/>
          <w:lang w:val="sl-SI"/>
        </w:rPr>
        <w:t>zamika v zadnje leto upravičenosti</w:t>
      </w:r>
      <w:r>
        <w:rPr>
          <w:lang w:val="sl-SI"/>
        </w:rPr>
        <w:t>, pri čemer projekti ožjega javnega sektorja zaostajajo skoraj dvakrat toliko kot projekti širšega javnega sektorja</w:t>
      </w:r>
      <w:r w:rsidR="003026CD">
        <w:rPr>
          <w:lang w:val="sl-SI"/>
        </w:rPr>
        <w:t>. Za vse projekte velja, da obstaja visoko tveganje za dosego načrtovanega rezultata zlasti ob upoštevanju</w:t>
      </w:r>
      <w:r w:rsidR="00DA053C">
        <w:rPr>
          <w:lang w:val="sl-SI"/>
        </w:rPr>
        <w:t xml:space="preserve">, </w:t>
      </w:r>
      <w:r w:rsidR="00DA053C">
        <w:rPr>
          <w:lang w:val="sl-SI"/>
        </w:rPr>
        <w:lastRenderedPageBreak/>
        <w:t xml:space="preserve">da naj bi se še vse operacije v izvajanju (nekaj celo še v pripravi), zaključile do konca septembra 2023. Slednje </w:t>
      </w:r>
      <w:r w:rsidR="00A77585">
        <w:rPr>
          <w:lang w:val="sl-SI"/>
        </w:rPr>
        <w:t xml:space="preserve">močno </w:t>
      </w:r>
      <w:r w:rsidR="00DA053C">
        <w:rPr>
          <w:lang w:val="sl-SI"/>
        </w:rPr>
        <w:t>vpliva tudi na samo uspešnost SC 4.1</w:t>
      </w:r>
      <w:r w:rsidR="00A77585">
        <w:rPr>
          <w:lang w:val="sl-SI"/>
        </w:rPr>
        <w:t xml:space="preserve"> kot celote</w:t>
      </w:r>
      <w:r w:rsidR="00DA053C">
        <w:rPr>
          <w:lang w:val="sl-SI"/>
        </w:rPr>
        <w:t>.</w:t>
      </w:r>
    </w:p>
    <w:p w14:paraId="3691C31B" w14:textId="7A136DAD" w:rsidR="002B7A79" w:rsidRDefault="002B7A79" w:rsidP="00E53E7A">
      <w:pPr>
        <w:rPr>
          <w:lang w:val="sl-SI"/>
        </w:rPr>
      </w:pPr>
      <w:r>
        <w:rPr>
          <w:lang w:val="sl-SI"/>
        </w:rPr>
        <w:t xml:space="preserve">Kazalnik vezan na </w:t>
      </w:r>
      <w:r w:rsidRPr="002B7A79">
        <w:rPr>
          <w:b/>
          <w:bCs/>
          <w:lang w:val="sl-SI"/>
        </w:rPr>
        <w:t>število demonstracijskih projektov</w:t>
      </w:r>
      <w:r>
        <w:rPr>
          <w:lang w:val="sl-SI"/>
        </w:rPr>
        <w:t>, pa v tem obdobju ne bo dosežen, saj so bili izvedeni 3 od sicer načrtovanih 5 demonstracijskih projektov.</w:t>
      </w:r>
    </w:p>
    <w:p w14:paraId="4B568048" w14:textId="0DD04C17" w:rsidR="007A48B4" w:rsidRDefault="0037762C" w:rsidP="00935F7A">
      <w:pPr>
        <w:rPr>
          <w:lang w:val="sl-SI"/>
        </w:rPr>
      </w:pPr>
      <w:r>
        <w:rPr>
          <w:lang w:val="sl-SI"/>
        </w:rPr>
        <w:t xml:space="preserve">V anketnem vprašalniku in na strukturiranih intervjujih smo preverili, kako upravičenci ocenjujejo uspešnost in učinkovitost </w:t>
      </w:r>
      <w:r w:rsidR="003C3CDE">
        <w:rPr>
          <w:lang w:val="sl-SI"/>
        </w:rPr>
        <w:t>javnih razpisov in povabil nosilnega organa.</w:t>
      </w:r>
      <w:r w:rsidR="007D7A95">
        <w:rPr>
          <w:lang w:val="sl-SI"/>
        </w:rPr>
        <w:t xml:space="preserve"> Prosili smo jih, da </w:t>
      </w:r>
      <w:r w:rsidR="007A48B4">
        <w:rPr>
          <w:lang w:val="sl-SI"/>
        </w:rPr>
        <w:t>t</w:t>
      </w:r>
      <w:r w:rsidR="00ED79A2">
        <w:rPr>
          <w:lang w:val="sl-SI"/>
        </w:rPr>
        <w:t>a</w:t>
      </w:r>
      <w:r w:rsidR="007A48B4">
        <w:rPr>
          <w:lang w:val="sl-SI"/>
        </w:rPr>
        <w:t xml:space="preserve">ko uspešnost kot učinkovitost ocenijo na lestvici od 1 do 7. </w:t>
      </w:r>
    </w:p>
    <w:p w14:paraId="5D8391D6" w14:textId="42381E87" w:rsidR="00594AF0" w:rsidRDefault="007A48B4" w:rsidP="00935F7A">
      <w:pPr>
        <w:rPr>
          <w:lang w:val="sl-SI"/>
        </w:rPr>
      </w:pPr>
      <w:r w:rsidRPr="00594AF0">
        <w:rPr>
          <w:b/>
          <w:bCs/>
          <w:lang w:val="sl-SI"/>
        </w:rPr>
        <w:t>Upravičenci A</w:t>
      </w:r>
      <w:r>
        <w:rPr>
          <w:lang w:val="sl-SI"/>
        </w:rPr>
        <w:t xml:space="preserve"> so </w:t>
      </w:r>
      <w:r w:rsidRPr="00140697">
        <w:rPr>
          <w:b/>
          <w:bCs/>
          <w:lang w:val="sl-SI"/>
        </w:rPr>
        <w:t xml:space="preserve">uspešnost </w:t>
      </w:r>
      <w:r>
        <w:rPr>
          <w:lang w:val="sl-SI"/>
        </w:rPr>
        <w:t xml:space="preserve">ocenili </w:t>
      </w:r>
      <w:r w:rsidRPr="00140697">
        <w:rPr>
          <w:lang w:val="sl-SI"/>
        </w:rPr>
        <w:t>s povprečno oceno</w:t>
      </w:r>
      <w:r w:rsidRPr="00140697">
        <w:rPr>
          <w:b/>
          <w:bCs/>
          <w:lang w:val="sl-SI"/>
        </w:rPr>
        <w:t xml:space="preserve"> </w:t>
      </w:r>
      <w:r w:rsidR="00B855EE">
        <w:rPr>
          <w:b/>
          <w:bCs/>
          <w:lang w:val="sl-SI"/>
        </w:rPr>
        <w:t>4,8</w:t>
      </w:r>
      <w:r w:rsidR="00140697">
        <w:rPr>
          <w:b/>
          <w:bCs/>
          <w:lang w:val="sl-SI"/>
        </w:rPr>
        <w:t xml:space="preserve"> </w:t>
      </w:r>
      <w:r w:rsidR="00140697" w:rsidRPr="00140697">
        <w:rPr>
          <w:lang w:val="sl-SI"/>
        </w:rPr>
        <w:t xml:space="preserve">(minimum 4, maksimum </w:t>
      </w:r>
      <w:r w:rsidR="00B855EE">
        <w:rPr>
          <w:lang w:val="sl-SI"/>
        </w:rPr>
        <w:t>7</w:t>
      </w:r>
      <w:r w:rsidR="00140697" w:rsidRPr="00140697">
        <w:rPr>
          <w:lang w:val="sl-SI"/>
        </w:rPr>
        <w:t>)</w:t>
      </w:r>
      <w:r w:rsidR="00FD26D0" w:rsidRPr="00140697">
        <w:rPr>
          <w:lang w:val="sl-SI"/>
        </w:rPr>
        <w:t>,</w:t>
      </w:r>
      <w:r w:rsidR="00FD26D0">
        <w:rPr>
          <w:lang w:val="sl-SI"/>
        </w:rPr>
        <w:t xml:space="preserve"> s pojasnilom, da so rezultate dosegli, vendar pa so mnenja, da </w:t>
      </w:r>
      <w:r w:rsidR="00D3625A">
        <w:rPr>
          <w:lang w:val="sl-SI"/>
        </w:rPr>
        <w:t xml:space="preserve">so razpisi zahtevni in zapleteni, </w:t>
      </w:r>
      <w:r w:rsidR="00140697">
        <w:rPr>
          <w:lang w:val="sl-SI"/>
        </w:rPr>
        <w:t xml:space="preserve">projekti </w:t>
      </w:r>
      <w:r w:rsidR="00D3625A">
        <w:rPr>
          <w:lang w:val="sl-SI"/>
        </w:rPr>
        <w:t>težko dosegajo zaželene prihranke</w:t>
      </w:r>
      <w:r w:rsidR="00066D6B">
        <w:rPr>
          <w:lang w:val="sl-SI"/>
        </w:rPr>
        <w:t xml:space="preserve">, </w:t>
      </w:r>
      <w:r w:rsidR="00D072E4">
        <w:rPr>
          <w:lang w:val="sl-SI"/>
        </w:rPr>
        <w:t xml:space="preserve">da bi morala biti vsaj za manjše občine stopnja sofinanciranja višja, </w:t>
      </w:r>
      <w:r w:rsidR="00066D6B">
        <w:rPr>
          <w:lang w:val="sl-SI"/>
        </w:rPr>
        <w:t xml:space="preserve">ter da postopke podaljšuje zahteva za preverjanje interesa po JZP. </w:t>
      </w:r>
      <w:r w:rsidR="00594AF0">
        <w:rPr>
          <w:lang w:val="sl-SI"/>
        </w:rPr>
        <w:t xml:space="preserve">Po drugi strani so </w:t>
      </w:r>
      <w:r w:rsidR="00594AF0" w:rsidRPr="00140697">
        <w:rPr>
          <w:b/>
          <w:bCs/>
          <w:lang w:val="sl-SI"/>
        </w:rPr>
        <w:t>učinkovitost</w:t>
      </w:r>
      <w:r w:rsidR="00594AF0">
        <w:rPr>
          <w:lang w:val="sl-SI"/>
        </w:rPr>
        <w:t xml:space="preserve"> ocenili s </w:t>
      </w:r>
      <w:r w:rsidR="00140697">
        <w:rPr>
          <w:lang w:val="sl-SI"/>
        </w:rPr>
        <w:t xml:space="preserve">povprečno oceno </w:t>
      </w:r>
      <w:r w:rsidR="00C66564" w:rsidRPr="00C66564">
        <w:rPr>
          <w:b/>
          <w:bCs/>
          <w:lang w:val="sl-SI"/>
        </w:rPr>
        <w:t>3,</w:t>
      </w:r>
      <w:r w:rsidR="007F74AC">
        <w:rPr>
          <w:b/>
          <w:bCs/>
          <w:lang w:val="sl-SI"/>
        </w:rPr>
        <w:t>9</w:t>
      </w:r>
      <w:r w:rsidR="00C66564">
        <w:rPr>
          <w:lang w:val="sl-SI"/>
        </w:rPr>
        <w:t xml:space="preserve"> (minimum 1, maksimum 6), s pojasnili</w:t>
      </w:r>
      <w:r w:rsidR="006E63F2">
        <w:rPr>
          <w:lang w:val="sl-SI"/>
        </w:rPr>
        <w:t xml:space="preserve">, da so razpisi in postopki implementacije </w:t>
      </w:r>
      <w:proofErr w:type="spellStart"/>
      <w:r w:rsidR="006E63F2">
        <w:rPr>
          <w:lang w:val="sl-SI"/>
        </w:rPr>
        <w:t>prekompleksni</w:t>
      </w:r>
      <w:proofErr w:type="spellEnd"/>
      <w:r w:rsidR="006E63F2">
        <w:rPr>
          <w:lang w:val="sl-SI"/>
        </w:rPr>
        <w:t xml:space="preserve">, zapleteni, </w:t>
      </w:r>
      <w:r w:rsidR="00F563FD">
        <w:rPr>
          <w:lang w:val="sl-SI"/>
        </w:rPr>
        <w:t>predvsem pa zamudni.</w:t>
      </w:r>
      <w:r w:rsidR="00F11467">
        <w:rPr>
          <w:lang w:val="sl-SI"/>
        </w:rPr>
        <w:t xml:space="preserve"> Prav tako menijo, da </w:t>
      </w:r>
      <w:r w:rsidR="00AB127F">
        <w:rPr>
          <w:lang w:val="sl-SI"/>
        </w:rPr>
        <w:t xml:space="preserve">bi bil lahko obseg </w:t>
      </w:r>
      <w:r w:rsidR="00454E6F">
        <w:rPr>
          <w:lang w:val="sl-SI"/>
        </w:rPr>
        <w:t xml:space="preserve">črpanja teh sredstev večji, če bi obstajala večja fleksibilnost v finančni konstrukciji projekta pri njegovi realizaciji. </w:t>
      </w:r>
    </w:p>
    <w:p w14:paraId="4C18027D" w14:textId="1291BDA4" w:rsidR="00FA6C3E" w:rsidRDefault="00F563FD" w:rsidP="00F563FD">
      <w:pPr>
        <w:rPr>
          <w:lang w:val="sl-SI"/>
        </w:rPr>
      </w:pPr>
      <w:r w:rsidRPr="00594AF0">
        <w:rPr>
          <w:b/>
          <w:bCs/>
          <w:lang w:val="sl-SI"/>
        </w:rPr>
        <w:t xml:space="preserve">Upravičenci </w:t>
      </w:r>
      <w:r>
        <w:rPr>
          <w:b/>
          <w:bCs/>
          <w:lang w:val="sl-SI"/>
        </w:rPr>
        <w:t>B</w:t>
      </w:r>
      <w:r>
        <w:rPr>
          <w:lang w:val="sl-SI"/>
        </w:rPr>
        <w:t xml:space="preserve"> so </w:t>
      </w:r>
      <w:r w:rsidRPr="00140697">
        <w:rPr>
          <w:b/>
          <w:bCs/>
          <w:lang w:val="sl-SI"/>
        </w:rPr>
        <w:t xml:space="preserve">uspešnost </w:t>
      </w:r>
      <w:r>
        <w:rPr>
          <w:lang w:val="sl-SI"/>
        </w:rPr>
        <w:t xml:space="preserve">ocenili </w:t>
      </w:r>
      <w:r w:rsidRPr="00140697">
        <w:rPr>
          <w:lang w:val="sl-SI"/>
        </w:rPr>
        <w:t>s povprečno oceno</w:t>
      </w:r>
      <w:r w:rsidRPr="00140697">
        <w:rPr>
          <w:b/>
          <w:bCs/>
          <w:lang w:val="sl-SI"/>
        </w:rPr>
        <w:t xml:space="preserve"> 5,</w:t>
      </w:r>
      <w:r w:rsidR="002F56A4">
        <w:rPr>
          <w:b/>
          <w:bCs/>
          <w:lang w:val="sl-SI"/>
        </w:rPr>
        <w:t>5</w:t>
      </w:r>
      <w:r>
        <w:rPr>
          <w:b/>
          <w:bCs/>
          <w:lang w:val="sl-SI"/>
        </w:rPr>
        <w:t xml:space="preserve"> </w:t>
      </w:r>
      <w:r w:rsidRPr="00140697">
        <w:rPr>
          <w:lang w:val="sl-SI"/>
        </w:rPr>
        <w:t xml:space="preserve">(minimum </w:t>
      </w:r>
      <w:r w:rsidR="002F56A4">
        <w:rPr>
          <w:lang w:val="sl-SI"/>
        </w:rPr>
        <w:t>1</w:t>
      </w:r>
      <w:r w:rsidRPr="00140697">
        <w:rPr>
          <w:lang w:val="sl-SI"/>
        </w:rPr>
        <w:t xml:space="preserve">, maksimum </w:t>
      </w:r>
      <w:r w:rsidR="002F56A4">
        <w:rPr>
          <w:lang w:val="sl-SI"/>
        </w:rPr>
        <w:t>7</w:t>
      </w:r>
      <w:r w:rsidRPr="00140697">
        <w:rPr>
          <w:lang w:val="sl-SI"/>
        </w:rPr>
        <w:t>),</w:t>
      </w:r>
      <w:r>
        <w:rPr>
          <w:lang w:val="sl-SI"/>
        </w:rPr>
        <w:t xml:space="preserve"> s pojasnilom, da so rezultate </w:t>
      </w:r>
      <w:r w:rsidR="0028443F">
        <w:rPr>
          <w:lang w:val="sl-SI"/>
        </w:rPr>
        <w:t>in zastavljene kazalnike kljub zahtevnosti in velikosti projektov</w:t>
      </w:r>
      <w:r w:rsidR="00531A72" w:rsidRPr="00531A72">
        <w:rPr>
          <w:lang w:val="sl-SI"/>
        </w:rPr>
        <w:t xml:space="preserve"> </w:t>
      </w:r>
      <w:r w:rsidR="00531A72">
        <w:rPr>
          <w:lang w:val="sl-SI"/>
        </w:rPr>
        <w:t>dosegli</w:t>
      </w:r>
      <w:r w:rsidR="0028443F">
        <w:rPr>
          <w:lang w:val="sl-SI"/>
        </w:rPr>
        <w:t xml:space="preserve">, </w:t>
      </w:r>
      <w:r>
        <w:rPr>
          <w:lang w:val="sl-SI"/>
        </w:rPr>
        <w:t xml:space="preserve">vendar pa so mnenja, da </w:t>
      </w:r>
      <w:r w:rsidR="00D30245">
        <w:rPr>
          <w:lang w:val="sl-SI"/>
        </w:rPr>
        <w:t>na</w:t>
      </w:r>
      <w:r>
        <w:rPr>
          <w:lang w:val="sl-SI"/>
        </w:rPr>
        <w:t xml:space="preserve"> projekti</w:t>
      </w:r>
      <w:r w:rsidR="00D30245">
        <w:rPr>
          <w:lang w:val="sl-SI"/>
        </w:rPr>
        <w:t>h</w:t>
      </w:r>
      <w:r>
        <w:rPr>
          <w:lang w:val="sl-SI"/>
        </w:rPr>
        <w:t xml:space="preserve"> težko dosegajo zaželene prihranke, da postopke podaljšuje zahteva za preverjanje interesa po JZP</w:t>
      </w:r>
      <w:r w:rsidR="00D30245">
        <w:rPr>
          <w:lang w:val="sl-SI"/>
        </w:rPr>
        <w:t xml:space="preserve">, </w:t>
      </w:r>
      <w:r w:rsidR="00A77585">
        <w:rPr>
          <w:lang w:val="sl-SI"/>
        </w:rPr>
        <w:t xml:space="preserve">ter </w:t>
      </w:r>
      <w:r w:rsidR="00A71F6A">
        <w:rPr>
          <w:lang w:val="sl-SI"/>
        </w:rPr>
        <w:t xml:space="preserve">da obstaja veliko tveganje za </w:t>
      </w:r>
      <w:r w:rsidR="00A77585">
        <w:rPr>
          <w:lang w:val="sl-SI"/>
        </w:rPr>
        <w:t xml:space="preserve">realizacijo </w:t>
      </w:r>
      <w:r w:rsidR="00A71F6A">
        <w:rPr>
          <w:lang w:val="sl-SI"/>
        </w:rPr>
        <w:t>projekt</w:t>
      </w:r>
      <w:r w:rsidR="00A77585">
        <w:rPr>
          <w:lang w:val="sl-SI"/>
        </w:rPr>
        <w:t>ov</w:t>
      </w:r>
      <w:r w:rsidR="00A71F6A">
        <w:rPr>
          <w:lang w:val="sl-SI"/>
        </w:rPr>
        <w:t xml:space="preserve">, ki </w:t>
      </w:r>
      <w:r w:rsidR="00A77585">
        <w:rPr>
          <w:lang w:val="sl-SI"/>
        </w:rPr>
        <w:t xml:space="preserve">se </w:t>
      </w:r>
      <w:r w:rsidR="00A71F6A">
        <w:rPr>
          <w:lang w:val="sl-SI"/>
        </w:rPr>
        <w:t xml:space="preserve">morajo </w:t>
      </w:r>
      <w:r w:rsidR="00A77585">
        <w:rPr>
          <w:lang w:val="sl-SI"/>
        </w:rPr>
        <w:t xml:space="preserve">zaključi v letošnjem </w:t>
      </w:r>
      <w:r w:rsidR="00A71F6A">
        <w:rPr>
          <w:lang w:val="sl-SI"/>
        </w:rPr>
        <w:t>letu</w:t>
      </w:r>
      <w:r>
        <w:rPr>
          <w:lang w:val="sl-SI"/>
        </w:rPr>
        <w:t xml:space="preserve">. </w:t>
      </w:r>
      <w:r w:rsidR="00A77585">
        <w:rPr>
          <w:lang w:val="sl-SI"/>
        </w:rPr>
        <w:t xml:space="preserve">Kar nekaj ministrstev je že povedalo, da posameznih operacij ne bodo uspeli pravočasno zaključiti. </w:t>
      </w:r>
      <w:r w:rsidR="004E0F1E">
        <w:rPr>
          <w:lang w:val="sl-SI"/>
        </w:rPr>
        <w:t>O</w:t>
      </w:r>
      <w:r w:rsidR="00A71F6A">
        <w:rPr>
          <w:lang w:val="sl-SI"/>
        </w:rPr>
        <w:t xml:space="preserve">ceno </w:t>
      </w:r>
      <w:r w:rsidR="004E0F1E">
        <w:rPr>
          <w:lang w:val="sl-SI"/>
        </w:rPr>
        <w:t xml:space="preserve">1 </w:t>
      </w:r>
      <w:r w:rsidR="00A71F6A">
        <w:rPr>
          <w:lang w:val="sl-SI"/>
        </w:rPr>
        <w:t xml:space="preserve">je </w:t>
      </w:r>
      <w:r w:rsidR="00FB060C">
        <w:rPr>
          <w:lang w:val="sl-SI"/>
        </w:rPr>
        <w:t>po</w:t>
      </w:r>
      <w:r w:rsidR="004E0F1E">
        <w:rPr>
          <w:lang w:val="sl-SI"/>
        </w:rPr>
        <w:t xml:space="preserve">dalo ministrstvo, ki mu v </w:t>
      </w:r>
      <w:r w:rsidR="0002408F">
        <w:rPr>
          <w:lang w:val="sl-SI"/>
        </w:rPr>
        <w:t xml:space="preserve">načrtovanem </w:t>
      </w:r>
      <w:r w:rsidR="004E0F1E">
        <w:rPr>
          <w:lang w:val="sl-SI"/>
        </w:rPr>
        <w:t xml:space="preserve">obdobju </w:t>
      </w:r>
      <w:r w:rsidR="00FB060C">
        <w:rPr>
          <w:lang w:val="sl-SI"/>
        </w:rPr>
        <w:t xml:space="preserve">ne bo uspelo izvesti načrtovanih projektov, po eni strani </w:t>
      </w:r>
      <w:r w:rsidR="004E0F1E">
        <w:rPr>
          <w:lang w:val="sl-SI"/>
        </w:rPr>
        <w:t xml:space="preserve">zaradi </w:t>
      </w:r>
      <w:r w:rsidR="007651B8">
        <w:rPr>
          <w:lang w:val="sl-SI"/>
        </w:rPr>
        <w:t xml:space="preserve">lastne </w:t>
      </w:r>
      <w:r w:rsidR="004E0F1E">
        <w:rPr>
          <w:lang w:val="sl-SI"/>
        </w:rPr>
        <w:t>interne organizacije</w:t>
      </w:r>
      <w:r w:rsidR="0002408F">
        <w:rPr>
          <w:lang w:val="sl-SI"/>
        </w:rPr>
        <w:t xml:space="preserve">, zagotavljanja lastnih </w:t>
      </w:r>
      <w:r w:rsidR="00FB060C">
        <w:rPr>
          <w:lang w:val="sl-SI"/>
        </w:rPr>
        <w:t xml:space="preserve">virov financiranja neupravičenih stroškov </w:t>
      </w:r>
      <w:r w:rsidR="004E0F1E">
        <w:rPr>
          <w:lang w:val="sl-SI"/>
        </w:rPr>
        <w:t>in kompleksnosti projektov</w:t>
      </w:r>
      <w:r w:rsidR="00FB060C">
        <w:rPr>
          <w:lang w:val="sl-SI"/>
        </w:rPr>
        <w:t>,</w:t>
      </w:r>
      <w:r w:rsidR="004E0F1E">
        <w:rPr>
          <w:lang w:val="sl-SI"/>
        </w:rPr>
        <w:t xml:space="preserve"> </w:t>
      </w:r>
      <w:r w:rsidR="00FB060C">
        <w:rPr>
          <w:lang w:val="sl-SI"/>
        </w:rPr>
        <w:t xml:space="preserve">po drugi strani pa zaradi </w:t>
      </w:r>
      <w:r w:rsidR="004E0F1E">
        <w:rPr>
          <w:lang w:val="sl-SI"/>
        </w:rPr>
        <w:t>administrativno zahtevnih postopkov na strani nosilnega posredniškega organa in organa upravljanja</w:t>
      </w:r>
      <w:r w:rsidR="00FB060C">
        <w:rPr>
          <w:lang w:val="sl-SI"/>
        </w:rPr>
        <w:t>. U</w:t>
      </w:r>
      <w:r w:rsidR="00831D74">
        <w:rPr>
          <w:lang w:val="sl-SI"/>
        </w:rPr>
        <w:t>pravičenci B</w:t>
      </w:r>
      <w:r w:rsidR="00FB060C">
        <w:rPr>
          <w:lang w:val="sl-SI"/>
        </w:rPr>
        <w:t xml:space="preserve"> so</w:t>
      </w:r>
      <w:r w:rsidR="00831D74">
        <w:rPr>
          <w:lang w:val="sl-SI"/>
        </w:rPr>
        <w:t xml:space="preserve"> </w:t>
      </w:r>
      <w:r w:rsidRPr="00140697">
        <w:rPr>
          <w:b/>
          <w:bCs/>
          <w:lang w:val="sl-SI"/>
        </w:rPr>
        <w:t>učinkovitost</w:t>
      </w:r>
      <w:r>
        <w:rPr>
          <w:lang w:val="sl-SI"/>
        </w:rPr>
        <w:t xml:space="preserve"> ocenili s povprečno oceno </w:t>
      </w:r>
      <w:r w:rsidRPr="00C66564">
        <w:rPr>
          <w:b/>
          <w:bCs/>
          <w:lang w:val="sl-SI"/>
        </w:rPr>
        <w:t>3</w:t>
      </w:r>
      <w:r>
        <w:rPr>
          <w:lang w:val="sl-SI"/>
        </w:rPr>
        <w:t xml:space="preserve"> (minimum 1, maksimum </w:t>
      </w:r>
      <w:r w:rsidR="007F1BED">
        <w:rPr>
          <w:lang w:val="sl-SI"/>
        </w:rPr>
        <w:t>5</w:t>
      </w:r>
      <w:r>
        <w:rPr>
          <w:lang w:val="sl-SI"/>
        </w:rPr>
        <w:t xml:space="preserve">), s pojasnili, da so razpisi in postopki implementacije </w:t>
      </w:r>
      <w:proofErr w:type="spellStart"/>
      <w:r>
        <w:rPr>
          <w:lang w:val="sl-SI"/>
        </w:rPr>
        <w:t>prekompleksni</w:t>
      </w:r>
      <w:proofErr w:type="spellEnd"/>
      <w:r>
        <w:rPr>
          <w:lang w:val="sl-SI"/>
        </w:rPr>
        <w:t>, zapleteni, predvsem pa zamudni.</w:t>
      </w:r>
      <w:r w:rsidR="003A1A8B">
        <w:rPr>
          <w:lang w:val="sl-SI"/>
        </w:rPr>
        <w:t xml:space="preserve"> Mnogi so mnenja, da je kljub dobremu sodelovanju s projektno pisarno </w:t>
      </w:r>
      <w:r w:rsidR="00F975E3">
        <w:rPr>
          <w:lang w:val="sl-SI"/>
        </w:rPr>
        <w:t>za energetsk</w:t>
      </w:r>
      <w:r w:rsidR="00FB060C">
        <w:rPr>
          <w:lang w:val="sl-SI"/>
        </w:rPr>
        <w:t xml:space="preserve">o prenovo stavb </w:t>
      </w:r>
      <w:r w:rsidR="00F975E3">
        <w:rPr>
          <w:lang w:val="sl-SI"/>
        </w:rPr>
        <w:t xml:space="preserve">uvedba </w:t>
      </w:r>
      <w:r w:rsidR="003A1A8B">
        <w:rPr>
          <w:lang w:val="sl-SI"/>
        </w:rPr>
        <w:t>nosilnega posredniškega organa</w:t>
      </w:r>
      <w:r w:rsidR="00F975E3">
        <w:rPr>
          <w:lang w:val="sl-SI"/>
        </w:rPr>
        <w:t xml:space="preserve"> podaljšala postopek </w:t>
      </w:r>
      <w:r w:rsidR="003023F1">
        <w:rPr>
          <w:lang w:val="sl-SI"/>
        </w:rPr>
        <w:t xml:space="preserve">pregleda vlog. </w:t>
      </w:r>
      <w:r w:rsidR="0091243B">
        <w:rPr>
          <w:lang w:val="sl-SI"/>
        </w:rPr>
        <w:t xml:space="preserve">V povprečju so potrebovali </w:t>
      </w:r>
      <w:r w:rsidR="005B4A22">
        <w:rPr>
          <w:lang w:val="sl-SI"/>
        </w:rPr>
        <w:t xml:space="preserve">za potrditev vloge </w:t>
      </w:r>
      <w:r w:rsidR="0091243B">
        <w:rPr>
          <w:lang w:val="sl-SI"/>
        </w:rPr>
        <w:t>do 1 let</w:t>
      </w:r>
      <w:r w:rsidR="005B4A22">
        <w:rPr>
          <w:lang w:val="sl-SI"/>
        </w:rPr>
        <w:t>a</w:t>
      </w:r>
      <w:r w:rsidR="0091243B">
        <w:rPr>
          <w:lang w:val="sl-SI"/>
        </w:rPr>
        <w:t xml:space="preserve">, nato pa še </w:t>
      </w:r>
      <w:r w:rsidR="005B4A22">
        <w:rPr>
          <w:lang w:val="sl-SI"/>
        </w:rPr>
        <w:t xml:space="preserve">vsaj leto dni za </w:t>
      </w:r>
      <w:r w:rsidR="0091243B">
        <w:rPr>
          <w:lang w:val="sl-SI"/>
        </w:rPr>
        <w:t>izbir</w:t>
      </w:r>
      <w:r w:rsidR="005B4A22">
        <w:rPr>
          <w:lang w:val="sl-SI"/>
        </w:rPr>
        <w:t>o</w:t>
      </w:r>
      <w:r w:rsidR="0091243B">
        <w:rPr>
          <w:lang w:val="sl-SI"/>
        </w:rPr>
        <w:t xml:space="preserve"> izvajalca</w:t>
      </w:r>
      <w:r w:rsidR="005B4A22">
        <w:rPr>
          <w:lang w:val="sl-SI"/>
        </w:rPr>
        <w:t xml:space="preserve">, v primeru izvedbe JZP, pa je slednje zahtevalo v povprečju še vsaj dodatni 2 leti. </w:t>
      </w:r>
      <w:r w:rsidR="003023F1">
        <w:rPr>
          <w:lang w:val="sl-SI"/>
        </w:rPr>
        <w:t>Posamezne priloge so bile na koncu povsem administrativne narave in nepotrebne (primeroma Priloga 2)</w:t>
      </w:r>
      <w:r w:rsidR="0044727B">
        <w:rPr>
          <w:lang w:val="sl-SI"/>
        </w:rPr>
        <w:t xml:space="preserve">. Z vidika upravljanja operacij je zlasti na začetku upravičenega obdobja prihajalo do težav v sistemu </w:t>
      </w:r>
      <w:proofErr w:type="spellStart"/>
      <w:r w:rsidR="0044727B">
        <w:rPr>
          <w:lang w:val="sl-SI"/>
        </w:rPr>
        <w:t>eMA</w:t>
      </w:r>
      <w:proofErr w:type="spellEnd"/>
      <w:r w:rsidR="0096499E">
        <w:rPr>
          <w:lang w:val="sl-SI"/>
        </w:rPr>
        <w:t>, spreme</w:t>
      </w:r>
      <w:r w:rsidR="00202063">
        <w:rPr>
          <w:lang w:val="sl-SI"/>
        </w:rPr>
        <w:t xml:space="preserve">nila so se </w:t>
      </w:r>
      <w:r w:rsidR="00985C1D">
        <w:rPr>
          <w:lang w:val="sl-SI"/>
        </w:rPr>
        <w:t xml:space="preserve">tudi </w:t>
      </w:r>
      <w:r w:rsidR="00202063">
        <w:rPr>
          <w:lang w:val="sl-SI"/>
        </w:rPr>
        <w:t>pravila upravičenosti</w:t>
      </w:r>
      <w:r w:rsidR="00985C1D">
        <w:rPr>
          <w:lang w:val="sl-SI"/>
        </w:rPr>
        <w:t xml:space="preserve">. </w:t>
      </w:r>
      <w:r w:rsidR="003E3F70">
        <w:rPr>
          <w:lang w:val="sl-SI"/>
        </w:rPr>
        <w:t xml:space="preserve">V letu 2022 </w:t>
      </w:r>
      <w:r w:rsidR="00FD5DB5">
        <w:rPr>
          <w:lang w:val="sl-SI"/>
        </w:rPr>
        <w:t>posodobljen Pravilnik o učinkoviti rabi energije v stavbah (PURES) je v</w:t>
      </w:r>
      <w:r w:rsidR="0096499E">
        <w:rPr>
          <w:lang w:val="sl-SI"/>
        </w:rPr>
        <w:t xml:space="preserve">plival na </w:t>
      </w:r>
      <w:r w:rsidR="005A3DC8">
        <w:rPr>
          <w:lang w:val="sl-SI"/>
        </w:rPr>
        <w:t>primernost že pripravljene projektne dokumentacije</w:t>
      </w:r>
      <w:r w:rsidR="00FD5DB5">
        <w:rPr>
          <w:lang w:val="sl-SI"/>
        </w:rPr>
        <w:t>, kar je posamezne projekte vrnilo na začetek</w:t>
      </w:r>
      <w:r w:rsidR="00312831">
        <w:rPr>
          <w:lang w:val="sl-SI"/>
        </w:rPr>
        <w:t xml:space="preserve"> projektnega cikla ponovne priprave dokumentacije</w:t>
      </w:r>
      <w:r w:rsidR="00FD5DB5">
        <w:rPr>
          <w:lang w:val="sl-SI"/>
        </w:rPr>
        <w:t xml:space="preserve">. </w:t>
      </w:r>
      <w:r w:rsidR="00E84B05">
        <w:rPr>
          <w:lang w:val="sl-SI"/>
        </w:rPr>
        <w:t xml:space="preserve">Zaradi sprememb </w:t>
      </w:r>
      <w:r w:rsidR="000C3E7C">
        <w:rPr>
          <w:lang w:val="sl-SI"/>
        </w:rPr>
        <w:t xml:space="preserve">cen </w:t>
      </w:r>
      <w:r w:rsidR="00E84B05">
        <w:rPr>
          <w:lang w:val="sl-SI"/>
        </w:rPr>
        <w:t>na trgu</w:t>
      </w:r>
      <w:r w:rsidR="000C3E7C">
        <w:rPr>
          <w:lang w:val="sl-SI"/>
        </w:rPr>
        <w:t xml:space="preserve"> je posamezna investicijska dokumentacija, ki je bi bila pripravljena ob vlogi, zaradi dolgotrajnega postopka potrjevanja</w:t>
      </w:r>
      <w:r w:rsidR="00384197">
        <w:rPr>
          <w:lang w:val="sl-SI"/>
        </w:rPr>
        <w:t xml:space="preserve"> same vloge</w:t>
      </w:r>
      <w:r w:rsidR="000C3E7C">
        <w:rPr>
          <w:lang w:val="sl-SI"/>
        </w:rPr>
        <w:t xml:space="preserve"> in nato izbire izvajalca postala povsem </w:t>
      </w:r>
      <w:r w:rsidR="008E75B9">
        <w:rPr>
          <w:lang w:val="sl-SI"/>
        </w:rPr>
        <w:t xml:space="preserve">zastarela, </w:t>
      </w:r>
      <w:r w:rsidR="00384197">
        <w:rPr>
          <w:lang w:val="sl-SI"/>
        </w:rPr>
        <w:t xml:space="preserve">pri čemer se </w:t>
      </w:r>
      <w:r w:rsidR="00EC59B1">
        <w:rPr>
          <w:lang w:val="sl-SI"/>
        </w:rPr>
        <w:t xml:space="preserve">nato </w:t>
      </w:r>
      <w:r w:rsidR="008E75B9">
        <w:rPr>
          <w:lang w:val="sl-SI"/>
        </w:rPr>
        <w:t>višin</w:t>
      </w:r>
      <w:r w:rsidR="00EC59B1">
        <w:rPr>
          <w:lang w:val="sl-SI"/>
        </w:rPr>
        <w:t>a</w:t>
      </w:r>
      <w:r w:rsidR="008E75B9">
        <w:rPr>
          <w:lang w:val="sl-SI"/>
        </w:rPr>
        <w:t xml:space="preserve"> zneska sofinanciranja operacij</w:t>
      </w:r>
      <w:r w:rsidR="00384197">
        <w:rPr>
          <w:lang w:val="sl-SI"/>
        </w:rPr>
        <w:t xml:space="preserve"> </w:t>
      </w:r>
      <w:r w:rsidR="00EC59B1">
        <w:rPr>
          <w:lang w:val="sl-SI"/>
        </w:rPr>
        <w:t xml:space="preserve">na strani organa upravljanja </w:t>
      </w:r>
      <w:r w:rsidR="00384197">
        <w:rPr>
          <w:lang w:val="sl-SI"/>
        </w:rPr>
        <w:t>ni prilag</w:t>
      </w:r>
      <w:r w:rsidR="008A3A58">
        <w:rPr>
          <w:lang w:val="sl-SI"/>
        </w:rPr>
        <w:t>ajala</w:t>
      </w:r>
      <w:r w:rsidR="00384197">
        <w:rPr>
          <w:lang w:val="sl-SI"/>
        </w:rPr>
        <w:t>.</w:t>
      </w:r>
      <w:r w:rsidR="008E75B9">
        <w:rPr>
          <w:lang w:val="sl-SI"/>
        </w:rPr>
        <w:t xml:space="preserve">  </w:t>
      </w:r>
    </w:p>
    <w:p w14:paraId="452A78A8" w14:textId="6397E376" w:rsidR="00935F7A" w:rsidRDefault="00935F7A" w:rsidP="00890189">
      <w:pPr>
        <w:rPr>
          <w:b/>
          <w:bCs/>
          <w:color w:val="0A131B" w:themeColor="text2"/>
          <w:lang w:val="sl-SI"/>
        </w:rPr>
      </w:pPr>
      <w:bookmarkStart w:id="28" w:name="_Toc129003815"/>
      <w:r w:rsidRPr="0058617C">
        <w:rPr>
          <w:noProof/>
          <w:lang w:val="sl-SI"/>
        </w:rPr>
        <w:drawing>
          <wp:anchor distT="0" distB="0" distL="114300" distR="114300" simplePos="0" relativeHeight="251658249" behindDoc="1" locked="0" layoutInCell="1" allowOverlap="1" wp14:anchorId="5D11EE9C" wp14:editId="036A0D3F">
            <wp:simplePos x="0" y="0"/>
            <wp:positionH relativeFrom="column">
              <wp:posOffset>-455295</wp:posOffset>
            </wp:positionH>
            <wp:positionV relativeFrom="paragraph">
              <wp:posOffset>198755</wp:posOffset>
            </wp:positionV>
            <wp:extent cx="323850" cy="323850"/>
            <wp:effectExtent l="0" t="0" r="0" b="0"/>
            <wp:wrapTight wrapText="bothSides">
              <wp:wrapPolygon edited="0">
                <wp:start x="5082" y="0"/>
                <wp:lineTo x="1271" y="7624"/>
                <wp:lineTo x="1271" y="15247"/>
                <wp:lineTo x="7624" y="20329"/>
                <wp:lineTo x="12706" y="20329"/>
                <wp:lineTo x="20329" y="13976"/>
                <wp:lineTo x="20329" y="8894"/>
                <wp:lineTo x="15247" y="0"/>
                <wp:lineTo x="5082" y="0"/>
              </wp:wrapPolygon>
            </wp:wrapTight>
            <wp:docPr id="18" name="Grafika 18"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p comp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p w14:paraId="10DF19D3" w14:textId="03B801D2" w:rsidR="00AB48F2" w:rsidRPr="004C3D6A" w:rsidRDefault="000C6096" w:rsidP="00890189">
      <w:pPr>
        <w:rPr>
          <w:b/>
          <w:bCs/>
          <w:color w:val="0A131B" w:themeColor="text2"/>
          <w:lang w:val="sl-SI"/>
        </w:rPr>
      </w:pPr>
      <w:r w:rsidRPr="004C3D6A">
        <w:rPr>
          <w:b/>
          <w:bCs/>
          <w:color w:val="0A131B" w:themeColor="text2"/>
          <w:lang w:val="sl-SI"/>
        </w:rPr>
        <w:t>Priporočila</w:t>
      </w:r>
      <w:bookmarkEnd w:id="28"/>
    </w:p>
    <w:p w14:paraId="4C963FDD" w14:textId="7FE272DC" w:rsidR="005A3DC8" w:rsidRPr="0058617C" w:rsidRDefault="00B0456F" w:rsidP="005A3DC8">
      <w:pPr>
        <w:rPr>
          <w:lang w:val="sl-SI"/>
        </w:rPr>
      </w:pPr>
      <w:r>
        <w:rPr>
          <w:lang w:val="sl-SI"/>
        </w:rPr>
        <w:t>Projektni</w:t>
      </w:r>
      <w:r w:rsidR="005A3DC8">
        <w:rPr>
          <w:lang w:val="sl-SI"/>
        </w:rPr>
        <w:t xml:space="preserve"> cikel celovite energetske prenove objektov je dolg</w:t>
      </w:r>
      <w:r w:rsidR="005A5A1D">
        <w:rPr>
          <w:lang w:val="sl-SI"/>
        </w:rPr>
        <w:t xml:space="preserve"> vsaj </w:t>
      </w:r>
      <w:r w:rsidR="00985C1D">
        <w:rPr>
          <w:lang w:val="sl-SI"/>
        </w:rPr>
        <w:t>3</w:t>
      </w:r>
      <w:r w:rsidR="005A5A1D">
        <w:rPr>
          <w:lang w:val="sl-SI"/>
        </w:rPr>
        <w:t xml:space="preserve"> leta</w:t>
      </w:r>
      <w:r w:rsidR="005A3DC8">
        <w:rPr>
          <w:lang w:val="sl-SI"/>
        </w:rPr>
        <w:t xml:space="preserve">, </w:t>
      </w:r>
      <w:r w:rsidR="005A5A1D">
        <w:rPr>
          <w:lang w:val="sl-SI"/>
        </w:rPr>
        <w:t xml:space="preserve">zato </w:t>
      </w:r>
      <w:r w:rsidR="005A3DC8">
        <w:rPr>
          <w:lang w:val="sl-SI"/>
        </w:rPr>
        <w:t xml:space="preserve">je </w:t>
      </w:r>
      <w:r w:rsidR="005A5A1D">
        <w:rPr>
          <w:lang w:val="sl-SI"/>
        </w:rPr>
        <w:t xml:space="preserve">za uspešnost </w:t>
      </w:r>
      <w:r w:rsidR="005A3DC8">
        <w:rPr>
          <w:lang w:val="sl-SI"/>
        </w:rPr>
        <w:t>projekt</w:t>
      </w:r>
      <w:r w:rsidR="005A5A1D">
        <w:rPr>
          <w:lang w:val="sl-SI"/>
        </w:rPr>
        <w:t xml:space="preserve">ov </w:t>
      </w:r>
      <w:r w:rsidR="00921991">
        <w:rPr>
          <w:lang w:val="sl-SI"/>
        </w:rPr>
        <w:t xml:space="preserve">ter s tem povezanih spodbud v energetske prenove stavb </w:t>
      </w:r>
      <w:r w:rsidR="008A3A58">
        <w:rPr>
          <w:lang w:val="sl-SI"/>
        </w:rPr>
        <w:t xml:space="preserve">ključno, da se začnejo </w:t>
      </w:r>
      <w:r w:rsidR="005A5A1D">
        <w:rPr>
          <w:lang w:val="sl-SI"/>
        </w:rPr>
        <w:t>či</w:t>
      </w:r>
      <w:r>
        <w:rPr>
          <w:lang w:val="sl-SI"/>
        </w:rPr>
        <w:t>m prej</w:t>
      </w:r>
      <w:r w:rsidR="00B24BA3">
        <w:rPr>
          <w:lang w:val="sl-SI"/>
        </w:rPr>
        <w:t>, in sicer</w:t>
      </w:r>
      <w:r w:rsidR="00921991">
        <w:rPr>
          <w:lang w:val="sl-SI"/>
        </w:rPr>
        <w:t xml:space="preserve"> </w:t>
      </w:r>
      <w:r>
        <w:rPr>
          <w:lang w:val="sl-SI"/>
        </w:rPr>
        <w:t xml:space="preserve">na </w:t>
      </w:r>
      <w:r w:rsidR="00921991">
        <w:rPr>
          <w:lang w:val="sl-SI"/>
        </w:rPr>
        <w:t xml:space="preserve">samem </w:t>
      </w:r>
      <w:r>
        <w:rPr>
          <w:lang w:val="sl-SI"/>
        </w:rPr>
        <w:t>začetku obdobja upravičenosti</w:t>
      </w:r>
      <w:r w:rsidR="005A5A1D">
        <w:rPr>
          <w:lang w:val="sl-SI"/>
        </w:rPr>
        <w:t xml:space="preserve">. Da pa so </w:t>
      </w:r>
      <w:r w:rsidR="007E00E9">
        <w:rPr>
          <w:lang w:val="sl-SI"/>
        </w:rPr>
        <w:t xml:space="preserve">lahko </w:t>
      </w:r>
      <w:r w:rsidR="005A5A1D">
        <w:rPr>
          <w:lang w:val="sl-SI"/>
        </w:rPr>
        <w:t>pr</w:t>
      </w:r>
      <w:r w:rsidR="007E00E9">
        <w:rPr>
          <w:lang w:val="sl-SI"/>
        </w:rPr>
        <w:t>o</w:t>
      </w:r>
      <w:r w:rsidR="005A5A1D">
        <w:rPr>
          <w:lang w:val="sl-SI"/>
        </w:rPr>
        <w:t xml:space="preserve">jekti </w:t>
      </w:r>
      <w:r w:rsidR="007E00E9">
        <w:rPr>
          <w:lang w:val="sl-SI"/>
        </w:rPr>
        <w:t>čim bolj</w:t>
      </w:r>
      <w:r w:rsidR="005A5A1D">
        <w:rPr>
          <w:lang w:val="sl-SI"/>
        </w:rPr>
        <w:t xml:space="preserve"> učinkoviti, mora biti sistem </w:t>
      </w:r>
      <w:r w:rsidR="007E00E9">
        <w:rPr>
          <w:lang w:val="sl-SI"/>
        </w:rPr>
        <w:t>implementacije vzpostavljen</w:t>
      </w:r>
      <w:r w:rsidR="00C50436">
        <w:rPr>
          <w:lang w:val="sl-SI"/>
        </w:rPr>
        <w:t xml:space="preserve">, predvsem pa </w:t>
      </w:r>
      <w:r w:rsidR="005A3DC8">
        <w:rPr>
          <w:lang w:val="sl-SI"/>
        </w:rPr>
        <w:t xml:space="preserve">stabilen, saj </w:t>
      </w:r>
      <w:r>
        <w:rPr>
          <w:lang w:val="sl-SI"/>
        </w:rPr>
        <w:t xml:space="preserve">lahko </w:t>
      </w:r>
      <w:r w:rsidR="000A33A6">
        <w:rPr>
          <w:lang w:val="sl-SI"/>
        </w:rPr>
        <w:t xml:space="preserve">naknadne </w:t>
      </w:r>
      <w:r>
        <w:rPr>
          <w:lang w:val="sl-SI"/>
        </w:rPr>
        <w:t xml:space="preserve">spremembe </w:t>
      </w:r>
      <w:r w:rsidR="009F3A40">
        <w:rPr>
          <w:lang w:val="sl-SI"/>
        </w:rPr>
        <w:t xml:space="preserve">projekte </w:t>
      </w:r>
      <w:r w:rsidR="005A3DC8">
        <w:rPr>
          <w:lang w:val="sl-SI"/>
        </w:rPr>
        <w:t>vsakič znova vr</w:t>
      </w:r>
      <w:r w:rsidR="009F3A40">
        <w:rPr>
          <w:lang w:val="sl-SI"/>
        </w:rPr>
        <w:t xml:space="preserve">nejo </w:t>
      </w:r>
      <w:r w:rsidR="005A3DC8">
        <w:rPr>
          <w:lang w:val="sl-SI"/>
        </w:rPr>
        <w:t xml:space="preserve">na začetek </w:t>
      </w:r>
      <w:r>
        <w:rPr>
          <w:lang w:val="sl-SI"/>
        </w:rPr>
        <w:t xml:space="preserve">projektnega </w:t>
      </w:r>
      <w:r w:rsidR="005A3DC8">
        <w:rPr>
          <w:lang w:val="sl-SI"/>
        </w:rPr>
        <w:t xml:space="preserve">cikla. </w:t>
      </w:r>
      <w:r w:rsidR="003D69B0">
        <w:rPr>
          <w:lang w:val="sl-SI"/>
        </w:rPr>
        <w:t xml:space="preserve">Glede na </w:t>
      </w:r>
      <w:r w:rsidR="000A33A6">
        <w:rPr>
          <w:lang w:val="sl-SI"/>
        </w:rPr>
        <w:t xml:space="preserve">pridobljene </w:t>
      </w:r>
      <w:r w:rsidR="003D69B0">
        <w:rPr>
          <w:lang w:val="sl-SI"/>
        </w:rPr>
        <w:t>izkušnje iztekajoče finančne perspektive</w:t>
      </w:r>
      <w:r w:rsidR="009F3A40">
        <w:rPr>
          <w:lang w:val="sl-SI"/>
        </w:rPr>
        <w:t xml:space="preserve">, </w:t>
      </w:r>
      <w:r w:rsidR="003D69B0">
        <w:rPr>
          <w:lang w:val="sl-SI"/>
        </w:rPr>
        <w:t>že vzpostavljen sistem</w:t>
      </w:r>
      <w:r w:rsidR="000A33A6">
        <w:rPr>
          <w:lang w:val="sl-SI"/>
        </w:rPr>
        <w:t xml:space="preserve"> in </w:t>
      </w:r>
      <w:r w:rsidR="00A24F4C">
        <w:rPr>
          <w:lang w:val="sl-SI"/>
        </w:rPr>
        <w:t xml:space="preserve">pripravljene obrazce </w:t>
      </w:r>
      <w:r w:rsidR="000A33A6">
        <w:rPr>
          <w:lang w:val="sl-SI"/>
        </w:rPr>
        <w:t xml:space="preserve">ter </w:t>
      </w:r>
      <w:r w:rsidR="003D69B0">
        <w:rPr>
          <w:lang w:val="sl-SI"/>
        </w:rPr>
        <w:t xml:space="preserve">navodila, bi moralo resorno ministrstvo </w:t>
      </w:r>
      <w:r w:rsidR="0051333B">
        <w:rPr>
          <w:lang w:val="sl-SI"/>
        </w:rPr>
        <w:t>čim prej</w:t>
      </w:r>
      <w:r w:rsidR="00B33120">
        <w:rPr>
          <w:lang w:val="sl-SI"/>
        </w:rPr>
        <w:t xml:space="preserve"> začeti z implementacijo ukrepov v sklopu nove</w:t>
      </w:r>
      <w:r w:rsidR="00737619">
        <w:rPr>
          <w:lang w:val="sl-SI"/>
        </w:rPr>
        <w:t xml:space="preserve"> finančne perspektive, ki se je začela</w:t>
      </w:r>
      <w:r w:rsidR="00C50436">
        <w:rPr>
          <w:lang w:val="sl-SI"/>
        </w:rPr>
        <w:t xml:space="preserve"> že</w:t>
      </w:r>
      <w:r w:rsidR="00737619">
        <w:rPr>
          <w:lang w:val="sl-SI"/>
        </w:rPr>
        <w:t xml:space="preserve"> leta 2021. </w:t>
      </w:r>
      <w:r w:rsidR="0051333B">
        <w:rPr>
          <w:lang w:val="sl-SI"/>
        </w:rPr>
        <w:t xml:space="preserve"> </w:t>
      </w:r>
    </w:p>
    <w:p w14:paraId="5022674D" w14:textId="77777777" w:rsidR="003D620C" w:rsidRDefault="003D620C" w:rsidP="00416ED7">
      <w:pPr>
        <w:ind w:left="1440"/>
        <w:rPr>
          <w:lang w:val="sl-SI"/>
        </w:rPr>
      </w:pPr>
    </w:p>
    <w:p w14:paraId="3A5DA388" w14:textId="77777777" w:rsidR="003D620C" w:rsidRDefault="003D620C" w:rsidP="00416ED7">
      <w:pPr>
        <w:ind w:left="1440"/>
        <w:rPr>
          <w:lang w:val="sl-SI"/>
        </w:rPr>
      </w:pPr>
    </w:p>
    <w:p w14:paraId="7C835F95" w14:textId="52E1C55F" w:rsidR="002E038F" w:rsidRPr="0058617C" w:rsidRDefault="00D05074" w:rsidP="003D620C">
      <w:pPr>
        <w:rPr>
          <w:lang w:val="sl-SI"/>
        </w:rPr>
      </w:pPr>
      <w:r w:rsidRPr="0058617C">
        <w:rPr>
          <w:noProof/>
          <w:lang w:val="sl-SI"/>
        </w:rPr>
        <w:drawing>
          <wp:anchor distT="0" distB="0" distL="114300" distR="114300" simplePos="0" relativeHeight="251658248" behindDoc="1" locked="0" layoutInCell="1" allowOverlap="1" wp14:anchorId="43AD0099" wp14:editId="692DA130">
            <wp:simplePos x="0" y="0"/>
            <wp:positionH relativeFrom="column">
              <wp:posOffset>-452120</wp:posOffset>
            </wp:positionH>
            <wp:positionV relativeFrom="paragraph">
              <wp:posOffset>201295</wp:posOffset>
            </wp:positionV>
            <wp:extent cx="324000" cy="324000"/>
            <wp:effectExtent l="0" t="0" r="0" b="6350"/>
            <wp:wrapTight wrapText="bothSides">
              <wp:wrapPolygon edited="0">
                <wp:start x="15247" y="0"/>
                <wp:lineTo x="5929" y="2541"/>
                <wp:lineTo x="0" y="7624"/>
                <wp:lineTo x="847" y="15247"/>
                <wp:lineTo x="5082" y="19482"/>
                <wp:lineTo x="5929" y="21176"/>
                <wp:lineTo x="14400" y="21176"/>
                <wp:lineTo x="15247" y="19482"/>
                <wp:lineTo x="19482" y="15247"/>
                <wp:lineTo x="20329" y="4235"/>
                <wp:lineTo x="18635" y="0"/>
                <wp:lineTo x="15247" y="0"/>
              </wp:wrapPolygon>
            </wp:wrapTight>
            <wp:docPr id="14" name="Grafika 1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ullsey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5650E4E5" w14:textId="3B7E8DBE" w:rsidR="002E038F" w:rsidRPr="004C3D6A" w:rsidRDefault="00906E69" w:rsidP="00890189">
      <w:pPr>
        <w:rPr>
          <w:b/>
          <w:bCs/>
          <w:color w:val="0A131B" w:themeColor="text2"/>
          <w:lang w:val="sl-SI"/>
        </w:rPr>
      </w:pPr>
      <w:bookmarkStart w:id="29" w:name="_Toc129003816"/>
      <w:r w:rsidRPr="004C3D6A">
        <w:rPr>
          <w:b/>
          <w:bCs/>
          <w:color w:val="0A131B" w:themeColor="text2"/>
          <w:lang w:val="sl-SI"/>
        </w:rPr>
        <w:t>Izzivi in omejitve</w:t>
      </w:r>
      <w:bookmarkEnd w:id="29"/>
      <w:r w:rsidRPr="004C3D6A">
        <w:rPr>
          <w:b/>
          <w:bCs/>
          <w:color w:val="0A131B" w:themeColor="text2"/>
          <w:lang w:val="sl-SI"/>
        </w:rPr>
        <w:t xml:space="preserve"> </w:t>
      </w:r>
    </w:p>
    <w:p w14:paraId="65A393BE" w14:textId="0A2AC8CA" w:rsidR="00B92600" w:rsidRDefault="00B92600" w:rsidP="00B92600">
      <w:pPr>
        <w:rPr>
          <w:lang w:val="sl-SI"/>
        </w:rPr>
      </w:pPr>
      <w:r>
        <w:rPr>
          <w:lang w:val="sl-SI"/>
        </w:rPr>
        <w:t xml:space="preserve">Priprava </w:t>
      </w:r>
      <w:r w:rsidR="00DD0F5F">
        <w:rPr>
          <w:lang w:val="sl-SI"/>
        </w:rPr>
        <w:t xml:space="preserve">prvega </w:t>
      </w:r>
      <w:r>
        <w:rPr>
          <w:lang w:val="sl-SI"/>
        </w:rPr>
        <w:t xml:space="preserve">osnutka končnega poročila je bila po </w:t>
      </w:r>
      <w:r w:rsidR="00DD0F5F">
        <w:rPr>
          <w:lang w:val="sl-SI"/>
        </w:rPr>
        <w:t xml:space="preserve">predvideni </w:t>
      </w:r>
      <w:proofErr w:type="spellStart"/>
      <w:r>
        <w:rPr>
          <w:lang w:val="sl-SI"/>
        </w:rPr>
        <w:t>časovnici</w:t>
      </w:r>
      <w:proofErr w:type="spellEnd"/>
      <w:r w:rsidR="00DD0F5F">
        <w:rPr>
          <w:lang w:val="sl-SI"/>
        </w:rPr>
        <w:t xml:space="preserve"> kratka, zato </w:t>
      </w:r>
      <w:r w:rsidR="003124C6">
        <w:rPr>
          <w:lang w:val="sl-SI"/>
        </w:rPr>
        <w:t xml:space="preserve">prvi osnutek še ni zajemal celovitega odgovora na vprašanje vrednotenja. Naknadno smo </w:t>
      </w:r>
      <w:r w:rsidR="00DD0F5F">
        <w:rPr>
          <w:lang w:val="sl-SI"/>
        </w:rPr>
        <w:t xml:space="preserve">prejeli vse zahtevane podatke in </w:t>
      </w:r>
      <w:r>
        <w:rPr>
          <w:lang w:val="sl-SI"/>
        </w:rPr>
        <w:t>informacij</w:t>
      </w:r>
      <w:r w:rsidR="00DD0F5F">
        <w:rPr>
          <w:lang w:val="sl-SI"/>
        </w:rPr>
        <w:t xml:space="preserve"> ter jih vključili v končno verzijo dokumenta</w:t>
      </w:r>
      <w:r>
        <w:rPr>
          <w:lang w:val="sl-SI"/>
        </w:rPr>
        <w:t xml:space="preserve">.  </w:t>
      </w:r>
    </w:p>
    <w:p w14:paraId="7DC5102C" w14:textId="451FB436" w:rsidR="00A91202" w:rsidRPr="0064207F" w:rsidRDefault="00A91202" w:rsidP="00237E02">
      <w:pPr>
        <w:rPr>
          <w:b/>
          <w:bCs/>
          <w:lang w:val="sl-SI"/>
        </w:rPr>
      </w:pPr>
    </w:p>
    <w:p w14:paraId="277611C9" w14:textId="7B4A3E39" w:rsidR="00A91202" w:rsidRPr="0064207F" w:rsidRDefault="005F3491" w:rsidP="005F3491">
      <w:pPr>
        <w:pStyle w:val="Naslov2"/>
        <w:rPr>
          <w:b/>
          <w:bCs/>
          <w:lang w:val="sl-SI"/>
        </w:rPr>
      </w:pPr>
      <w:bookmarkStart w:id="30" w:name="_Toc129003817"/>
      <w:bookmarkStart w:id="31" w:name="_Toc136287532"/>
      <w:r w:rsidRPr="0064207F">
        <w:rPr>
          <w:b/>
          <w:bCs/>
          <w:lang w:val="sl-SI"/>
        </w:rPr>
        <w:t>Ali so spremembe v javnih razpisih za sofinanciranje energetske prenove stavb v lasti in rabi občin glede na »prejšnje« javne razpise z ozirom na vsa navodila MZI za izvajanje operacij energetske prenove javnih stavb ustrezne?</w:t>
      </w:r>
      <w:bookmarkEnd w:id="30"/>
      <w:bookmarkEnd w:id="31"/>
    </w:p>
    <w:p w14:paraId="3DD29F4D" w14:textId="77777777" w:rsidR="00742552" w:rsidRPr="0064207F" w:rsidRDefault="00742552" w:rsidP="00742552">
      <w:pPr>
        <w:rPr>
          <w:b/>
          <w:bCs/>
          <w:lang w:val="sl-SI"/>
        </w:rPr>
      </w:pPr>
    </w:p>
    <w:p w14:paraId="3DBDBCC0" w14:textId="75AF8D8F" w:rsidR="00742552" w:rsidRPr="0064207F" w:rsidRDefault="000D671A" w:rsidP="000D671A">
      <w:pPr>
        <w:pStyle w:val="Naslov2"/>
        <w:rPr>
          <w:b/>
          <w:bCs/>
          <w:lang w:val="sl-SI"/>
        </w:rPr>
      </w:pPr>
      <w:bookmarkStart w:id="32" w:name="_Toc136287533"/>
      <w:r w:rsidRPr="0064207F">
        <w:rPr>
          <w:b/>
          <w:bCs/>
          <w:lang w:val="sl-SI"/>
        </w:rPr>
        <w:t>Ali so spremembe v povabilih nosilnega posredniškega organa v obdobju 2016 do decembra 2021 z ozirom na vsa navodila MZI za izvajanje operacij energetske prenove javnih stavb ustrezne?</w:t>
      </w:r>
      <w:bookmarkEnd w:id="32"/>
    </w:p>
    <w:p w14:paraId="6A42163A" w14:textId="44BB92DE" w:rsidR="00E5135D" w:rsidRDefault="00E5135D" w:rsidP="00E5135D">
      <w:pPr>
        <w:rPr>
          <w:lang w:val="sl-SI"/>
        </w:rPr>
      </w:pPr>
    </w:p>
    <w:p w14:paraId="1446196B" w14:textId="1CB8EE78" w:rsidR="00BD45A0" w:rsidRDefault="00BD45A0" w:rsidP="00E5135D">
      <w:pPr>
        <w:rPr>
          <w:lang w:val="sl-SI"/>
        </w:rPr>
      </w:pPr>
      <w:r>
        <w:rPr>
          <w:lang w:val="sl-SI"/>
        </w:rPr>
        <w:t xml:space="preserve">Na vprašanji za vrednotenje 4.2. in 4.3. smo odgovarjali skupaj, saj se obe nanašata </w:t>
      </w:r>
      <w:r w:rsidR="006B65C5">
        <w:rPr>
          <w:lang w:val="sl-SI"/>
        </w:rPr>
        <w:t>na spremembe v javnih razpisih / povabilih ter z njimi povezanimi spremembami v navodilih, usmeritvah in priporočilih.</w:t>
      </w:r>
    </w:p>
    <w:p w14:paraId="4372192F" w14:textId="6AD69504" w:rsidR="006B65C5" w:rsidRDefault="009651A1" w:rsidP="00A91202">
      <w:pPr>
        <w:pStyle w:val="Naslov3"/>
      </w:pPr>
      <w:bookmarkStart w:id="33" w:name="_Toc131352116"/>
      <w:bookmarkStart w:id="34" w:name="_Toc131458158"/>
      <w:bookmarkStart w:id="35" w:name="_Toc136287534"/>
      <w:bookmarkStart w:id="36" w:name="_Toc129003818"/>
      <w:r w:rsidRPr="0058617C">
        <w:rPr>
          <w:noProof/>
        </w:rPr>
        <w:drawing>
          <wp:anchor distT="0" distB="0" distL="114300" distR="114300" simplePos="0" relativeHeight="251658256" behindDoc="1" locked="0" layoutInCell="1" allowOverlap="1" wp14:anchorId="26FEA58D" wp14:editId="1BE642A9">
            <wp:simplePos x="0" y="0"/>
            <wp:positionH relativeFrom="column">
              <wp:posOffset>-481047</wp:posOffset>
            </wp:positionH>
            <wp:positionV relativeFrom="paragraph">
              <wp:posOffset>238088</wp:posOffset>
            </wp:positionV>
            <wp:extent cx="323850" cy="323850"/>
            <wp:effectExtent l="0" t="0" r="0" b="0"/>
            <wp:wrapTight wrapText="bothSides">
              <wp:wrapPolygon edited="0">
                <wp:start x="0" y="0"/>
                <wp:lineTo x="0" y="13976"/>
                <wp:lineTo x="1271" y="19059"/>
                <wp:lineTo x="5082" y="20329"/>
                <wp:lineTo x="16518" y="20329"/>
                <wp:lineTo x="19059" y="19059"/>
                <wp:lineTo x="20329" y="11435"/>
                <wp:lineTo x="20329" y="0"/>
                <wp:lineTo x="0" y="0"/>
              </wp:wrapPolygon>
            </wp:wrapTight>
            <wp:docPr id="16" name="Grafika 16" descr="Tic Tac To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ic Tac Toe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bookmarkEnd w:id="33"/>
      <w:bookmarkEnd w:id="34"/>
      <w:bookmarkEnd w:id="35"/>
    </w:p>
    <w:p w14:paraId="77951406" w14:textId="3C871A25" w:rsidR="00A91202" w:rsidRPr="0058617C" w:rsidRDefault="00A91202" w:rsidP="00A91202">
      <w:pPr>
        <w:pStyle w:val="Naslov3"/>
      </w:pPr>
      <w:bookmarkStart w:id="37" w:name="_Toc129031856"/>
      <w:bookmarkStart w:id="38" w:name="_Toc131352117"/>
      <w:bookmarkStart w:id="39" w:name="_Toc131458159"/>
      <w:bookmarkStart w:id="40" w:name="_Toc136287535"/>
      <w:r w:rsidRPr="0058617C">
        <w:t>Pristop in metodološka orodja</w:t>
      </w:r>
      <w:bookmarkEnd w:id="36"/>
      <w:bookmarkEnd w:id="37"/>
      <w:bookmarkEnd w:id="38"/>
      <w:bookmarkEnd w:id="39"/>
      <w:bookmarkEnd w:id="40"/>
    </w:p>
    <w:p w14:paraId="045BA34A" w14:textId="4775E493" w:rsidR="00E5135D" w:rsidRPr="0058617C" w:rsidRDefault="00E5135D" w:rsidP="00E5135D">
      <w:pPr>
        <w:rPr>
          <w:lang w:val="sl-SI"/>
        </w:rPr>
      </w:pPr>
      <w:r w:rsidRPr="0058617C">
        <w:rPr>
          <w:lang w:val="sl-SI"/>
        </w:rPr>
        <w:t xml:space="preserve">Odgovori na navedeno vprašanje so pridobljeni z uporabo metodološkega orodja »analiza dokumentacije«. Za pridobitev relevantnih podatkov </w:t>
      </w:r>
      <w:r w:rsidR="0047407A">
        <w:rPr>
          <w:lang w:val="sl-SI"/>
        </w:rPr>
        <w:t>smo</w:t>
      </w:r>
      <w:r w:rsidRPr="0058617C">
        <w:rPr>
          <w:lang w:val="sl-SI"/>
        </w:rPr>
        <w:t xml:space="preserve"> pregledal</w:t>
      </w:r>
      <w:r w:rsidR="0047407A">
        <w:rPr>
          <w:lang w:val="sl-SI"/>
        </w:rPr>
        <w:t>i</w:t>
      </w:r>
      <w:r w:rsidRPr="0058617C">
        <w:rPr>
          <w:lang w:val="sl-SI"/>
        </w:rPr>
        <w:t xml:space="preserve"> vse ključne dokumente:</w:t>
      </w:r>
    </w:p>
    <w:p w14:paraId="4A93F6CB" w14:textId="77777777" w:rsidR="00E5135D" w:rsidRPr="0058617C" w:rsidRDefault="00E5135D" w:rsidP="00E5135D">
      <w:pPr>
        <w:pStyle w:val="Odstavekseznama"/>
        <w:numPr>
          <w:ilvl w:val="0"/>
          <w:numId w:val="17"/>
        </w:numPr>
        <w:rPr>
          <w:lang w:val="sl-SI"/>
        </w:rPr>
      </w:pPr>
      <w:r w:rsidRPr="0058617C">
        <w:rPr>
          <w:lang w:val="sl-SI"/>
        </w:rPr>
        <w:t>Navodila in usmeritve (Navodila in tehnične usmeritve za energetsko prenovo javnih stavb, Navodila za delo posredniških organov in upravičencev pri ukrepu energetske prenove stavb javnega sektorja, Podrobnejše usmeritve javnim partnerjem pri ukrepu energetske prenove stavb javnega sektorja, Priročnik upravičenih stroškov pri ukrepu energetske prenove stavb javnega sektorja);</w:t>
      </w:r>
    </w:p>
    <w:p w14:paraId="3BE63786" w14:textId="363EAB83" w:rsidR="00E5135D" w:rsidRPr="0058617C" w:rsidRDefault="00E5135D" w:rsidP="00E5135D">
      <w:pPr>
        <w:pStyle w:val="Odstavekseznama"/>
        <w:numPr>
          <w:ilvl w:val="0"/>
          <w:numId w:val="17"/>
        </w:numPr>
        <w:rPr>
          <w:lang w:val="sl-SI"/>
        </w:rPr>
      </w:pPr>
      <w:r w:rsidRPr="0058617C">
        <w:rPr>
          <w:lang w:val="sl-SI"/>
        </w:rPr>
        <w:t>Povabila nosilnega posredniškega organa za operacije sofinanciranja energetske prenove javnih stavb ožjega in širšega javnega sektorja (OJS 2016, ŠJS 2016, OJS 2017, ŠJS 2017, OJS 2018, ŠJS 2018, OJS 2019, ŠJS 2019, OJS 2020, ŠJS 2020, OJS 2021, ŠJS 2021)</w:t>
      </w:r>
      <w:r w:rsidR="003C1ABB">
        <w:rPr>
          <w:lang w:val="sl-SI"/>
        </w:rPr>
        <w:t>.</w:t>
      </w:r>
    </w:p>
    <w:p w14:paraId="09ECF5D0" w14:textId="77777777" w:rsidR="00E5135D" w:rsidRDefault="00E5135D" w:rsidP="00E5135D">
      <w:pPr>
        <w:rPr>
          <w:lang w:val="sl-SI"/>
        </w:rPr>
      </w:pPr>
      <w:r w:rsidRPr="0058617C">
        <w:rPr>
          <w:lang w:val="sl-SI"/>
        </w:rPr>
        <w:t xml:space="preserve">Vsi dokumenti so bili pregledani in primerjani tudi glede vsebinskih sprememb znotraj dokumentov (redakcijske in vsebinske spremembe) ter njihovega vpliva. Nadalje je bila pripravljena </w:t>
      </w:r>
      <w:proofErr w:type="spellStart"/>
      <w:r w:rsidRPr="0058617C">
        <w:rPr>
          <w:lang w:val="sl-SI"/>
        </w:rPr>
        <w:t>časovnica</w:t>
      </w:r>
      <w:proofErr w:type="spellEnd"/>
      <w:r w:rsidRPr="0058617C">
        <w:rPr>
          <w:lang w:val="sl-SI"/>
        </w:rPr>
        <w:t xml:space="preserve"> objav in veljavnosti dokumentov za ugotovitev morebitnih sprememb dokumentacije med veljavnostjo povabil.</w:t>
      </w:r>
    </w:p>
    <w:p w14:paraId="43158D2A" w14:textId="755D65BB" w:rsidR="00995E14" w:rsidRDefault="00995E14" w:rsidP="00995E14">
      <w:pPr>
        <w:rPr>
          <w:lang w:val="sl-SI"/>
        </w:rPr>
      </w:pPr>
      <w:r>
        <w:rPr>
          <w:lang w:val="sl-SI"/>
        </w:rPr>
        <w:t xml:space="preserve">Poleg navedenega </w:t>
      </w:r>
      <w:r w:rsidR="00B501FA">
        <w:rPr>
          <w:lang w:val="sl-SI"/>
        </w:rPr>
        <w:t xml:space="preserve">smo s pomočjo anketnega vprašalnika in strukturiranih intervjujev </w:t>
      </w:r>
      <w:r w:rsidR="00E96BFA">
        <w:rPr>
          <w:lang w:val="sl-SI"/>
        </w:rPr>
        <w:t xml:space="preserve">dodatno </w:t>
      </w:r>
      <w:r>
        <w:rPr>
          <w:lang w:val="sl-SI"/>
        </w:rPr>
        <w:t xml:space="preserve">presojali tudi kvaliteto pripravljene razpisne dokumentacije ter </w:t>
      </w:r>
      <w:r w:rsidR="00E96BFA">
        <w:rPr>
          <w:lang w:val="sl-SI"/>
        </w:rPr>
        <w:t>spremembe v navodilih o upravičenosti</w:t>
      </w:r>
      <w:r>
        <w:rPr>
          <w:lang w:val="sl-SI"/>
        </w:rPr>
        <w:t xml:space="preserve">. </w:t>
      </w:r>
    </w:p>
    <w:p w14:paraId="5C9040A1" w14:textId="77777777" w:rsidR="00A91202" w:rsidRPr="0058617C" w:rsidRDefault="00A91202" w:rsidP="00A91202">
      <w:pPr>
        <w:rPr>
          <w:lang w:val="sl-SI"/>
        </w:rPr>
      </w:pPr>
      <w:r w:rsidRPr="0058617C">
        <w:rPr>
          <w:noProof/>
          <w:lang w:val="sl-SI"/>
        </w:rPr>
        <w:drawing>
          <wp:anchor distT="0" distB="0" distL="114300" distR="114300" simplePos="0" relativeHeight="251658250" behindDoc="1" locked="0" layoutInCell="1" allowOverlap="1" wp14:anchorId="3D523E7F" wp14:editId="006022D8">
            <wp:simplePos x="0" y="0"/>
            <wp:positionH relativeFrom="column">
              <wp:posOffset>-410210</wp:posOffset>
            </wp:positionH>
            <wp:positionV relativeFrom="paragraph">
              <wp:posOffset>198120</wp:posOffset>
            </wp:positionV>
            <wp:extent cx="323850" cy="323850"/>
            <wp:effectExtent l="0" t="0" r="0" b="0"/>
            <wp:wrapTight wrapText="bothSides">
              <wp:wrapPolygon edited="0">
                <wp:start x="1271" y="0"/>
                <wp:lineTo x="1271" y="20329"/>
                <wp:lineTo x="20329" y="20329"/>
                <wp:lineTo x="20329" y="0"/>
                <wp:lineTo x="1271" y="0"/>
              </wp:wrapPolygon>
            </wp:wrapTight>
            <wp:docPr id="22" name="Grafika 22" descr="Play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layboo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p w14:paraId="250C48A4" w14:textId="77777777" w:rsidR="00A91202" w:rsidRPr="0058617C" w:rsidRDefault="00A91202" w:rsidP="00170C0D">
      <w:pPr>
        <w:pStyle w:val="Naslov3"/>
      </w:pPr>
      <w:bookmarkStart w:id="41" w:name="_Toc129003819"/>
      <w:bookmarkStart w:id="42" w:name="_Toc129031857"/>
      <w:bookmarkStart w:id="43" w:name="_Toc131352118"/>
      <w:bookmarkStart w:id="44" w:name="_Toc131458160"/>
      <w:bookmarkStart w:id="45" w:name="_Toc136287536"/>
      <w:r w:rsidRPr="0058617C">
        <w:t>Ključne ugotovitve in odgovor na vprašanje vrednotenja</w:t>
      </w:r>
      <w:bookmarkEnd w:id="41"/>
      <w:bookmarkEnd w:id="42"/>
      <w:bookmarkEnd w:id="43"/>
      <w:bookmarkEnd w:id="44"/>
      <w:bookmarkEnd w:id="45"/>
      <w:r w:rsidRPr="0058617C">
        <w:t xml:space="preserve"> </w:t>
      </w:r>
    </w:p>
    <w:p w14:paraId="0EC6DAB3" w14:textId="1D0DD191" w:rsidR="004211DA" w:rsidRPr="0058617C" w:rsidRDefault="00E5135D" w:rsidP="00170C0D">
      <w:pPr>
        <w:rPr>
          <w:lang w:val="sl-SI"/>
        </w:rPr>
      </w:pPr>
      <w:r w:rsidRPr="0058617C">
        <w:rPr>
          <w:lang w:val="sl-SI"/>
        </w:rPr>
        <w:t xml:space="preserve">Prvi Javni razpis za sofinanciranje energetske prenove stavb v lasti in rabi občin (JOB-2016) je bil pripravljen v avgustu 2016, </w:t>
      </w:r>
      <w:r w:rsidR="004211DA" w:rsidRPr="0058617C">
        <w:rPr>
          <w:lang w:val="sl-SI"/>
        </w:rPr>
        <w:t>s povabilom OJS 2016, objavljenim 15. julija 2016 in skrajnim rokom 21. novembra 2016; ter povabilom ŠJS 2016, objavljenim 21. julija 2016 in skrajnim rokom 6. februarja 2017.</w:t>
      </w:r>
    </w:p>
    <w:p w14:paraId="5D108EFB" w14:textId="516C21B2" w:rsidR="004211DA" w:rsidRPr="0058617C" w:rsidRDefault="004211DA" w:rsidP="00170C0D">
      <w:pPr>
        <w:rPr>
          <w:lang w:val="sl-SI"/>
        </w:rPr>
      </w:pPr>
      <w:r w:rsidRPr="0058617C">
        <w:rPr>
          <w:lang w:val="sl-SI"/>
        </w:rPr>
        <w:lastRenderedPageBreak/>
        <w:t>Naslednji Javni razpis za sofinanciranje energetske prenove stavb v lasti in rabi občin (JOB-2017) je bil pripravljen v marcu 2017, s povabili OJS 2017 in ŠJS 2017, objavljenimi 31. marca 2017 in skrajnim rokom 18. decembra 2017.</w:t>
      </w:r>
    </w:p>
    <w:p w14:paraId="1B1A7E3C" w14:textId="7B67731A" w:rsidR="004211DA" w:rsidRPr="0058617C" w:rsidRDefault="004211DA" w:rsidP="00170C0D">
      <w:pPr>
        <w:rPr>
          <w:lang w:val="sl-SI"/>
        </w:rPr>
      </w:pPr>
      <w:r w:rsidRPr="0058617C">
        <w:rPr>
          <w:lang w:val="sl-SI"/>
        </w:rPr>
        <w:t>Tretji Javni razpis za sofinanciranje energetske prenove stavb v lasti in rabi občin (JOB-2018) je bil pripravljen v februarju 2018, s povabili OJS 2018 in ŠJS 2018, objavljenimi 23. februarja 2018 in skrajnim rokom 19. novembra 2018.</w:t>
      </w:r>
    </w:p>
    <w:p w14:paraId="0F1ACBBB" w14:textId="26495DC7" w:rsidR="004211DA" w:rsidRPr="0058617C" w:rsidRDefault="004211DA" w:rsidP="00170C0D">
      <w:pPr>
        <w:rPr>
          <w:lang w:val="sl-SI"/>
        </w:rPr>
      </w:pPr>
      <w:r w:rsidRPr="0058617C">
        <w:rPr>
          <w:lang w:val="sl-SI"/>
        </w:rPr>
        <w:t>Četrti Javni razpis za sofinanciranje energetske prenove stavb v lasti in rabi občin (JOB-2019) je bil pripravljen v marcu 20</w:t>
      </w:r>
      <w:r w:rsidR="004B06AB" w:rsidRPr="0058617C">
        <w:rPr>
          <w:lang w:val="sl-SI"/>
        </w:rPr>
        <w:t>19</w:t>
      </w:r>
      <w:r w:rsidRPr="0058617C">
        <w:rPr>
          <w:lang w:val="sl-SI"/>
        </w:rPr>
        <w:t xml:space="preserve">, s povabili OJS 2019 in ŠJS 2019, objavljenimi 27. februarja 2019 in skrajnim rokom </w:t>
      </w:r>
      <w:r w:rsidR="004B06AB" w:rsidRPr="0058617C">
        <w:rPr>
          <w:lang w:val="sl-SI"/>
        </w:rPr>
        <w:t>25</w:t>
      </w:r>
      <w:r w:rsidRPr="0058617C">
        <w:rPr>
          <w:lang w:val="sl-SI"/>
        </w:rPr>
        <w:t>. novembra 201</w:t>
      </w:r>
      <w:r w:rsidR="004B06AB" w:rsidRPr="0058617C">
        <w:rPr>
          <w:lang w:val="sl-SI"/>
        </w:rPr>
        <w:t>9</w:t>
      </w:r>
      <w:r w:rsidRPr="0058617C">
        <w:rPr>
          <w:lang w:val="sl-SI"/>
        </w:rPr>
        <w:t>.</w:t>
      </w:r>
    </w:p>
    <w:p w14:paraId="67BFEBAB" w14:textId="23DF5663" w:rsidR="004B06AB" w:rsidRPr="0058617C" w:rsidRDefault="004B06AB" w:rsidP="00170C0D">
      <w:pPr>
        <w:rPr>
          <w:lang w:val="sl-SI"/>
        </w:rPr>
      </w:pPr>
      <w:r w:rsidRPr="0058617C">
        <w:rPr>
          <w:lang w:val="sl-SI"/>
        </w:rPr>
        <w:t>Peti Javni razpis za sofinanciranje energetske prenove stavb v lasti in rabi občin (JOB-2020) je bil pripravljen v februarju 2020, s povabili OJS 2020 in ŠJS 2020, objavljenimi 21. februarja 2020 in skrajnim rokom 7. septembra 2020.</w:t>
      </w:r>
    </w:p>
    <w:p w14:paraId="39E88383" w14:textId="4453B0F3" w:rsidR="004B06AB" w:rsidRPr="0058617C" w:rsidRDefault="004B06AB" w:rsidP="00170C0D">
      <w:pPr>
        <w:rPr>
          <w:lang w:val="sl-SI"/>
        </w:rPr>
      </w:pPr>
      <w:r w:rsidRPr="0058617C">
        <w:rPr>
          <w:lang w:val="sl-SI"/>
        </w:rPr>
        <w:t>Šesti Javni razpis za sofinanciranje energetske prenove stavb v lasti in rabi občin (JOB-2021) je bil pripravljen v oktobru 2020, s povabili OJS 2021 in ŠJS 2021, objavljenimi 21. februarja 2020 in skrajnim rokom 24. januarja 2022.</w:t>
      </w:r>
    </w:p>
    <w:p w14:paraId="2D1FE6EC" w14:textId="76446E83" w:rsidR="00EE6956" w:rsidRPr="0058617C" w:rsidRDefault="00EE6956" w:rsidP="00170C0D">
      <w:pPr>
        <w:rPr>
          <w:lang w:val="sl-SI"/>
        </w:rPr>
      </w:pPr>
      <w:r w:rsidRPr="0058617C">
        <w:rPr>
          <w:lang w:val="sl-SI"/>
        </w:rPr>
        <w:t xml:space="preserve">Vsi razpisi sledijo podobni strukturi, pri čemer navajajo splošne podatke o javnem razpisu, pravno podlago, opredeljujejo predmet razpisa, podatke o sofinanciranju – razpoložljivost sredstev in višina sofinanciranja, upravičene stroške (pri čemer ne navajajo direktno celotnega seznama, temveč vsebujejo referenco na Priročnik upravičenih stroškov, ki je tudi priloga razpisni dokumentaciji), neupravičene stroške, obdobje upravičenosti, vlagatelja. Razpisi nadalje navajajo pogoje in zahteve za priznanje upravičenosti, opredeljujejo merila, roke za oddajo vlog, ter informacije o postopku odpiranja vlog in izbora. </w:t>
      </w:r>
    </w:p>
    <w:p w14:paraId="59B84640" w14:textId="55531E51" w:rsidR="004B06AB" w:rsidRPr="0058617C" w:rsidRDefault="00D50852" w:rsidP="002A22EB">
      <w:pPr>
        <w:rPr>
          <w:lang w:val="sl-SI"/>
        </w:rPr>
      </w:pPr>
      <w:r w:rsidRPr="0058617C">
        <w:rPr>
          <w:lang w:val="sl-SI"/>
        </w:rPr>
        <w:t xml:space="preserve">Iz logike, ki ji sledijo razpisi, sledi pregled objave Navodil, Usmeritev in Priročnika, ter njihovih vsakokratnih sprememb in posodobitev. </w:t>
      </w:r>
    </w:p>
    <w:p w14:paraId="70BEE8A8" w14:textId="57500A60" w:rsidR="00D50852" w:rsidRDefault="00D50852" w:rsidP="002A22EB">
      <w:pPr>
        <w:rPr>
          <w:lang w:val="sl-SI"/>
        </w:rPr>
      </w:pPr>
      <w:r w:rsidRPr="0058617C">
        <w:rPr>
          <w:b/>
          <w:bCs/>
          <w:lang w:val="sl-SI"/>
        </w:rPr>
        <w:t>Navodila in tehnične usmeritve za energetsko prenovo javnih stavb</w:t>
      </w:r>
      <w:r w:rsidRPr="0058617C">
        <w:rPr>
          <w:lang w:val="sl-SI"/>
        </w:rPr>
        <w:t xml:space="preserve"> so imela tri verzije:</w:t>
      </w:r>
    </w:p>
    <w:p w14:paraId="5507CAF0" w14:textId="77777777" w:rsidR="00D45CF1" w:rsidRPr="0058617C" w:rsidRDefault="00D45CF1" w:rsidP="00D45CF1">
      <w:pPr>
        <w:ind w:left="720"/>
        <w:rPr>
          <w:lang w:val="sl-SI"/>
        </w:rPr>
      </w:pPr>
    </w:p>
    <w:tbl>
      <w:tblPr>
        <w:tblW w:w="4129" w:type="dxa"/>
        <w:tblCellMar>
          <w:left w:w="70" w:type="dxa"/>
          <w:right w:w="70" w:type="dxa"/>
        </w:tblCellMar>
        <w:tblLook w:val="04A0" w:firstRow="1" w:lastRow="0" w:firstColumn="1" w:lastColumn="0" w:noHBand="0" w:noVBand="1"/>
      </w:tblPr>
      <w:tblGrid>
        <w:gridCol w:w="204"/>
        <w:gridCol w:w="1301"/>
        <w:gridCol w:w="2624"/>
      </w:tblGrid>
      <w:tr w:rsidR="00D50852" w:rsidRPr="00D50852" w14:paraId="09AB0B5A" w14:textId="77777777" w:rsidTr="002A22EB">
        <w:trPr>
          <w:trHeight w:val="300"/>
        </w:trPr>
        <w:tc>
          <w:tcPr>
            <w:tcW w:w="4129" w:type="dxa"/>
            <w:gridSpan w:val="3"/>
            <w:tcBorders>
              <w:top w:val="nil"/>
              <w:left w:val="nil"/>
              <w:bottom w:val="nil"/>
              <w:right w:val="nil"/>
            </w:tcBorders>
            <w:shd w:val="clear" w:color="000000" w:fill="FFFFFF"/>
            <w:noWrap/>
            <w:vAlign w:val="bottom"/>
            <w:hideMark/>
          </w:tcPr>
          <w:p w14:paraId="3A487B32" w14:textId="77777777" w:rsidR="00D50852" w:rsidRPr="00D50852" w:rsidRDefault="00D50852" w:rsidP="00D50852">
            <w:pPr>
              <w:spacing w:after="0"/>
              <w:jc w:val="left"/>
              <w:rPr>
                <w:rFonts w:eastAsia="Times New Roman" w:cs="Calibri"/>
                <w:b/>
                <w:bCs/>
                <w:color w:val="000000"/>
                <w:sz w:val="18"/>
                <w:szCs w:val="18"/>
                <w:lang w:val="sl-SI" w:eastAsia="sl-SI"/>
              </w:rPr>
            </w:pPr>
            <w:r w:rsidRPr="00D50852">
              <w:rPr>
                <w:rFonts w:eastAsia="Times New Roman" w:cs="Calibri"/>
                <w:b/>
                <w:bCs/>
                <w:color w:val="000000"/>
                <w:sz w:val="18"/>
                <w:szCs w:val="18"/>
                <w:lang w:val="sl-SI" w:eastAsia="sl-SI"/>
              </w:rPr>
              <w:t>Navodila in tehnične usmeritve za energetsko prenovo javnih stavb</w:t>
            </w:r>
          </w:p>
        </w:tc>
      </w:tr>
      <w:tr w:rsidR="00D50852" w:rsidRPr="00D50852" w14:paraId="4DD74FFE" w14:textId="77777777" w:rsidTr="002A22EB">
        <w:trPr>
          <w:trHeight w:val="300"/>
        </w:trPr>
        <w:tc>
          <w:tcPr>
            <w:tcW w:w="204" w:type="dxa"/>
            <w:tcBorders>
              <w:top w:val="nil"/>
              <w:left w:val="nil"/>
              <w:bottom w:val="nil"/>
              <w:right w:val="nil"/>
            </w:tcBorders>
            <w:shd w:val="clear" w:color="000000" w:fill="FFFFFF"/>
            <w:noWrap/>
            <w:vAlign w:val="bottom"/>
            <w:hideMark/>
          </w:tcPr>
          <w:p w14:paraId="01DF3B8A" w14:textId="77777777" w:rsidR="00D50852" w:rsidRPr="00D50852" w:rsidRDefault="00D50852" w:rsidP="00D50852">
            <w:pPr>
              <w:spacing w:after="0"/>
              <w:jc w:val="left"/>
              <w:outlineLvl w:val="0"/>
              <w:rPr>
                <w:rFonts w:eastAsia="Times New Roman" w:cs="Calibri"/>
                <w:color w:val="000000"/>
                <w:sz w:val="18"/>
                <w:szCs w:val="18"/>
                <w:lang w:val="sl-SI" w:eastAsia="sl-SI"/>
              </w:rPr>
            </w:pPr>
            <w:r w:rsidRPr="00D50852">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6BFBC751" w14:textId="77777777" w:rsidR="00D50852" w:rsidRPr="00D50852" w:rsidRDefault="00D50852" w:rsidP="00D50852">
            <w:pPr>
              <w:spacing w:after="0"/>
              <w:jc w:val="left"/>
              <w:outlineLvl w:val="0"/>
              <w:rPr>
                <w:rFonts w:eastAsia="Times New Roman" w:cs="Calibri"/>
                <w:b/>
                <w:bCs/>
                <w:color w:val="000000"/>
                <w:sz w:val="18"/>
                <w:szCs w:val="18"/>
                <w:lang w:val="sl-SI" w:eastAsia="sl-SI"/>
              </w:rPr>
            </w:pPr>
            <w:bookmarkStart w:id="46" w:name="_Toc129003820"/>
            <w:bookmarkStart w:id="47" w:name="_Toc129031858"/>
            <w:bookmarkStart w:id="48" w:name="_Toc131352119"/>
            <w:bookmarkStart w:id="49" w:name="_Toc131458161"/>
            <w:bookmarkStart w:id="50" w:name="_Toc136287537"/>
            <w:r w:rsidRPr="00D50852">
              <w:rPr>
                <w:rFonts w:eastAsia="Times New Roman" w:cs="Calibri"/>
                <w:b/>
                <w:bCs/>
                <w:color w:val="000000"/>
                <w:sz w:val="18"/>
                <w:szCs w:val="18"/>
                <w:lang w:val="sl-SI" w:eastAsia="sl-SI"/>
              </w:rPr>
              <w:t>v1.00</w:t>
            </w:r>
            <w:bookmarkEnd w:id="46"/>
            <w:bookmarkEnd w:id="47"/>
            <w:bookmarkEnd w:id="48"/>
            <w:bookmarkEnd w:id="49"/>
            <w:bookmarkEnd w:id="50"/>
          </w:p>
        </w:tc>
        <w:tc>
          <w:tcPr>
            <w:tcW w:w="2624" w:type="dxa"/>
            <w:tcBorders>
              <w:top w:val="nil"/>
              <w:left w:val="nil"/>
              <w:bottom w:val="nil"/>
              <w:right w:val="nil"/>
            </w:tcBorders>
            <w:shd w:val="clear" w:color="000000" w:fill="FFFFFF"/>
            <w:noWrap/>
            <w:vAlign w:val="bottom"/>
            <w:hideMark/>
          </w:tcPr>
          <w:p w14:paraId="351A5262" w14:textId="77777777" w:rsidR="00D50852" w:rsidRPr="00D50852" w:rsidRDefault="00D50852" w:rsidP="00D50852">
            <w:pPr>
              <w:spacing w:after="0"/>
              <w:jc w:val="right"/>
              <w:outlineLvl w:val="0"/>
              <w:rPr>
                <w:rFonts w:eastAsia="Times New Roman" w:cs="Calibri"/>
                <w:color w:val="000000"/>
                <w:sz w:val="18"/>
                <w:szCs w:val="18"/>
                <w:lang w:val="sl-SI" w:eastAsia="sl-SI"/>
              </w:rPr>
            </w:pPr>
            <w:bookmarkStart w:id="51" w:name="_Toc129003821"/>
            <w:bookmarkStart w:id="52" w:name="_Toc129031859"/>
            <w:bookmarkStart w:id="53" w:name="_Toc131352120"/>
            <w:bookmarkStart w:id="54" w:name="_Toc131458162"/>
            <w:bookmarkStart w:id="55" w:name="_Toc136287538"/>
            <w:r w:rsidRPr="00D50852">
              <w:rPr>
                <w:rFonts w:eastAsia="Times New Roman" w:cs="Calibri"/>
                <w:color w:val="000000"/>
                <w:sz w:val="18"/>
                <w:szCs w:val="18"/>
                <w:lang w:val="sl-SI" w:eastAsia="sl-SI"/>
              </w:rPr>
              <w:t>15.04.2016</w:t>
            </w:r>
            <w:bookmarkEnd w:id="51"/>
            <w:bookmarkEnd w:id="52"/>
            <w:bookmarkEnd w:id="53"/>
            <w:bookmarkEnd w:id="54"/>
            <w:bookmarkEnd w:id="55"/>
          </w:p>
        </w:tc>
      </w:tr>
      <w:tr w:rsidR="00D50852" w:rsidRPr="00D50852" w14:paraId="5D6B31FA" w14:textId="77777777" w:rsidTr="002A22EB">
        <w:trPr>
          <w:trHeight w:val="300"/>
        </w:trPr>
        <w:tc>
          <w:tcPr>
            <w:tcW w:w="204" w:type="dxa"/>
            <w:tcBorders>
              <w:top w:val="nil"/>
              <w:left w:val="nil"/>
              <w:bottom w:val="nil"/>
              <w:right w:val="nil"/>
            </w:tcBorders>
            <w:shd w:val="clear" w:color="000000" w:fill="FFFFFF"/>
            <w:noWrap/>
            <w:vAlign w:val="bottom"/>
            <w:hideMark/>
          </w:tcPr>
          <w:p w14:paraId="5824ADAC" w14:textId="77777777" w:rsidR="00D50852" w:rsidRPr="00D50852" w:rsidRDefault="00D50852" w:rsidP="00D50852">
            <w:pPr>
              <w:spacing w:after="0"/>
              <w:jc w:val="left"/>
              <w:outlineLvl w:val="0"/>
              <w:rPr>
                <w:rFonts w:eastAsia="Times New Roman" w:cs="Calibri"/>
                <w:color w:val="000000"/>
                <w:sz w:val="18"/>
                <w:szCs w:val="18"/>
                <w:lang w:val="sl-SI" w:eastAsia="sl-SI"/>
              </w:rPr>
            </w:pPr>
            <w:r w:rsidRPr="00D50852">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122776A1" w14:textId="77777777" w:rsidR="00D50852" w:rsidRPr="00D50852" w:rsidRDefault="00D50852" w:rsidP="00D50852">
            <w:pPr>
              <w:spacing w:after="0"/>
              <w:jc w:val="left"/>
              <w:outlineLvl w:val="0"/>
              <w:rPr>
                <w:rFonts w:eastAsia="Times New Roman" w:cs="Calibri"/>
                <w:b/>
                <w:bCs/>
                <w:color w:val="000000"/>
                <w:sz w:val="18"/>
                <w:szCs w:val="18"/>
                <w:lang w:val="sl-SI" w:eastAsia="sl-SI"/>
              </w:rPr>
            </w:pPr>
            <w:bookmarkStart w:id="56" w:name="_Toc129003822"/>
            <w:bookmarkStart w:id="57" w:name="_Toc129031860"/>
            <w:bookmarkStart w:id="58" w:name="_Toc131352121"/>
            <w:bookmarkStart w:id="59" w:name="_Toc131458163"/>
            <w:bookmarkStart w:id="60" w:name="_Toc136287539"/>
            <w:r w:rsidRPr="00D50852">
              <w:rPr>
                <w:rFonts w:eastAsia="Times New Roman" w:cs="Calibri"/>
                <w:b/>
                <w:bCs/>
                <w:color w:val="000000"/>
                <w:sz w:val="18"/>
                <w:szCs w:val="18"/>
                <w:lang w:val="sl-SI" w:eastAsia="sl-SI"/>
              </w:rPr>
              <w:t>v1.01</w:t>
            </w:r>
            <w:bookmarkEnd w:id="56"/>
            <w:bookmarkEnd w:id="57"/>
            <w:bookmarkEnd w:id="58"/>
            <w:bookmarkEnd w:id="59"/>
            <w:bookmarkEnd w:id="60"/>
          </w:p>
        </w:tc>
        <w:tc>
          <w:tcPr>
            <w:tcW w:w="2624" w:type="dxa"/>
            <w:tcBorders>
              <w:top w:val="nil"/>
              <w:left w:val="nil"/>
              <w:bottom w:val="nil"/>
              <w:right w:val="nil"/>
            </w:tcBorders>
            <w:shd w:val="clear" w:color="000000" w:fill="FFFFFF"/>
            <w:noWrap/>
            <w:vAlign w:val="bottom"/>
            <w:hideMark/>
          </w:tcPr>
          <w:p w14:paraId="0EFEBB7C" w14:textId="77777777" w:rsidR="00D50852" w:rsidRPr="00D50852" w:rsidRDefault="00D50852" w:rsidP="00D50852">
            <w:pPr>
              <w:spacing w:after="0"/>
              <w:jc w:val="right"/>
              <w:outlineLvl w:val="0"/>
              <w:rPr>
                <w:rFonts w:eastAsia="Times New Roman" w:cs="Calibri"/>
                <w:color w:val="000000"/>
                <w:sz w:val="18"/>
                <w:szCs w:val="18"/>
                <w:lang w:val="sl-SI" w:eastAsia="sl-SI"/>
              </w:rPr>
            </w:pPr>
            <w:bookmarkStart w:id="61" w:name="_Toc129003823"/>
            <w:bookmarkStart w:id="62" w:name="_Toc129031861"/>
            <w:bookmarkStart w:id="63" w:name="_Toc131352122"/>
            <w:bookmarkStart w:id="64" w:name="_Toc131458164"/>
            <w:bookmarkStart w:id="65" w:name="_Toc136287540"/>
            <w:r w:rsidRPr="00D50852">
              <w:rPr>
                <w:rFonts w:eastAsia="Times New Roman" w:cs="Calibri"/>
                <w:color w:val="000000"/>
                <w:sz w:val="18"/>
                <w:szCs w:val="18"/>
                <w:lang w:val="sl-SI" w:eastAsia="sl-SI"/>
              </w:rPr>
              <w:t>16.02.2018</w:t>
            </w:r>
            <w:bookmarkEnd w:id="61"/>
            <w:bookmarkEnd w:id="62"/>
            <w:bookmarkEnd w:id="63"/>
            <w:bookmarkEnd w:id="64"/>
            <w:bookmarkEnd w:id="65"/>
          </w:p>
        </w:tc>
      </w:tr>
      <w:tr w:rsidR="00D50852" w:rsidRPr="00D50852" w14:paraId="61782BA9" w14:textId="77777777" w:rsidTr="002A22EB">
        <w:trPr>
          <w:trHeight w:val="300"/>
        </w:trPr>
        <w:tc>
          <w:tcPr>
            <w:tcW w:w="204" w:type="dxa"/>
            <w:tcBorders>
              <w:top w:val="nil"/>
              <w:left w:val="nil"/>
              <w:bottom w:val="nil"/>
              <w:right w:val="nil"/>
            </w:tcBorders>
            <w:shd w:val="clear" w:color="000000" w:fill="FFFFFF"/>
            <w:noWrap/>
            <w:vAlign w:val="bottom"/>
            <w:hideMark/>
          </w:tcPr>
          <w:p w14:paraId="74692AEB" w14:textId="77777777" w:rsidR="00D50852" w:rsidRPr="00D50852" w:rsidRDefault="00D50852" w:rsidP="00D50852">
            <w:pPr>
              <w:spacing w:after="0"/>
              <w:jc w:val="left"/>
              <w:outlineLvl w:val="0"/>
              <w:rPr>
                <w:rFonts w:eastAsia="Times New Roman" w:cs="Calibri"/>
                <w:color w:val="000000"/>
                <w:sz w:val="18"/>
                <w:szCs w:val="18"/>
                <w:lang w:val="sl-SI" w:eastAsia="sl-SI"/>
              </w:rPr>
            </w:pPr>
            <w:r w:rsidRPr="00D50852">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01A0772E" w14:textId="77777777" w:rsidR="00D50852" w:rsidRPr="00D50852" w:rsidRDefault="00D50852" w:rsidP="00D50852">
            <w:pPr>
              <w:spacing w:after="0"/>
              <w:jc w:val="left"/>
              <w:outlineLvl w:val="0"/>
              <w:rPr>
                <w:rFonts w:eastAsia="Times New Roman" w:cs="Calibri"/>
                <w:b/>
                <w:bCs/>
                <w:color w:val="000000"/>
                <w:sz w:val="18"/>
                <w:szCs w:val="18"/>
                <w:lang w:val="sl-SI" w:eastAsia="sl-SI"/>
              </w:rPr>
            </w:pPr>
            <w:bookmarkStart w:id="66" w:name="_Toc129003824"/>
            <w:bookmarkStart w:id="67" w:name="_Toc129031862"/>
            <w:bookmarkStart w:id="68" w:name="_Toc131352123"/>
            <w:bookmarkStart w:id="69" w:name="_Toc131458165"/>
            <w:bookmarkStart w:id="70" w:name="_Toc136287541"/>
            <w:r w:rsidRPr="00D50852">
              <w:rPr>
                <w:rFonts w:eastAsia="Times New Roman" w:cs="Calibri"/>
                <w:b/>
                <w:bCs/>
                <w:color w:val="000000"/>
                <w:sz w:val="18"/>
                <w:szCs w:val="18"/>
                <w:lang w:val="sl-SI" w:eastAsia="sl-SI"/>
              </w:rPr>
              <w:t>v1.02</w:t>
            </w:r>
            <w:bookmarkEnd w:id="66"/>
            <w:bookmarkEnd w:id="67"/>
            <w:bookmarkEnd w:id="68"/>
            <w:bookmarkEnd w:id="69"/>
            <w:bookmarkEnd w:id="70"/>
          </w:p>
        </w:tc>
        <w:tc>
          <w:tcPr>
            <w:tcW w:w="2624" w:type="dxa"/>
            <w:tcBorders>
              <w:top w:val="nil"/>
              <w:left w:val="nil"/>
              <w:bottom w:val="nil"/>
              <w:right w:val="nil"/>
            </w:tcBorders>
            <w:shd w:val="clear" w:color="000000" w:fill="FFFFFF"/>
            <w:noWrap/>
            <w:vAlign w:val="bottom"/>
            <w:hideMark/>
          </w:tcPr>
          <w:p w14:paraId="0408D24B" w14:textId="77777777" w:rsidR="00D50852" w:rsidRPr="00D50852" w:rsidRDefault="00D50852" w:rsidP="00D50852">
            <w:pPr>
              <w:spacing w:after="0"/>
              <w:jc w:val="right"/>
              <w:outlineLvl w:val="0"/>
              <w:rPr>
                <w:rFonts w:eastAsia="Times New Roman" w:cs="Calibri"/>
                <w:color w:val="000000"/>
                <w:sz w:val="18"/>
                <w:szCs w:val="18"/>
                <w:lang w:val="sl-SI" w:eastAsia="sl-SI"/>
              </w:rPr>
            </w:pPr>
            <w:bookmarkStart w:id="71" w:name="_Toc129003825"/>
            <w:bookmarkStart w:id="72" w:name="_Toc129031863"/>
            <w:bookmarkStart w:id="73" w:name="_Toc131352124"/>
            <w:bookmarkStart w:id="74" w:name="_Toc131458166"/>
            <w:bookmarkStart w:id="75" w:name="_Toc136287542"/>
            <w:r w:rsidRPr="00D50852">
              <w:rPr>
                <w:rFonts w:eastAsia="Times New Roman" w:cs="Calibri"/>
                <w:color w:val="000000"/>
                <w:sz w:val="18"/>
                <w:szCs w:val="18"/>
                <w:lang w:val="sl-SI" w:eastAsia="sl-SI"/>
              </w:rPr>
              <w:t>28.09.2020</w:t>
            </w:r>
            <w:bookmarkEnd w:id="71"/>
            <w:bookmarkEnd w:id="72"/>
            <w:bookmarkEnd w:id="73"/>
            <w:bookmarkEnd w:id="74"/>
            <w:bookmarkEnd w:id="75"/>
          </w:p>
        </w:tc>
      </w:tr>
      <w:tr w:rsidR="00D50852" w:rsidRPr="0058617C" w14:paraId="2DA75A41" w14:textId="77777777" w:rsidTr="002A22EB">
        <w:trPr>
          <w:trHeight w:val="300"/>
        </w:trPr>
        <w:tc>
          <w:tcPr>
            <w:tcW w:w="204" w:type="dxa"/>
            <w:tcBorders>
              <w:top w:val="nil"/>
              <w:left w:val="nil"/>
              <w:bottom w:val="nil"/>
              <w:right w:val="nil"/>
            </w:tcBorders>
            <w:shd w:val="clear" w:color="000000" w:fill="FFFFFF"/>
            <w:noWrap/>
            <w:vAlign w:val="bottom"/>
          </w:tcPr>
          <w:p w14:paraId="2BC84D86" w14:textId="77777777" w:rsidR="00D50852" w:rsidRPr="0058617C" w:rsidRDefault="00D50852" w:rsidP="00D50852">
            <w:pPr>
              <w:spacing w:after="0"/>
              <w:jc w:val="left"/>
              <w:outlineLvl w:val="0"/>
              <w:rPr>
                <w:rFonts w:eastAsia="Times New Roman" w:cs="Calibri"/>
                <w:color w:val="000000"/>
                <w:sz w:val="18"/>
                <w:szCs w:val="18"/>
                <w:lang w:val="sl-SI" w:eastAsia="sl-SI"/>
              </w:rPr>
            </w:pPr>
          </w:p>
        </w:tc>
        <w:tc>
          <w:tcPr>
            <w:tcW w:w="1301" w:type="dxa"/>
            <w:tcBorders>
              <w:top w:val="nil"/>
              <w:left w:val="nil"/>
              <w:bottom w:val="nil"/>
              <w:right w:val="nil"/>
            </w:tcBorders>
            <w:shd w:val="clear" w:color="000000" w:fill="FFFFFF"/>
            <w:noWrap/>
            <w:vAlign w:val="bottom"/>
          </w:tcPr>
          <w:p w14:paraId="3E52E57F" w14:textId="77777777" w:rsidR="00D50852" w:rsidRPr="0058617C" w:rsidRDefault="00D50852" w:rsidP="00D50852">
            <w:pPr>
              <w:spacing w:after="0"/>
              <w:jc w:val="left"/>
              <w:outlineLvl w:val="0"/>
              <w:rPr>
                <w:rFonts w:eastAsia="Times New Roman" w:cs="Calibri"/>
                <w:b/>
                <w:bCs/>
                <w:color w:val="000000"/>
                <w:sz w:val="18"/>
                <w:szCs w:val="18"/>
                <w:lang w:val="sl-SI" w:eastAsia="sl-SI"/>
              </w:rPr>
            </w:pPr>
          </w:p>
        </w:tc>
        <w:tc>
          <w:tcPr>
            <w:tcW w:w="2624" w:type="dxa"/>
            <w:tcBorders>
              <w:top w:val="nil"/>
              <w:left w:val="nil"/>
              <w:bottom w:val="nil"/>
              <w:right w:val="nil"/>
            </w:tcBorders>
            <w:shd w:val="clear" w:color="000000" w:fill="FFFFFF"/>
            <w:noWrap/>
            <w:vAlign w:val="bottom"/>
          </w:tcPr>
          <w:p w14:paraId="0D3B0E7C" w14:textId="77777777" w:rsidR="00D50852" w:rsidRPr="0058617C" w:rsidRDefault="00D50852" w:rsidP="00D50852">
            <w:pPr>
              <w:spacing w:after="0"/>
              <w:jc w:val="right"/>
              <w:outlineLvl w:val="0"/>
              <w:rPr>
                <w:rFonts w:eastAsia="Times New Roman" w:cs="Calibri"/>
                <w:color w:val="000000"/>
                <w:sz w:val="18"/>
                <w:szCs w:val="18"/>
                <w:lang w:val="sl-SI" w:eastAsia="sl-SI"/>
              </w:rPr>
            </w:pPr>
          </w:p>
        </w:tc>
      </w:tr>
    </w:tbl>
    <w:p w14:paraId="55646434" w14:textId="41930CCF" w:rsidR="004B06AB" w:rsidRPr="0058617C" w:rsidRDefault="00D50852" w:rsidP="002A22EB">
      <w:pPr>
        <w:rPr>
          <w:lang w:val="sl-SI"/>
        </w:rPr>
      </w:pPr>
      <w:r w:rsidRPr="0058617C">
        <w:rPr>
          <w:lang w:val="sl-SI"/>
        </w:rPr>
        <w:t xml:space="preserve">Spremembe iz v1.00 v v1.01 se nanašajo na opredelitev energetske prenove in dodajajo koncept razširjenega energetskega pregleda, ter na dodatke sklicev na podrobnejše določbe, ki se nahajajo v Navodilih za delo posredniških in izvajalskih organov v operacijah energetske prenove stavb. Spremembe iz v1.01 v v1.02 se </w:t>
      </w:r>
      <w:r w:rsidR="00E73719" w:rsidRPr="0058617C">
        <w:rPr>
          <w:lang w:val="sl-SI"/>
        </w:rPr>
        <w:t xml:space="preserve">v največji meri </w:t>
      </w:r>
      <w:r w:rsidRPr="0058617C">
        <w:rPr>
          <w:lang w:val="sl-SI"/>
        </w:rPr>
        <w:t xml:space="preserve">nanašajo na </w:t>
      </w:r>
      <w:r w:rsidR="00E73719" w:rsidRPr="0058617C">
        <w:rPr>
          <w:lang w:val="sl-SI"/>
        </w:rPr>
        <w:t xml:space="preserve">redakcijske spremembe, povezane s spremembo zakonodaje, ki ureja gradbeno področje ter sklicevanjem na omenjeno zakonodajo. </w:t>
      </w:r>
    </w:p>
    <w:p w14:paraId="415F4348" w14:textId="1DD9AE33" w:rsidR="00E73719" w:rsidRPr="0058617C" w:rsidRDefault="00E73719" w:rsidP="002A22EB">
      <w:pPr>
        <w:rPr>
          <w:lang w:val="sl-SI"/>
        </w:rPr>
      </w:pPr>
      <w:r w:rsidRPr="0058617C">
        <w:rPr>
          <w:lang w:val="sl-SI"/>
        </w:rPr>
        <w:t xml:space="preserve">Vse spremembe Navodil so bile uvedene v obdobju, ko ni bilo objavljenega aktivnega povabila, kar posledično pomeni, da se je razpis, ko je bil objavljen, </w:t>
      </w:r>
      <w:r w:rsidR="003709D7" w:rsidRPr="0058617C">
        <w:rPr>
          <w:lang w:val="sl-SI"/>
        </w:rPr>
        <w:t>skliceval na</w:t>
      </w:r>
      <w:r w:rsidRPr="0058617C">
        <w:rPr>
          <w:lang w:val="sl-SI"/>
        </w:rPr>
        <w:t xml:space="preserve"> takrat veljavno verzijo </w:t>
      </w:r>
      <w:r w:rsidR="00102AC1" w:rsidRPr="0058617C">
        <w:rPr>
          <w:lang w:val="sl-SI"/>
        </w:rPr>
        <w:t>Navodil.</w:t>
      </w:r>
    </w:p>
    <w:p w14:paraId="14C117C7" w14:textId="1D580D13" w:rsidR="00E73719" w:rsidRDefault="00E73719" w:rsidP="002A22EB">
      <w:pPr>
        <w:rPr>
          <w:lang w:val="sl-SI"/>
        </w:rPr>
      </w:pPr>
      <w:r w:rsidRPr="0058617C">
        <w:rPr>
          <w:lang w:val="sl-SI"/>
        </w:rPr>
        <w:t xml:space="preserve">Največ sprememb so bila deležna </w:t>
      </w:r>
      <w:r w:rsidRPr="0058617C">
        <w:rPr>
          <w:b/>
          <w:bCs/>
          <w:lang w:val="sl-SI"/>
        </w:rPr>
        <w:t>Navodila za delo posredniških organov in upravičencev pri ukrepu energetske prenove stavb javnega sektorja</w:t>
      </w:r>
      <w:r w:rsidRPr="0058617C">
        <w:rPr>
          <w:lang w:val="sl-SI"/>
        </w:rPr>
        <w:t xml:space="preserve">, ki so na svoji deseti variaciji. </w:t>
      </w:r>
    </w:p>
    <w:p w14:paraId="73EFC6A2" w14:textId="77777777" w:rsidR="00D45CF1" w:rsidRPr="0058617C" w:rsidRDefault="00D45CF1" w:rsidP="00D45CF1">
      <w:pPr>
        <w:ind w:left="720"/>
        <w:rPr>
          <w:lang w:val="sl-SI"/>
        </w:rPr>
      </w:pPr>
    </w:p>
    <w:tbl>
      <w:tblPr>
        <w:tblW w:w="4129" w:type="dxa"/>
        <w:tblInd w:w="142" w:type="dxa"/>
        <w:tblCellMar>
          <w:left w:w="70" w:type="dxa"/>
          <w:right w:w="70" w:type="dxa"/>
        </w:tblCellMar>
        <w:tblLook w:val="04A0" w:firstRow="1" w:lastRow="0" w:firstColumn="1" w:lastColumn="0" w:noHBand="0" w:noVBand="1"/>
      </w:tblPr>
      <w:tblGrid>
        <w:gridCol w:w="204"/>
        <w:gridCol w:w="1301"/>
        <w:gridCol w:w="2624"/>
      </w:tblGrid>
      <w:tr w:rsidR="00102AC1" w:rsidRPr="00102AC1" w14:paraId="16194E58" w14:textId="77777777" w:rsidTr="002A22EB">
        <w:trPr>
          <w:trHeight w:val="300"/>
        </w:trPr>
        <w:tc>
          <w:tcPr>
            <w:tcW w:w="4129" w:type="dxa"/>
            <w:gridSpan w:val="3"/>
            <w:tcBorders>
              <w:top w:val="nil"/>
              <w:left w:val="nil"/>
              <w:bottom w:val="nil"/>
              <w:right w:val="nil"/>
            </w:tcBorders>
            <w:shd w:val="clear" w:color="000000" w:fill="FFFFFF"/>
            <w:noWrap/>
            <w:vAlign w:val="bottom"/>
            <w:hideMark/>
          </w:tcPr>
          <w:p w14:paraId="6D8157FC" w14:textId="77777777" w:rsidR="00102AC1" w:rsidRPr="00102AC1" w:rsidRDefault="00102AC1" w:rsidP="00102AC1">
            <w:pPr>
              <w:spacing w:after="0"/>
              <w:jc w:val="left"/>
              <w:rPr>
                <w:rFonts w:eastAsia="Times New Roman" w:cs="Calibri"/>
                <w:b/>
                <w:bCs/>
                <w:color w:val="000000"/>
                <w:sz w:val="18"/>
                <w:szCs w:val="18"/>
                <w:lang w:val="sl-SI" w:eastAsia="sl-SI"/>
              </w:rPr>
            </w:pPr>
            <w:r w:rsidRPr="00102AC1">
              <w:rPr>
                <w:rFonts w:eastAsia="Times New Roman" w:cs="Calibri"/>
                <w:b/>
                <w:bCs/>
                <w:color w:val="000000"/>
                <w:sz w:val="18"/>
                <w:szCs w:val="18"/>
                <w:lang w:val="sl-SI" w:eastAsia="sl-SI"/>
              </w:rPr>
              <w:t>Navodila za delo posredniških organov in upravičencev pri ukrepu energetske prenove stavb javnega sektorja</w:t>
            </w:r>
          </w:p>
        </w:tc>
      </w:tr>
      <w:tr w:rsidR="00102AC1" w:rsidRPr="00102AC1" w14:paraId="6C91ABA3" w14:textId="77777777" w:rsidTr="002A22EB">
        <w:trPr>
          <w:trHeight w:val="300"/>
        </w:trPr>
        <w:tc>
          <w:tcPr>
            <w:tcW w:w="204" w:type="dxa"/>
            <w:tcBorders>
              <w:top w:val="nil"/>
              <w:left w:val="nil"/>
              <w:bottom w:val="nil"/>
              <w:right w:val="nil"/>
            </w:tcBorders>
            <w:shd w:val="clear" w:color="000000" w:fill="FFFFFF"/>
            <w:noWrap/>
            <w:vAlign w:val="bottom"/>
            <w:hideMark/>
          </w:tcPr>
          <w:p w14:paraId="63DF39BE"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lastRenderedPageBreak/>
              <w:t> </w:t>
            </w:r>
          </w:p>
        </w:tc>
        <w:tc>
          <w:tcPr>
            <w:tcW w:w="1301" w:type="dxa"/>
            <w:tcBorders>
              <w:top w:val="nil"/>
              <w:left w:val="nil"/>
              <w:bottom w:val="nil"/>
              <w:right w:val="nil"/>
            </w:tcBorders>
            <w:shd w:val="clear" w:color="000000" w:fill="FFFFFF"/>
            <w:noWrap/>
            <w:vAlign w:val="bottom"/>
            <w:hideMark/>
          </w:tcPr>
          <w:p w14:paraId="05B71B93"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76" w:name="_Toc129003826"/>
            <w:bookmarkStart w:id="77" w:name="_Toc129031864"/>
            <w:bookmarkStart w:id="78" w:name="_Toc131352125"/>
            <w:bookmarkStart w:id="79" w:name="_Toc131458167"/>
            <w:bookmarkStart w:id="80" w:name="_Toc136287543"/>
            <w:r w:rsidRPr="00102AC1">
              <w:rPr>
                <w:rFonts w:eastAsia="Times New Roman" w:cs="Calibri"/>
                <w:b/>
                <w:bCs/>
                <w:color w:val="000000"/>
                <w:sz w:val="18"/>
                <w:szCs w:val="18"/>
                <w:lang w:val="sl-SI" w:eastAsia="sl-SI"/>
              </w:rPr>
              <w:t>v1.00</w:t>
            </w:r>
            <w:bookmarkEnd w:id="76"/>
            <w:bookmarkEnd w:id="77"/>
            <w:bookmarkEnd w:id="78"/>
            <w:bookmarkEnd w:id="79"/>
            <w:bookmarkEnd w:id="80"/>
          </w:p>
        </w:tc>
        <w:tc>
          <w:tcPr>
            <w:tcW w:w="2624" w:type="dxa"/>
            <w:tcBorders>
              <w:top w:val="nil"/>
              <w:left w:val="nil"/>
              <w:bottom w:val="nil"/>
              <w:right w:val="nil"/>
            </w:tcBorders>
            <w:shd w:val="clear" w:color="000000" w:fill="FFFFFF"/>
            <w:noWrap/>
            <w:vAlign w:val="bottom"/>
            <w:hideMark/>
          </w:tcPr>
          <w:p w14:paraId="5CA978F1"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81" w:name="_Toc129003827"/>
            <w:bookmarkStart w:id="82" w:name="_Toc129031865"/>
            <w:bookmarkStart w:id="83" w:name="_Toc131352126"/>
            <w:bookmarkStart w:id="84" w:name="_Toc131458168"/>
            <w:bookmarkStart w:id="85" w:name="_Toc136287544"/>
            <w:r w:rsidRPr="00102AC1">
              <w:rPr>
                <w:rFonts w:eastAsia="Times New Roman" w:cs="Calibri"/>
                <w:color w:val="000000"/>
                <w:sz w:val="18"/>
                <w:szCs w:val="18"/>
                <w:lang w:val="sl-SI" w:eastAsia="sl-SI"/>
              </w:rPr>
              <w:t>25.02.2016</w:t>
            </w:r>
            <w:bookmarkEnd w:id="81"/>
            <w:bookmarkEnd w:id="82"/>
            <w:bookmarkEnd w:id="83"/>
            <w:bookmarkEnd w:id="84"/>
            <w:bookmarkEnd w:id="85"/>
          </w:p>
        </w:tc>
      </w:tr>
      <w:tr w:rsidR="00102AC1" w:rsidRPr="00102AC1" w14:paraId="037F2F58" w14:textId="77777777" w:rsidTr="002A22EB">
        <w:trPr>
          <w:trHeight w:val="300"/>
        </w:trPr>
        <w:tc>
          <w:tcPr>
            <w:tcW w:w="204" w:type="dxa"/>
            <w:tcBorders>
              <w:top w:val="nil"/>
              <w:left w:val="nil"/>
              <w:bottom w:val="nil"/>
              <w:right w:val="nil"/>
            </w:tcBorders>
            <w:shd w:val="clear" w:color="000000" w:fill="FFFFFF"/>
            <w:noWrap/>
            <w:vAlign w:val="bottom"/>
            <w:hideMark/>
          </w:tcPr>
          <w:p w14:paraId="2B72703F"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6048E73E"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86" w:name="_Toc129003828"/>
            <w:bookmarkStart w:id="87" w:name="_Toc129031866"/>
            <w:bookmarkStart w:id="88" w:name="_Toc131352127"/>
            <w:bookmarkStart w:id="89" w:name="_Toc131458169"/>
            <w:bookmarkStart w:id="90" w:name="_Toc136287545"/>
            <w:r w:rsidRPr="00102AC1">
              <w:rPr>
                <w:rFonts w:eastAsia="Times New Roman" w:cs="Calibri"/>
                <w:b/>
                <w:bCs/>
                <w:color w:val="000000"/>
                <w:sz w:val="18"/>
                <w:szCs w:val="18"/>
                <w:lang w:val="sl-SI" w:eastAsia="sl-SI"/>
              </w:rPr>
              <w:t>v1.01</w:t>
            </w:r>
            <w:bookmarkEnd w:id="86"/>
            <w:bookmarkEnd w:id="87"/>
            <w:bookmarkEnd w:id="88"/>
            <w:bookmarkEnd w:id="89"/>
            <w:bookmarkEnd w:id="90"/>
          </w:p>
        </w:tc>
        <w:tc>
          <w:tcPr>
            <w:tcW w:w="2624" w:type="dxa"/>
            <w:tcBorders>
              <w:top w:val="nil"/>
              <w:left w:val="nil"/>
              <w:bottom w:val="nil"/>
              <w:right w:val="nil"/>
            </w:tcBorders>
            <w:shd w:val="clear" w:color="000000" w:fill="FFFFFF"/>
            <w:noWrap/>
            <w:vAlign w:val="bottom"/>
            <w:hideMark/>
          </w:tcPr>
          <w:p w14:paraId="67DC24DD"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91" w:name="_Toc129003829"/>
            <w:bookmarkStart w:id="92" w:name="_Toc129031867"/>
            <w:bookmarkStart w:id="93" w:name="_Toc131352128"/>
            <w:bookmarkStart w:id="94" w:name="_Toc131458170"/>
            <w:bookmarkStart w:id="95" w:name="_Toc136287546"/>
            <w:r w:rsidRPr="00102AC1">
              <w:rPr>
                <w:rFonts w:eastAsia="Times New Roman" w:cs="Calibri"/>
                <w:color w:val="000000"/>
                <w:sz w:val="18"/>
                <w:szCs w:val="18"/>
                <w:lang w:val="sl-SI" w:eastAsia="sl-SI"/>
              </w:rPr>
              <w:t>2.03.2016</w:t>
            </w:r>
            <w:bookmarkEnd w:id="91"/>
            <w:bookmarkEnd w:id="92"/>
            <w:bookmarkEnd w:id="93"/>
            <w:bookmarkEnd w:id="94"/>
            <w:bookmarkEnd w:id="95"/>
          </w:p>
        </w:tc>
      </w:tr>
      <w:tr w:rsidR="00102AC1" w:rsidRPr="00102AC1" w14:paraId="58397C41" w14:textId="77777777" w:rsidTr="002A22EB">
        <w:trPr>
          <w:trHeight w:val="300"/>
        </w:trPr>
        <w:tc>
          <w:tcPr>
            <w:tcW w:w="204" w:type="dxa"/>
            <w:tcBorders>
              <w:top w:val="nil"/>
              <w:left w:val="nil"/>
              <w:bottom w:val="nil"/>
              <w:right w:val="nil"/>
            </w:tcBorders>
            <w:shd w:val="clear" w:color="000000" w:fill="FFFFFF"/>
            <w:noWrap/>
            <w:vAlign w:val="bottom"/>
            <w:hideMark/>
          </w:tcPr>
          <w:p w14:paraId="4147FC84"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01AF1A9D"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96" w:name="_Toc129003830"/>
            <w:bookmarkStart w:id="97" w:name="_Toc129031868"/>
            <w:bookmarkStart w:id="98" w:name="_Toc131352129"/>
            <w:bookmarkStart w:id="99" w:name="_Toc131458171"/>
            <w:bookmarkStart w:id="100" w:name="_Toc136287547"/>
            <w:r w:rsidRPr="00102AC1">
              <w:rPr>
                <w:rFonts w:eastAsia="Times New Roman" w:cs="Calibri"/>
                <w:b/>
                <w:bCs/>
                <w:color w:val="000000"/>
                <w:sz w:val="18"/>
                <w:szCs w:val="18"/>
                <w:lang w:val="sl-SI" w:eastAsia="sl-SI"/>
              </w:rPr>
              <w:t>v1.02</w:t>
            </w:r>
            <w:bookmarkEnd w:id="96"/>
            <w:bookmarkEnd w:id="97"/>
            <w:bookmarkEnd w:id="98"/>
            <w:bookmarkEnd w:id="99"/>
            <w:bookmarkEnd w:id="100"/>
          </w:p>
        </w:tc>
        <w:tc>
          <w:tcPr>
            <w:tcW w:w="2624" w:type="dxa"/>
            <w:tcBorders>
              <w:top w:val="nil"/>
              <w:left w:val="nil"/>
              <w:bottom w:val="nil"/>
              <w:right w:val="nil"/>
            </w:tcBorders>
            <w:shd w:val="clear" w:color="000000" w:fill="FFFFFF"/>
            <w:noWrap/>
            <w:vAlign w:val="bottom"/>
            <w:hideMark/>
          </w:tcPr>
          <w:p w14:paraId="359CB787"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101" w:name="_Toc129003831"/>
            <w:bookmarkStart w:id="102" w:name="_Toc129031869"/>
            <w:bookmarkStart w:id="103" w:name="_Toc131352130"/>
            <w:bookmarkStart w:id="104" w:name="_Toc131458172"/>
            <w:bookmarkStart w:id="105" w:name="_Toc136287548"/>
            <w:r w:rsidRPr="00102AC1">
              <w:rPr>
                <w:rFonts w:eastAsia="Times New Roman" w:cs="Calibri"/>
                <w:color w:val="000000"/>
                <w:sz w:val="18"/>
                <w:szCs w:val="18"/>
                <w:lang w:val="sl-SI" w:eastAsia="sl-SI"/>
              </w:rPr>
              <w:t>15.04.2016</w:t>
            </w:r>
            <w:bookmarkEnd w:id="101"/>
            <w:bookmarkEnd w:id="102"/>
            <w:bookmarkEnd w:id="103"/>
            <w:bookmarkEnd w:id="104"/>
            <w:bookmarkEnd w:id="105"/>
          </w:p>
        </w:tc>
      </w:tr>
      <w:tr w:rsidR="00102AC1" w:rsidRPr="00102AC1" w14:paraId="195E77C8" w14:textId="77777777" w:rsidTr="002A22EB">
        <w:trPr>
          <w:trHeight w:val="300"/>
        </w:trPr>
        <w:tc>
          <w:tcPr>
            <w:tcW w:w="204" w:type="dxa"/>
            <w:tcBorders>
              <w:top w:val="nil"/>
              <w:left w:val="nil"/>
              <w:bottom w:val="nil"/>
              <w:right w:val="nil"/>
            </w:tcBorders>
            <w:shd w:val="clear" w:color="000000" w:fill="FFFFFF"/>
            <w:noWrap/>
            <w:vAlign w:val="bottom"/>
            <w:hideMark/>
          </w:tcPr>
          <w:p w14:paraId="30609BA9"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05407844"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106" w:name="_Toc129003832"/>
            <w:bookmarkStart w:id="107" w:name="_Toc129031870"/>
            <w:bookmarkStart w:id="108" w:name="_Toc131352131"/>
            <w:bookmarkStart w:id="109" w:name="_Toc131458173"/>
            <w:bookmarkStart w:id="110" w:name="_Toc136287549"/>
            <w:r w:rsidRPr="00102AC1">
              <w:rPr>
                <w:rFonts w:eastAsia="Times New Roman" w:cs="Calibri"/>
                <w:b/>
                <w:bCs/>
                <w:color w:val="000000"/>
                <w:sz w:val="18"/>
                <w:szCs w:val="18"/>
                <w:lang w:val="sl-SI" w:eastAsia="sl-SI"/>
              </w:rPr>
              <w:t>v1.03</w:t>
            </w:r>
            <w:bookmarkEnd w:id="106"/>
            <w:bookmarkEnd w:id="107"/>
            <w:bookmarkEnd w:id="108"/>
            <w:bookmarkEnd w:id="109"/>
            <w:bookmarkEnd w:id="110"/>
          </w:p>
        </w:tc>
        <w:tc>
          <w:tcPr>
            <w:tcW w:w="2624" w:type="dxa"/>
            <w:tcBorders>
              <w:top w:val="nil"/>
              <w:left w:val="nil"/>
              <w:bottom w:val="nil"/>
              <w:right w:val="nil"/>
            </w:tcBorders>
            <w:shd w:val="clear" w:color="000000" w:fill="FFFFFF"/>
            <w:noWrap/>
            <w:vAlign w:val="bottom"/>
            <w:hideMark/>
          </w:tcPr>
          <w:p w14:paraId="15528253"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111" w:name="_Toc129003833"/>
            <w:bookmarkStart w:id="112" w:name="_Toc129031871"/>
            <w:bookmarkStart w:id="113" w:name="_Toc131352132"/>
            <w:bookmarkStart w:id="114" w:name="_Toc131458174"/>
            <w:bookmarkStart w:id="115" w:name="_Toc136287550"/>
            <w:r w:rsidRPr="00102AC1">
              <w:rPr>
                <w:rFonts w:eastAsia="Times New Roman" w:cs="Calibri"/>
                <w:color w:val="000000"/>
                <w:sz w:val="18"/>
                <w:szCs w:val="18"/>
                <w:lang w:val="sl-SI" w:eastAsia="sl-SI"/>
              </w:rPr>
              <w:t>21.06.2016</w:t>
            </w:r>
            <w:bookmarkEnd w:id="111"/>
            <w:bookmarkEnd w:id="112"/>
            <w:bookmarkEnd w:id="113"/>
            <w:bookmarkEnd w:id="114"/>
            <w:bookmarkEnd w:id="115"/>
          </w:p>
        </w:tc>
      </w:tr>
      <w:tr w:rsidR="00102AC1" w:rsidRPr="00102AC1" w14:paraId="73F021EA" w14:textId="77777777" w:rsidTr="002A22EB">
        <w:trPr>
          <w:trHeight w:val="300"/>
        </w:trPr>
        <w:tc>
          <w:tcPr>
            <w:tcW w:w="204" w:type="dxa"/>
            <w:tcBorders>
              <w:top w:val="nil"/>
              <w:left w:val="nil"/>
              <w:bottom w:val="nil"/>
              <w:right w:val="nil"/>
            </w:tcBorders>
            <w:shd w:val="clear" w:color="000000" w:fill="FFFFFF"/>
            <w:noWrap/>
            <w:vAlign w:val="bottom"/>
            <w:hideMark/>
          </w:tcPr>
          <w:p w14:paraId="5825EE06"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42294920"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116" w:name="_Toc129003834"/>
            <w:bookmarkStart w:id="117" w:name="_Toc129031872"/>
            <w:bookmarkStart w:id="118" w:name="_Toc131352133"/>
            <w:bookmarkStart w:id="119" w:name="_Toc131458175"/>
            <w:bookmarkStart w:id="120" w:name="_Toc136287551"/>
            <w:r w:rsidRPr="00102AC1">
              <w:rPr>
                <w:rFonts w:eastAsia="Times New Roman" w:cs="Calibri"/>
                <w:b/>
                <w:bCs/>
                <w:color w:val="000000"/>
                <w:sz w:val="18"/>
                <w:szCs w:val="18"/>
                <w:lang w:val="sl-SI" w:eastAsia="sl-SI"/>
              </w:rPr>
              <w:t>v1.04</w:t>
            </w:r>
            <w:bookmarkEnd w:id="116"/>
            <w:bookmarkEnd w:id="117"/>
            <w:bookmarkEnd w:id="118"/>
            <w:bookmarkEnd w:id="119"/>
            <w:bookmarkEnd w:id="120"/>
          </w:p>
        </w:tc>
        <w:tc>
          <w:tcPr>
            <w:tcW w:w="2624" w:type="dxa"/>
            <w:tcBorders>
              <w:top w:val="nil"/>
              <w:left w:val="nil"/>
              <w:bottom w:val="nil"/>
              <w:right w:val="nil"/>
            </w:tcBorders>
            <w:shd w:val="clear" w:color="000000" w:fill="FFFFFF"/>
            <w:noWrap/>
            <w:vAlign w:val="bottom"/>
            <w:hideMark/>
          </w:tcPr>
          <w:p w14:paraId="44E72E83"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121" w:name="_Toc129003835"/>
            <w:bookmarkStart w:id="122" w:name="_Toc129031873"/>
            <w:bookmarkStart w:id="123" w:name="_Toc131352134"/>
            <w:bookmarkStart w:id="124" w:name="_Toc131458176"/>
            <w:bookmarkStart w:id="125" w:name="_Toc136287552"/>
            <w:r w:rsidRPr="00102AC1">
              <w:rPr>
                <w:rFonts w:eastAsia="Times New Roman" w:cs="Calibri"/>
                <w:color w:val="000000"/>
                <w:sz w:val="18"/>
                <w:szCs w:val="18"/>
                <w:lang w:val="sl-SI" w:eastAsia="sl-SI"/>
              </w:rPr>
              <w:t>2.09.2016</w:t>
            </w:r>
            <w:bookmarkEnd w:id="121"/>
            <w:bookmarkEnd w:id="122"/>
            <w:bookmarkEnd w:id="123"/>
            <w:bookmarkEnd w:id="124"/>
            <w:bookmarkEnd w:id="125"/>
          </w:p>
        </w:tc>
      </w:tr>
      <w:tr w:rsidR="00102AC1" w:rsidRPr="00102AC1" w14:paraId="32483003" w14:textId="77777777" w:rsidTr="002A22EB">
        <w:trPr>
          <w:trHeight w:val="300"/>
        </w:trPr>
        <w:tc>
          <w:tcPr>
            <w:tcW w:w="204" w:type="dxa"/>
            <w:tcBorders>
              <w:top w:val="nil"/>
              <w:left w:val="nil"/>
              <w:bottom w:val="nil"/>
              <w:right w:val="nil"/>
            </w:tcBorders>
            <w:shd w:val="clear" w:color="000000" w:fill="FFFFFF"/>
            <w:noWrap/>
            <w:vAlign w:val="bottom"/>
            <w:hideMark/>
          </w:tcPr>
          <w:p w14:paraId="5E521567"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0E0BF2F4"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126" w:name="_Toc129003836"/>
            <w:bookmarkStart w:id="127" w:name="_Toc129031874"/>
            <w:bookmarkStart w:id="128" w:name="_Toc131352135"/>
            <w:bookmarkStart w:id="129" w:name="_Toc131458177"/>
            <w:bookmarkStart w:id="130" w:name="_Toc136287553"/>
            <w:r w:rsidRPr="00102AC1">
              <w:rPr>
                <w:rFonts w:eastAsia="Times New Roman" w:cs="Calibri"/>
                <w:b/>
                <w:bCs/>
                <w:color w:val="000000"/>
                <w:sz w:val="18"/>
                <w:szCs w:val="18"/>
                <w:lang w:val="sl-SI" w:eastAsia="sl-SI"/>
              </w:rPr>
              <w:t>v1.05</w:t>
            </w:r>
            <w:bookmarkEnd w:id="126"/>
            <w:bookmarkEnd w:id="127"/>
            <w:bookmarkEnd w:id="128"/>
            <w:bookmarkEnd w:id="129"/>
            <w:bookmarkEnd w:id="130"/>
          </w:p>
        </w:tc>
        <w:tc>
          <w:tcPr>
            <w:tcW w:w="2624" w:type="dxa"/>
            <w:tcBorders>
              <w:top w:val="nil"/>
              <w:left w:val="nil"/>
              <w:bottom w:val="nil"/>
              <w:right w:val="nil"/>
            </w:tcBorders>
            <w:shd w:val="clear" w:color="000000" w:fill="FFFFFF"/>
            <w:noWrap/>
            <w:vAlign w:val="bottom"/>
            <w:hideMark/>
          </w:tcPr>
          <w:p w14:paraId="7B7428A5"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131" w:name="_Toc129003837"/>
            <w:bookmarkStart w:id="132" w:name="_Toc129031875"/>
            <w:bookmarkStart w:id="133" w:name="_Toc131352136"/>
            <w:bookmarkStart w:id="134" w:name="_Toc131458178"/>
            <w:bookmarkStart w:id="135" w:name="_Toc136287554"/>
            <w:r w:rsidRPr="00102AC1">
              <w:rPr>
                <w:rFonts w:eastAsia="Times New Roman" w:cs="Calibri"/>
                <w:color w:val="000000"/>
                <w:sz w:val="18"/>
                <w:szCs w:val="18"/>
                <w:lang w:val="sl-SI" w:eastAsia="sl-SI"/>
              </w:rPr>
              <w:t>23.03.2017</w:t>
            </w:r>
            <w:bookmarkEnd w:id="131"/>
            <w:bookmarkEnd w:id="132"/>
            <w:bookmarkEnd w:id="133"/>
            <w:bookmarkEnd w:id="134"/>
            <w:bookmarkEnd w:id="135"/>
          </w:p>
        </w:tc>
      </w:tr>
      <w:tr w:rsidR="00102AC1" w:rsidRPr="00102AC1" w14:paraId="4E4FEAE3" w14:textId="77777777" w:rsidTr="002A22EB">
        <w:trPr>
          <w:trHeight w:val="300"/>
        </w:trPr>
        <w:tc>
          <w:tcPr>
            <w:tcW w:w="204" w:type="dxa"/>
            <w:tcBorders>
              <w:top w:val="nil"/>
              <w:left w:val="nil"/>
              <w:bottom w:val="nil"/>
              <w:right w:val="nil"/>
            </w:tcBorders>
            <w:shd w:val="clear" w:color="000000" w:fill="FFFFFF"/>
            <w:noWrap/>
            <w:vAlign w:val="bottom"/>
            <w:hideMark/>
          </w:tcPr>
          <w:p w14:paraId="1666B67D"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7D739340"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136" w:name="_Toc129003838"/>
            <w:bookmarkStart w:id="137" w:name="_Toc129031876"/>
            <w:bookmarkStart w:id="138" w:name="_Toc131352137"/>
            <w:bookmarkStart w:id="139" w:name="_Toc131458179"/>
            <w:bookmarkStart w:id="140" w:name="_Toc136287555"/>
            <w:r w:rsidRPr="00102AC1">
              <w:rPr>
                <w:rFonts w:eastAsia="Times New Roman" w:cs="Calibri"/>
                <w:b/>
                <w:bCs/>
                <w:color w:val="000000"/>
                <w:sz w:val="18"/>
                <w:szCs w:val="18"/>
                <w:lang w:val="sl-SI" w:eastAsia="sl-SI"/>
              </w:rPr>
              <w:t>v1.06</w:t>
            </w:r>
            <w:bookmarkEnd w:id="136"/>
            <w:bookmarkEnd w:id="137"/>
            <w:bookmarkEnd w:id="138"/>
            <w:bookmarkEnd w:id="139"/>
            <w:bookmarkEnd w:id="140"/>
          </w:p>
        </w:tc>
        <w:tc>
          <w:tcPr>
            <w:tcW w:w="2624" w:type="dxa"/>
            <w:tcBorders>
              <w:top w:val="nil"/>
              <w:left w:val="nil"/>
              <w:bottom w:val="nil"/>
              <w:right w:val="nil"/>
            </w:tcBorders>
            <w:shd w:val="clear" w:color="000000" w:fill="FFFFFF"/>
            <w:noWrap/>
            <w:vAlign w:val="bottom"/>
            <w:hideMark/>
          </w:tcPr>
          <w:p w14:paraId="55E50725"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141" w:name="_Toc129003839"/>
            <w:bookmarkStart w:id="142" w:name="_Toc129031877"/>
            <w:bookmarkStart w:id="143" w:name="_Toc131352138"/>
            <w:bookmarkStart w:id="144" w:name="_Toc131458180"/>
            <w:bookmarkStart w:id="145" w:name="_Toc136287556"/>
            <w:r w:rsidRPr="00102AC1">
              <w:rPr>
                <w:rFonts w:eastAsia="Times New Roman" w:cs="Calibri"/>
                <w:color w:val="000000"/>
                <w:sz w:val="18"/>
                <w:szCs w:val="18"/>
                <w:lang w:val="sl-SI" w:eastAsia="sl-SI"/>
              </w:rPr>
              <w:t>16.02.2018</w:t>
            </w:r>
            <w:bookmarkEnd w:id="141"/>
            <w:bookmarkEnd w:id="142"/>
            <w:bookmarkEnd w:id="143"/>
            <w:bookmarkEnd w:id="144"/>
            <w:bookmarkEnd w:id="145"/>
          </w:p>
        </w:tc>
      </w:tr>
      <w:tr w:rsidR="00102AC1" w:rsidRPr="00102AC1" w14:paraId="490ABEC8" w14:textId="77777777" w:rsidTr="002A22EB">
        <w:trPr>
          <w:trHeight w:val="300"/>
        </w:trPr>
        <w:tc>
          <w:tcPr>
            <w:tcW w:w="204" w:type="dxa"/>
            <w:tcBorders>
              <w:top w:val="nil"/>
              <w:left w:val="nil"/>
              <w:bottom w:val="nil"/>
              <w:right w:val="nil"/>
            </w:tcBorders>
            <w:shd w:val="clear" w:color="000000" w:fill="FFFFFF"/>
            <w:noWrap/>
            <w:vAlign w:val="bottom"/>
            <w:hideMark/>
          </w:tcPr>
          <w:p w14:paraId="6AF2D523"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00E79548"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146" w:name="_Toc129003840"/>
            <w:bookmarkStart w:id="147" w:name="_Toc129031878"/>
            <w:bookmarkStart w:id="148" w:name="_Toc131352139"/>
            <w:bookmarkStart w:id="149" w:name="_Toc131458181"/>
            <w:bookmarkStart w:id="150" w:name="_Toc136287557"/>
            <w:r w:rsidRPr="00102AC1">
              <w:rPr>
                <w:rFonts w:eastAsia="Times New Roman" w:cs="Calibri"/>
                <w:b/>
                <w:bCs/>
                <w:color w:val="000000"/>
                <w:sz w:val="18"/>
                <w:szCs w:val="18"/>
                <w:lang w:val="sl-SI" w:eastAsia="sl-SI"/>
              </w:rPr>
              <w:t>v1.07</w:t>
            </w:r>
            <w:bookmarkEnd w:id="146"/>
            <w:bookmarkEnd w:id="147"/>
            <w:bookmarkEnd w:id="148"/>
            <w:bookmarkEnd w:id="149"/>
            <w:bookmarkEnd w:id="150"/>
          </w:p>
        </w:tc>
        <w:tc>
          <w:tcPr>
            <w:tcW w:w="2624" w:type="dxa"/>
            <w:tcBorders>
              <w:top w:val="nil"/>
              <w:left w:val="nil"/>
              <w:bottom w:val="nil"/>
              <w:right w:val="nil"/>
            </w:tcBorders>
            <w:shd w:val="clear" w:color="000000" w:fill="FFFFFF"/>
            <w:noWrap/>
            <w:vAlign w:val="bottom"/>
            <w:hideMark/>
          </w:tcPr>
          <w:p w14:paraId="4F569E7B"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151" w:name="_Toc129003841"/>
            <w:bookmarkStart w:id="152" w:name="_Toc129031879"/>
            <w:bookmarkStart w:id="153" w:name="_Toc131352140"/>
            <w:bookmarkStart w:id="154" w:name="_Toc131458182"/>
            <w:bookmarkStart w:id="155" w:name="_Toc136287558"/>
            <w:r w:rsidRPr="00102AC1">
              <w:rPr>
                <w:rFonts w:eastAsia="Times New Roman" w:cs="Calibri"/>
                <w:color w:val="000000"/>
                <w:sz w:val="18"/>
                <w:szCs w:val="18"/>
                <w:lang w:val="sl-SI" w:eastAsia="sl-SI"/>
              </w:rPr>
              <w:t>9.01.2019</w:t>
            </w:r>
            <w:bookmarkEnd w:id="151"/>
            <w:bookmarkEnd w:id="152"/>
            <w:bookmarkEnd w:id="153"/>
            <w:bookmarkEnd w:id="154"/>
            <w:bookmarkEnd w:id="155"/>
          </w:p>
        </w:tc>
      </w:tr>
      <w:tr w:rsidR="00102AC1" w:rsidRPr="00102AC1" w14:paraId="48F73231" w14:textId="77777777" w:rsidTr="002A22EB">
        <w:trPr>
          <w:trHeight w:val="300"/>
        </w:trPr>
        <w:tc>
          <w:tcPr>
            <w:tcW w:w="204" w:type="dxa"/>
            <w:tcBorders>
              <w:top w:val="nil"/>
              <w:left w:val="nil"/>
              <w:bottom w:val="nil"/>
              <w:right w:val="nil"/>
            </w:tcBorders>
            <w:shd w:val="clear" w:color="000000" w:fill="FFFFFF"/>
            <w:noWrap/>
            <w:vAlign w:val="bottom"/>
            <w:hideMark/>
          </w:tcPr>
          <w:p w14:paraId="3C45EBC1"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61721092"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156" w:name="_Toc129003842"/>
            <w:bookmarkStart w:id="157" w:name="_Toc129031880"/>
            <w:bookmarkStart w:id="158" w:name="_Toc131352141"/>
            <w:bookmarkStart w:id="159" w:name="_Toc131458183"/>
            <w:bookmarkStart w:id="160" w:name="_Toc136287559"/>
            <w:r w:rsidRPr="00102AC1">
              <w:rPr>
                <w:rFonts w:eastAsia="Times New Roman" w:cs="Calibri"/>
                <w:b/>
                <w:bCs/>
                <w:color w:val="000000"/>
                <w:sz w:val="18"/>
                <w:szCs w:val="18"/>
                <w:lang w:val="sl-SI" w:eastAsia="sl-SI"/>
              </w:rPr>
              <w:t>v1.08</w:t>
            </w:r>
            <w:bookmarkEnd w:id="156"/>
            <w:bookmarkEnd w:id="157"/>
            <w:bookmarkEnd w:id="158"/>
            <w:bookmarkEnd w:id="159"/>
            <w:bookmarkEnd w:id="160"/>
          </w:p>
        </w:tc>
        <w:tc>
          <w:tcPr>
            <w:tcW w:w="2624" w:type="dxa"/>
            <w:tcBorders>
              <w:top w:val="nil"/>
              <w:left w:val="nil"/>
              <w:bottom w:val="nil"/>
              <w:right w:val="nil"/>
            </w:tcBorders>
            <w:shd w:val="clear" w:color="000000" w:fill="FFFFFF"/>
            <w:noWrap/>
            <w:vAlign w:val="bottom"/>
            <w:hideMark/>
          </w:tcPr>
          <w:p w14:paraId="6FF2997D"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161" w:name="_Toc129003843"/>
            <w:bookmarkStart w:id="162" w:name="_Toc129031881"/>
            <w:bookmarkStart w:id="163" w:name="_Toc131352142"/>
            <w:bookmarkStart w:id="164" w:name="_Toc131458184"/>
            <w:bookmarkStart w:id="165" w:name="_Toc136287560"/>
            <w:r w:rsidRPr="00102AC1">
              <w:rPr>
                <w:rFonts w:eastAsia="Times New Roman" w:cs="Calibri"/>
                <w:color w:val="000000"/>
                <w:sz w:val="18"/>
                <w:szCs w:val="18"/>
                <w:lang w:val="sl-SI" w:eastAsia="sl-SI"/>
              </w:rPr>
              <w:t>21.02.2020</w:t>
            </w:r>
            <w:bookmarkEnd w:id="161"/>
            <w:bookmarkEnd w:id="162"/>
            <w:bookmarkEnd w:id="163"/>
            <w:bookmarkEnd w:id="164"/>
            <w:bookmarkEnd w:id="165"/>
          </w:p>
        </w:tc>
      </w:tr>
      <w:tr w:rsidR="00102AC1" w:rsidRPr="00102AC1" w14:paraId="4E030A43" w14:textId="77777777" w:rsidTr="002A22EB">
        <w:trPr>
          <w:trHeight w:val="300"/>
        </w:trPr>
        <w:tc>
          <w:tcPr>
            <w:tcW w:w="204" w:type="dxa"/>
            <w:tcBorders>
              <w:top w:val="nil"/>
              <w:left w:val="nil"/>
              <w:bottom w:val="nil"/>
              <w:right w:val="nil"/>
            </w:tcBorders>
            <w:shd w:val="clear" w:color="000000" w:fill="FFFFFF"/>
            <w:noWrap/>
            <w:vAlign w:val="bottom"/>
            <w:hideMark/>
          </w:tcPr>
          <w:p w14:paraId="4E4D5D4A" w14:textId="77777777" w:rsidR="00102AC1" w:rsidRPr="00102AC1" w:rsidRDefault="00102AC1" w:rsidP="00102AC1">
            <w:pPr>
              <w:spacing w:after="0"/>
              <w:jc w:val="left"/>
              <w:outlineLvl w:val="0"/>
              <w:rPr>
                <w:rFonts w:eastAsia="Times New Roman" w:cs="Calibri"/>
                <w:color w:val="000000"/>
                <w:sz w:val="18"/>
                <w:szCs w:val="18"/>
                <w:lang w:val="sl-SI" w:eastAsia="sl-SI"/>
              </w:rPr>
            </w:pPr>
            <w:r w:rsidRPr="00102AC1">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0900B169" w14:textId="77777777" w:rsidR="00102AC1" w:rsidRPr="00102AC1" w:rsidRDefault="00102AC1" w:rsidP="00102AC1">
            <w:pPr>
              <w:spacing w:after="0"/>
              <w:jc w:val="left"/>
              <w:outlineLvl w:val="0"/>
              <w:rPr>
                <w:rFonts w:eastAsia="Times New Roman" w:cs="Calibri"/>
                <w:b/>
                <w:bCs/>
                <w:color w:val="000000"/>
                <w:sz w:val="18"/>
                <w:szCs w:val="18"/>
                <w:lang w:val="sl-SI" w:eastAsia="sl-SI"/>
              </w:rPr>
            </w:pPr>
            <w:bookmarkStart w:id="166" w:name="_Toc129003844"/>
            <w:bookmarkStart w:id="167" w:name="_Toc129031882"/>
            <w:bookmarkStart w:id="168" w:name="_Toc131352143"/>
            <w:bookmarkStart w:id="169" w:name="_Toc131458185"/>
            <w:bookmarkStart w:id="170" w:name="_Toc136287561"/>
            <w:r w:rsidRPr="00102AC1">
              <w:rPr>
                <w:rFonts w:eastAsia="Times New Roman" w:cs="Calibri"/>
                <w:b/>
                <w:bCs/>
                <w:color w:val="000000"/>
                <w:sz w:val="18"/>
                <w:szCs w:val="18"/>
                <w:lang w:val="sl-SI" w:eastAsia="sl-SI"/>
              </w:rPr>
              <w:t>v1.09</w:t>
            </w:r>
            <w:bookmarkEnd w:id="166"/>
            <w:bookmarkEnd w:id="167"/>
            <w:bookmarkEnd w:id="168"/>
            <w:bookmarkEnd w:id="169"/>
            <w:bookmarkEnd w:id="170"/>
          </w:p>
        </w:tc>
        <w:tc>
          <w:tcPr>
            <w:tcW w:w="2624" w:type="dxa"/>
            <w:tcBorders>
              <w:top w:val="nil"/>
              <w:left w:val="nil"/>
              <w:bottom w:val="nil"/>
              <w:right w:val="nil"/>
            </w:tcBorders>
            <w:shd w:val="clear" w:color="000000" w:fill="FFFFFF"/>
            <w:noWrap/>
            <w:vAlign w:val="bottom"/>
            <w:hideMark/>
          </w:tcPr>
          <w:p w14:paraId="7AA2AE3B" w14:textId="77777777" w:rsidR="00102AC1" w:rsidRPr="00102AC1" w:rsidRDefault="00102AC1" w:rsidP="00102AC1">
            <w:pPr>
              <w:spacing w:after="0"/>
              <w:jc w:val="right"/>
              <w:outlineLvl w:val="0"/>
              <w:rPr>
                <w:rFonts w:eastAsia="Times New Roman" w:cs="Calibri"/>
                <w:color w:val="000000"/>
                <w:sz w:val="18"/>
                <w:szCs w:val="18"/>
                <w:lang w:val="sl-SI" w:eastAsia="sl-SI"/>
              </w:rPr>
            </w:pPr>
            <w:bookmarkStart w:id="171" w:name="_Toc129003845"/>
            <w:bookmarkStart w:id="172" w:name="_Toc129031883"/>
            <w:bookmarkStart w:id="173" w:name="_Toc131352144"/>
            <w:bookmarkStart w:id="174" w:name="_Toc131458186"/>
            <w:bookmarkStart w:id="175" w:name="_Toc136287562"/>
            <w:r w:rsidRPr="00102AC1">
              <w:rPr>
                <w:rFonts w:eastAsia="Times New Roman" w:cs="Calibri"/>
                <w:color w:val="000000"/>
                <w:sz w:val="18"/>
                <w:szCs w:val="18"/>
                <w:lang w:val="sl-SI" w:eastAsia="sl-SI"/>
              </w:rPr>
              <w:t>28.09.2020</w:t>
            </w:r>
            <w:bookmarkEnd w:id="171"/>
            <w:bookmarkEnd w:id="172"/>
            <w:bookmarkEnd w:id="173"/>
            <w:bookmarkEnd w:id="174"/>
            <w:bookmarkEnd w:id="175"/>
          </w:p>
        </w:tc>
      </w:tr>
    </w:tbl>
    <w:p w14:paraId="55FA4886" w14:textId="2E14DB23" w:rsidR="00102AC1" w:rsidRPr="0058617C" w:rsidRDefault="00102AC1" w:rsidP="00D45CF1">
      <w:pPr>
        <w:ind w:left="720"/>
        <w:rPr>
          <w:lang w:val="sl-SI"/>
        </w:rPr>
      </w:pPr>
    </w:p>
    <w:p w14:paraId="285ABCE8" w14:textId="7C4A5D87" w:rsidR="00102AC1" w:rsidRPr="0058617C" w:rsidRDefault="00102AC1" w:rsidP="002A22EB">
      <w:pPr>
        <w:rPr>
          <w:lang w:val="sl-SI"/>
        </w:rPr>
      </w:pPr>
      <w:r w:rsidRPr="0058617C">
        <w:rPr>
          <w:lang w:val="sl-SI"/>
        </w:rPr>
        <w:t>Spremembe iz v1.00 v v1.01 se nanašajo na odpravo tipkarskih napak, v1.02 primarno dodaja določitev dokazila o izpolnjevanju pogojev, navodila za izračun finančne vrzeli, razlage pogojev, ter popravlja tipkarske napake. Nadalje v1.03 dodaja definicijo izvajalca, razširja nabor pravne podlage, uvaja spremembe, kot izhajajo iz sprememb Navodil OU (za načrtovanje, odločanje o podpori, spremljanje, poročanje in vrednotenje izvajanja evropske kohezijske politike v programskem obdobju 2014 – 2020), spreminja merila in dodaja druge manjše popravke.</w:t>
      </w:r>
      <w:r w:rsidR="00A407FC" w:rsidRPr="0058617C">
        <w:rPr>
          <w:lang w:val="sl-SI"/>
        </w:rPr>
        <w:t xml:space="preserve"> </w:t>
      </w:r>
      <w:r w:rsidRPr="0058617C">
        <w:rPr>
          <w:lang w:val="sl-SI"/>
        </w:rPr>
        <w:t xml:space="preserve">V v1.04 je posodobljen seznam pravne podlage ter povezanih opomb, </w:t>
      </w:r>
      <w:r w:rsidR="00A407FC" w:rsidRPr="0058617C">
        <w:rPr>
          <w:lang w:val="sl-SI"/>
        </w:rPr>
        <w:t>spremembe mejnih vrednosti razredov za višino operacije in spremembo formula za izračun števila točk. Prav tako popravlja tipkarske in druge redakcijske napake.</w:t>
      </w:r>
    </w:p>
    <w:p w14:paraId="4BF2EEE4" w14:textId="1EE9E695" w:rsidR="00A407FC" w:rsidRPr="0058617C" w:rsidRDefault="00A407FC" w:rsidP="002A22EB">
      <w:pPr>
        <w:rPr>
          <w:lang w:val="sl-SI"/>
        </w:rPr>
      </w:pPr>
      <w:r w:rsidRPr="0058617C">
        <w:rPr>
          <w:lang w:val="sl-SI"/>
        </w:rPr>
        <w:t>Naslednja verzija, v 1.05, prinaša več vsebinskih sprememb: popravlja definiciji upravičenca in posredniškega organa, dodaja zahtevo za upoštevanje določenih ključnih dokumentov (Podrobnejše usmeritve javnim partnerjem pri ukrepu energetske prenove javnih stavb, Priročnik upravičenih stroškov pri ukrepu energetske prenove stavb javnega sektorja, Navodila in tehnične usmeritve za energetsko prenovo javnih stavb ter Smernice za energetsko prenovo stavb kulturne dediščine), spreminja postopek izvajanja ukrepa energetske prenove stavb, spreminja in dopolnjuje del o pogojih za prijavo in spremembe, ki se nanašajo na zahtevano dodatno dokumentacijo.</w:t>
      </w:r>
    </w:p>
    <w:p w14:paraId="0E3FB71A" w14:textId="6AF86683" w:rsidR="00A407FC" w:rsidRPr="0058617C" w:rsidRDefault="00A407FC" w:rsidP="002A22EB">
      <w:pPr>
        <w:rPr>
          <w:lang w:val="sl-SI"/>
        </w:rPr>
      </w:pPr>
      <w:r w:rsidRPr="0058617C">
        <w:rPr>
          <w:lang w:val="sl-SI"/>
        </w:rPr>
        <w:t xml:space="preserve">Spremembe v v1.06 dodajajo definicije, ki se nanašajo na stavbe kulturne dediščine, spreminja definicijo operacije, dopolnjuje pravne podlage, spreminja pogoje za prijavo in vsebino glede meril za ocenjevanje. Nadalje dodaja poglavje o javno-zasebnem partnerstvu, spreminja del o REP-u in o investicijski dokumentaciji. Podobno je s spremembami v v1.07, ki dopolnjuje pravne podlage, </w:t>
      </w:r>
      <w:r w:rsidR="00F65D07" w:rsidRPr="0058617C">
        <w:rPr>
          <w:lang w:val="sl-SI"/>
        </w:rPr>
        <w:t xml:space="preserve">spreminja navodila za izvedbo operacije, pogoje za prijavo, sofinanciranje operacij, ter spreminja določeno terminologijo, ter dodatke in spremembe v poglavjih o projektni in investicijski dokumentaciji. </w:t>
      </w:r>
    </w:p>
    <w:p w14:paraId="5681A0F5" w14:textId="76CDB843" w:rsidR="00F65D07" w:rsidRPr="0058617C" w:rsidRDefault="00F65D07" w:rsidP="002A22EB">
      <w:pPr>
        <w:rPr>
          <w:lang w:val="sl-SI"/>
        </w:rPr>
      </w:pPr>
      <w:r w:rsidRPr="0058617C">
        <w:rPr>
          <w:lang w:val="sl-SI"/>
        </w:rPr>
        <w:t xml:space="preserve">Sledeča sprememba, v1.08, spreminja definicijo izvajalca energetske prenove, dopolnjuje pravno podlago, ter spreminja dva izmed pogojev za prijavo, kot tudi manjše redakcijske spremembe. Podobno v1.09 spreminja definicije, pravne podlage ter prinaša vsebinske spremembe v poglavje o sofinanciranju operacij. </w:t>
      </w:r>
    </w:p>
    <w:p w14:paraId="4E9DDB8D" w14:textId="1E9AC4D4" w:rsidR="00F65D07" w:rsidRPr="0058617C" w:rsidRDefault="00F65D07" w:rsidP="002A22EB">
      <w:pPr>
        <w:rPr>
          <w:lang w:val="sl-SI"/>
        </w:rPr>
      </w:pPr>
      <w:r w:rsidRPr="0058617C">
        <w:rPr>
          <w:lang w:val="sl-SI"/>
        </w:rPr>
        <w:t xml:space="preserve">Vse spremembe Navodil so bile uvedene v obdobju, ko ni bilo objavljenega aktivnega povabila, kar posledično pomeni, da se je razpis, ko je bil objavljen, </w:t>
      </w:r>
      <w:r w:rsidR="003709D7" w:rsidRPr="0058617C">
        <w:rPr>
          <w:lang w:val="sl-SI"/>
        </w:rPr>
        <w:t>skliceval na</w:t>
      </w:r>
      <w:r w:rsidRPr="0058617C">
        <w:rPr>
          <w:lang w:val="sl-SI"/>
        </w:rPr>
        <w:t xml:space="preserve"> takrat veljavno verzijo Navodil, z izjemo prvega razpisa (JOB 2016), med trajanjem katerega je prišlo do spremembe Navodil iz v1.03 v 1.04.</w:t>
      </w:r>
    </w:p>
    <w:p w14:paraId="5C64BFFF" w14:textId="2C99405A" w:rsidR="00F65D07" w:rsidRPr="0058617C" w:rsidRDefault="00F65D07" w:rsidP="00D45CF1">
      <w:pPr>
        <w:ind w:left="720"/>
        <w:rPr>
          <w:lang w:val="sl-SI"/>
        </w:rPr>
      </w:pPr>
    </w:p>
    <w:p w14:paraId="0E468F7F" w14:textId="272E45BE" w:rsidR="00F65D07" w:rsidRDefault="00F65D07" w:rsidP="002A22EB">
      <w:pPr>
        <w:rPr>
          <w:lang w:val="sl-SI"/>
        </w:rPr>
      </w:pPr>
      <w:r w:rsidRPr="0058617C">
        <w:rPr>
          <w:b/>
          <w:bCs/>
          <w:lang w:val="sl-SI"/>
        </w:rPr>
        <w:t>Podrobnejše usmeritve javnim partnerjem pri ukrepu energetske prenove stavb javnega sektorja</w:t>
      </w:r>
      <w:r w:rsidRPr="0058617C">
        <w:rPr>
          <w:lang w:val="sl-SI"/>
        </w:rPr>
        <w:t xml:space="preserve"> so bile deležne dveh iteracij originalnega dokumenta, usklajeni s spremembami ostalih dokumentov.</w:t>
      </w:r>
    </w:p>
    <w:p w14:paraId="478E40A8" w14:textId="77777777" w:rsidR="00D45CF1" w:rsidRPr="0058617C" w:rsidRDefault="00D45CF1" w:rsidP="00D45CF1">
      <w:pPr>
        <w:ind w:left="720"/>
        <w:rPr>
          <w:lang w:val="sl-SI"/>
        </w:rPr>
      </w:pPr>
    </w:p>
    <w:tbl>
      <w:tblPr>
        <w:tblW w:w="4129" w:type="dxa"/>
        <w:tblCellMar>
          <w:left w:w="70" w:type="dxa"/>
          <w:right w:w="70" w:type="dxa"/>
        </w:tblCellMar>
        <w:tblLook w:val="04A0" w:firstRow="1" w:lastRow="0" w:firstColumn="1" w:lastColumn="0" w:noHBand="0" w:noVBand="1"/>
      </w:tblPr>
      <w:tblGrid>
        <w:gridCol w:w="204"/>
        <w:gridCol w:w="1301"/>
        <w:gridCol w:w="2624"/>
      </w:tblGrid>
      <w:tr w:rsidR="00F65D07" w:rsidRPr="00F65D07" w14:paraId="3A28CDA9" w14:textId="77777777" w:rsidTr="002A22EB">
        <w:trPr>
          <w:trHeight w:val="300"/>
        </w:trPr>
        <w:tc>
          <w:tcPr>
            <w:tcW w:w="4129" w:type="dxa"/>
            <w:gridSpan w:val="3"/>
            <w:tcBorders>
              <w:top w:val="nil"/>
              <w:left w:val="nil"/>
              <w:bottom w:val="nil"/>
              <w:right w:val="nil"/>
            </w:tcBorders>
            <w:shd w:val="clear" w:color="000000" w:fill="FFFFFF"/>
            <w:noWrap/>
            <w:vAlign w:val="bottom"/>
            <w:hideMark/>
          </w:tcPr>
          <w:p w14:paraId="0576D07C" w14:textId="77777777" w:rsidR="00F65D07" w:rsidRPr="00F65D07" w:rsidRDefault="00F65D07" w:rsidP="00F65D07">
            <w:pPr>
              <w:spacing w:after="0"/>
              <w:jc w:val="left"/>
              <w:rPr>
                <w:rFonts w:eastAsia="Times New Roman" w:cs="Calibri"/>
                <w:b/>
                <w:bCs/>
                <w:color w:val="000000"/>
                <w:sz w:val="18"/>
                <w:szCs w:val="18"/>
                <w:lang w:val="sl-SI" w:eastAsia="sl-SI"/>
              </w:rPr>
            </w:pPr>
            <w:r w:rsidRPr="00F65D07">
              <w:rPr>
                <w:rFonts w:eastAsia="Times New Roman" w:cs="Calibri"/>
                <w:b/>
                <w:bCs/>
                <w:color w:val="000000"/>
                <w:sz w:val="18"/>
                <w:szCs w:val="18"/>
                <w:lang w:val="sl-SI" w:eastAsia="sl-SI"/>
              </w:rPr>
              <w:lastRenderedPageBreak/>
              <w:t>Podrobnejše usmeritve javnim partnerjem pri ukrepu energetske prenove stavb javnega sektorja</w:t>
            </w:r>
          </w:p>
        </w:tc>
      </w:tr>
      <w:tr w:rsidR="00F65D07" w:rsidRPr="00F65D07" w14:paraId="2D710198" w14:textId="77777777" w:rsidTr="002A22EB">
        <w:trPr>
          <w:trHeight w:val="300"/>
        </w:trPr>
        <w:tc>
          <w:tcPr>
            <w:tcW w:w="204" w:type="dxa"/>
            <w:tcBorders>
              <w:top w:val="nil"/>
              <w:left w:val="nil"/>
              <w:bottom w:val="nil"/>
              <w:right w:val="nil"/>
            </w:tcBorders>
            <w:shd w:val="clear" w:color="000000" w:fill="FFFFFF"/>
            <w:noWrap/>
            <w:vAlign w:val="bottom"/>
            <w:hideMark/>
          </w:tcPr>
          <w:p w14:paraId="4A66911A" w14:textId="77777777" w:rsidR="00F65D07" w:rsidRPr="00F65D07" w:rsidRDefault="00F65D07" w:rsidP="00F65D07">
            <w:pPr>
              <w:spacing w:after="0"/>
              <w:jc w:val="left"/>
              <w:outlineLvl w:val="0"/>
              <w:rPr>
                <w:rFonts w:eastAsia="Times New Roman" w:cs="Calibri"/>
                <w:color w:val="000000"/>
                <w:sz w:val="18"/>
                <w:szCs w:val="18"/>
                <w:lang w:val="sl-SI" w:eastAsia="sl-SI"/>
              </w:rPr>
            </w:pPr>
            <w:r w:rsidRPr="00F65D07">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5BD981F0" w14:textId="77777777" w:rsidR="00F65D07" w:rsidRPr="00F65D07" w:rsidRDefault="00F65D07" w:rsidP="00F65D07">
            <w:pPr>
              <w:spacing w:after="0"/>
              <w:jc w:val="left"/>
              <w:outlineLvl w:val="0"/>
              <w:rPr>
                <w:rFonts w:eastAsia="Times New Roman" w:cs="Calibri"/>
                <w:b/>
                <w:bCs/>
                <w:color w:val="000000"/>
                <w:sz w:val="18"/>
                <w:szCs w:val="18"/>
                <w:lang w:val="sl-SI" w:eastAsia="sl-SI"/>
              </w:rPr>
            </w:pPr>
            <w:bookmarkStart w:id="176" w:name="_Toc129003846"/>
            <w:bookmarkStart w:id="177" w:name="_Toc129031884"/>
            <w:bookmarkStart w:id="178" w:name="_Toc131352145"/>
            <w:bookmarkStart w:id="179" w:name="_Toc131458187"/>
            <w:bookmarkStart w:id="180" w:name="_Toc136287563"/>
            <w:r w:rsidRPr="00F65D07">
              <w:rPr>
                <w:rFonts w:eastAsia="Times New Roman" w:cs="Calibri"/>
                <w:b/>
                <w:bCs/>
                <w:color w:val="000000"/>
                <w:sz w:val="18"/>
                <w:szCs w:val="18"/>
                <w:lang w:val="sl-SI" w:eastAsia="sl-SI"/>
              </w:rPr>
              <w:t>v1.00</w:t>
            </w:r>
            <w:bookmarkEnd w:id="176"/>
            <w:bookmarkEnd w:id="177"/>
            <w:bookmarkEnd w:id="178"/>
            <w:bookmarkEnd w:id="179"/>
            <w:bookmarkEnd w:id="180"/>
          </w:p>
        </w:tc>
        <w:tc>
          <w:tcPr>
            <w:tcW w:w="2624" w:type="dxa"/>
            <w:tcBorders>
              <w:top w:val="nil"/>
              <w:left w:val="nil"/>
              <w:bottom w:val="nil"/>
              <w:right w:val="nil"/>
            </w:tcBorders>
            <w:shd w:val="clear" w:color="000000" w:fill="FFFFFF"/>
            <w:noWrap/>
            <w:vAlign w:val="bottom"/>
            <w:hideMark/>
          </w:tcPr>
          <w:p w14:paraId="425AB8D1" w14:textId="77777777" w:rsidR="00F65D07" w:rsidRPr="00F65D07" w:rsidRDefault="00F65D07" w:rsidP="00F65D07">
            <w:pPr>
              <w:spacing w:after="0"/>
              <w:jc w:val="right"/>
              <w:outlineLvl w:val="0"/>
              <w:rPr>
                <w:rFonts w:eastAsia="Times New Roman" w:cs="Calibri"/>
                <w:color w:val="000000"/>
                <w:sz w:val="18"/>
                <w:szCs w:val="18"/>
                <w:lang w:val="sl-SI" w:eastAsia="sl-SI"/>
              </w:rPr>
            </w:pPr>
            <w:bookmarkStart w:id="181" w:name="_Toc129003847"/>
            <w:bookmarkStart w:id="182" w:name="_Toc129031885"/>
            <w:bookmarkStart w:id="183" w:name="_Toc131352146"/>
            <w:bookmarkStart w:id="184" w:name="_Toc131458188"/>
            <w:bookmarkStart w:id="185" w:name="_Toc136287564"/>
            <w:r w:rsidRPr="00F65D07">
              <w:rPr>
                <w:rFonts w:eastAsia="Times New Roman" w:cs="Calibri"/>
                <w:color w:val="000000"/>
                <w:sz w:val="18"/>
                <w:szCs w:val="18"/>
                <w:lang w:val="sl-SI" w:eastAsia="sl-SI"/>
              </w:rPr>
              <w:t>25.02.2016</w:t>
            </w:r>
            <w:bookmarkEnd w:id="181"/>
            <w:bookmarkEnd w:id="182"/>
            <w:bookmarkEnd w:id="183"/>
            <w:bookmarkEnd w:id="184"/>
            <w:bookmarkEnd w:id="185"/>
          </w:p>
        </w:tc>
      </w:tr>
      <w:tr w:rsidR="00F65D07" w:rsidRPr="00F65D07" w14:paraId="2C63D804" w14:textId="77777777" w:rsidTr="002A22EB">
        <w:trPr>
          <w:trHeight w:val="300"/>
        </w:trPr>
        <w:tc>
          <w:tcPr>
            <w:tcW w:w="204" w:type="dxa"/>
            <w:tcBorders>
              <w:top w:val="nil"/>
              <w:left w:val="nil"/>
              <w:bottom w:val="nil"/>
              <w:right w:val="nil"/>
            </w:tcBorders>
            <w:shd w:val="clear" w:color="000000" w:fill="FFFFFF"/>
            <w:noWrap/>
            <w:vAlign w:val="bottom"/>
            <w:hideMark/>
          </w:tcPr>
          <w:p w14:paraId="6356EBA0" w14:textId="77777777" w:rsidR="00F65D07" w:rsidRPr="00F65D07" w:rsidRDefault="00F65D07" w:rsidP="00F65D07">
            <w:pPr>
              <w:spacing w:after="0"/>
              <w:jc w:val="left"/>
              <w:outlineLvl w:val="0"/>
              <w:rPr>
                <w:rFonts w:eastAsia="Times New Roman" w:cs="Calibri"/>
                <w:color w:val="000000"/>
                <w:sz w:val="18"/>
                <w:szCs w:val="18"/>
                <w:lang w:val="sl-SI" w:eastAsia="sl-SI"/>
              </w:rPr>
            </w:pPr>
            <w:r w:rsidRPr="00F65D07">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189A36F0" w14:textId="77777777" w:rsidR="00F65D07" w:rsidRPr="00F65D07" w:rsidRDefault="00F65D07" w:rsidP="00F65D07">
            <w:pPr>
              <w:spacing w:after="0"/>
              <w:jc w:val="left"/>
              <w:outlineLvl w:val="0"/>
              <w:rPr>
                <w:rFonts w:eastAsia="Times New Roman" w:cs="Calibri"/>
                <w:b/>
                <w:bCs/>
                <w:color w:val="000000"/>
                <w:sz w:val="18"/>
                <w:szCs w:val="18"/>
                <w:lang w:val="sl-SI" w:eastAsia="sl-SI"/>
              </w:rPr>
            </w:pPr>
            <w:bookmarkStart w:id="186" w:name="_Toc129003848"/>
            <w:bookmarkStart w:id="187" w:name="_Toc129031886"/>
            <w:bookmarkStart w:id="188" w:name="_Toc131352147"/>
            <w:bookmarkStart w:id="189" w:name="_Toc131458189"/>
            <w:bookmarkStart w:id="190" w:name="_Toc136287565"/>
            <w:r w:rsidRPr="00F65D07">
              <w:rPr>
                <w:rFonts w:eastAsia="Times New Roman" w:cs="Calibri"/>
                <w:b/>
                <w:bCs/>
                <w:color w:val="000000"/>
                <w:sz w:val="18"/>
                <w:szCs w:val="18"/>
                <w:lang w:val="sl-SI" w:eastAsia="sl-SI"/>
              </w:rPr>
              <w:t>v1.01</w:t>
            </w:r>
            <w:bookmarkEnd w:id="186"/>
            <w:bookmarkEnd w:id="187"/>
            <w:bookmarkEnd w:id="188"/>
            <w:bookmarkEnd w:id="189"/>
            <w:bookmarkEnd w:id="190"/>
          </w:p>
        </w:tc>
        <w:tc>
          <w:tcPr>
            <w:tcW w:w="2624" w:type="dxa"/>
            <w:tcBorders>
              <w:top w:val="nil"/>
              <w:left w:val="nil"/>
              <w:bottom w:val="nil"/>
              <w:right w:val="nil"/>
            </w:tcBorders>
            <w:shd w:val="clear" w:color="000000" w:fill="FFFFFF"/>
            <w:noWrap/>
            <w:vAlign w:val="bottom"/>
            <w:hideMark/>
          </w:tcPr>
          <w:p w14:paraId="6F3A588C" w14:textId="77777777" w:rsidR="00F65D07" w:rsidRPr="00F65D07" w:rsidRDefault="00F65D07" w:rsidP="00F65D07">
            <w:pPr>
              <w:spacing w:after="0"/>
              <w:jc w:val="right"/>
              <w:outlineLvl w:val="0"/>
              <w:rPr>
                <w:rFonts w:eastAsia="Times New Roman" w:cs="Calibri"/>
                <w:color w:val="000000"/>
                <w:sz w:val="18"/>
                <w:szCs w:val="18"/>
                <w:lang w:val="sl-SI" w:eastAsia="sl-SI"/>
              </w:rPr>
            </w:pPr>
            <w:bookmarkStart w:id="191" w:name="_Toc129003849"/>
            <w:bookmarkStart w:id="192" w:name="_Toc129031887"/>
            <w:bookmarkStart w:id="193" w:name="_Toc131352148"/>
            <w:bookmarkStart w:id="194" w:name="_Toc131458190"/>
            <w:bookmarkStart w:id="195" w:name="_Toc136287566"/>
            <w:r w:rsidRPr="00F65D07">
              <w:rPr>
                <w:rFonts w:eastAsia="Times New Roman" w:cs="Calibri"/>
                <w:color w:val="000000"/>
                <w:sz w:val="18"/>
                <w:szCs w:val="18"/>
                <w:lang w:val="sl-SI" w:eastAsia="sl-SI"/>
              </w:rPr>
              <w:t>16.02.2018</w:t>
            </w:r>
            <w:bookmarkEnd w:id="191"/>
            <w:bookmarkEnd w:id="192"/>
            <w:bookmarkEnd w:id="193"/>
            <w:bookmarkEnd w:id="194"/>
            <w:bookmarkEnd w:id="195"/>
          </w:p>
        </w:tc>
      </w:tr>
      <w:tr w:rsidR="00F65D07" w:rsidRPr="00F65D07" w14:paraId="2C821AF6" w14:textId="77777777" w:rsidTr="002A22EB">
        <w:trPr>
          <w:trHeight w:val="300"/>
        </w:trPr>
        <w:tc>
          <w:tcPr>
            <w:tcW w:w="204" w:type="dxa"/>
            <w:tcBorders>
              <w:top w:val="nil"/>
              <w:left w:val="nil"/>
              <w:bottom w:val="nil"/>
              <w:right w:val="nil"/>
            </w:tcBorders>
            <w:shd w:val="clear" w:color="000000" w:fill="FFFFFF"/>
            <w:noWrap/>
            <w:vAlign w:val="bottom"/>
            <w:hideMark/>
          </w:tcPr>
          <w:p w14:paraId="0D62CD53" w14:textId="77777777" w:rsidR="00F65D07" w:rsidRPr="00F65D07" w:rsidRDefault="00F65D07" w:rsidP="00F65D07">
            <w:pPr>
              <w:spacing w:after="0"/>
              <w:jc w:val="left"/>
              <w:outlineLvl w:val="0"/>
              <w:rPr>
                <w:rFonts w:eastAsia="Times New Roman" w:cs="Calibri"/>
                <w:color w:val="000000"/>
                <w:sz w:val="18"/>
                <w:szCs w:val="18"/>
                <w:lang w:val="sl-SI" w:eastAsia="sl-SI"/>
              </w:rPr>
            </w:pPr>
            <w:r w:rsidRPr="00F65D07">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226BA1A7" w14:textId="77777777" w:rsidR="00F65D07" w:rsidRPr="00F65D07" w:rsidRDefault="00F65D07" w:rsidP="00F65D07">
            <w:pPr>
              <w:spacing w:after="0"/>
              <w:jc w:val="left"/>
              <w:outlineLvl w:val="0"/>
              <w:rPr>
                <w:rFonts w:eastAsia="Times New Roman" w:cs="Calibri"/>
                <w:b/>
                <w:bCs/>
                <w:color w:val="000000"/>
                <w:sz w:val="18"/>
                <w:szCs w:val="18"/>
                <w:lang w:val="sl-SI" w:eastAsia="sl-SI"/>
              </w:rPr>
            </w:pPr>
            <w:bookmarkStart w:id="196" w:name="_Toc129003850"/>
            <w:bookmarkStart w:id="197" w:name="_Toc129031888"/>
            <w:bookmarkStart w:id="198" w:name="_Toc131352149"/>
            <w:bookmarkStart w:id="199" w:name="_Toc131458191"/>
            <w:bookmarkStart w:id="200" w:name="_Toc136287567"/>
            <w:r w:rsidRPr="00F65D07">
              <w:rPr>
                <w:rFonts w:eastAsia="Times New Roman" w:cs="Calibri"/>
                <w:b/>
                <w:bCs/>
                <w:color w:val="000000"/>
                <w:sz w:val="18"/>
                <w:szCs w:val="18"/>
                <w:lang w:val="sl-SI" w:eastAsia="sl-SI"/>
              </w:rPr>
              <w:t>v1.02</w:t>
            </w:r>
            <w:bookmarkEnd w:id="196"/>
            <w:bookmarkEnd w:id="197"/>
            <w:bookmarkEnd w:id="198"/>
            <w:bookmarkEnd w:id="199"/>
            <w:bookmarkEnd w:id="200"/>
          </w:p>
        </w:tc>
        <w:tc>
          <w:tcPr>
            <w:tcW w:w="2624" w:type="dxa"/>
            <w:tcBorders>
              <w:top w:val="nil"/>
              <w:left w:val="nil"/>
              <w:bottom w:val="nil"/>
              <w:right w:val="nil"/>
            </w:tcBorders>
            <w:shd w:val="clear" w:color="000000" w:fill="FFFFFF"/>
            <w:noWrap/>
            <w:vAlign w:val="bottom"/>
            <w:hideMark/>
          </w:tcPr>
          <w:p w14:paraId="16253580" w14:textId="77777777" w:rsidR="00F65D07" w:rsidRPr="00F65D07" w:rsidRDefault="00F65D07" w:rsidP="00F65D07">
            <w:pPr>
              <w:spacing w:after="0"/>
              <w:jc w:val="right"/>
              <w:outlineLvl w:val="0"/>
              <w:rPr>
                <w:rFonts w:eastAsia="Times New Roman" w:cs="Calibri"/>
                <w:color w:val="000000"/>
                <w:sz w:val="18"/>
                <w:szCs w:val="18"/>
                <w:lang w:val="sl-SI" w:eastAsia="sl-SI"/>
              </w:rPr>
            </w:pPr>
            <w:bookmarkStart w:id="201" w:name="_Toc129003851"/>
            <w:bookmarkStart w:id="202" w:name="_Toc129031889"/>
            <w:bookmarkStart w:id="203" w:name="_Toc131352150"/>
            <w:bookmarkStart w:id="204" w:name="_Toc131458192"/>
            <w:bookmarkStart w:id="205" w:name="_Toc136287568"/>
            <w:r w:rsidRPr="00F65D07">
              <w:rPr>
                <w:rFonts w:eastAsia="Times New Roman" w:cs="Calibri"/>
                <w:color w:val="000000"/>
                <w:sz w:val="18"/>
                <w:szCs w:val="18"/>
                <w:lang w:val="sl-SI" w:eastAsia="sl-SI"/>
              </w:rPr>
              <w:t>28.09.2020</w:t>
            </w:r>
            <w:bookmarkEnd w:id="201"/>
            <w:bookmarkEnd w:id="202"/>
            <w:bookmarkEnd w:id="203"/>
            <w:bookmarkEnd w:id="204"/>
            <w:bookmarkEnd w:id="205"/>
          </w:p>
        </w:tc>
      </w:tr>
    </w:tbl>
    <w:p w14:paraId="7E4B5F70" w14:textId="77777777" w:rsidR="00F65D07" w:rsidRPr="0058617C" w:rsidRDefault="00F65D07" w:rsidP="00D45CF1">
      <w:pPr>
        <w:ind w:left="720"/>
        <w:rPr>
          <w:lang w:val="sl-SI"/>
        </w:rPr>
      </w:pPr>
    </w:p>
    <w:p w14:paraId="75F83889" w14:textId="24296A04" w:rsidR="00F65D07" w:rsidRPr="0058617C" w:rsidRDefault="003709D7" w:rsidP="002A22EB">
      <w:pPr>
        <w:rPr>
          <w:lang w:val="sl-SI"/>
        </w:rPr>
      </w:pPr>
      <w:r w:rsidRPr="0058617C">
        <w:rPr>
          <w:lang w:val="sl-SI"/>
        </w:rPr>
        <w:t xml:space="preserve">V verzijo v1.01 se je dodalo primere dobrih praks, dodatne obrazložitve, ter prilagoditev vsebine glede na ostale dokumente. Prav tako je dodana vzorčna dokumentacija in so odpravljene tipkarske napake. Naslednja verzija, v1.02, popravlja sklice na zakonodajo in strateške dokumente, ter nekaj manjših vsebinskih dodatkov. </w:t>
      </w:r>
    </w:p>
    <w:p w14:paraId="764CCF8B" w14:textId="42FC908D" w:rsidR="003709D7" w:rsidRPr="0058617C" w:rsidRDefault="003709D7" w:rsidP="002A22EB">
      <w:pPr>
        <w:rPr>
          <w:lang w:val="sl-SI"/>
        </w:rPr>
      </w:pPr>
      <w:r w:rsidRPr="0058617C">
        <w:rPr>
          <w:lang w:val="sl-SI"/>
        </w:rPr>
        <w:t>Vse spremembe Usmeritev so bile uvedene v obdobju, ko ni bilo objavljenega aktivnega povabila, kar posledično pomeni, da se je razpis, ko je bil objavljen, skliceval na takrat veljavno verzijo Usmeritev.</w:t>
      </w:r>
    </w:p>
    <w:p w14:paraId="61D5F58A" w14:textId="77777777" w:rsidR="005E4DF9" w:rsidRPr="0058617C" w:rsidRDefault="003709D7" w:rsidP="002A22EB">
      <w:pPr>
        <w:rPr>
          <w:lang w:val="sl-SI"/>
        </w:rPr>
      </w:pPr>
      <w:r w:rsidRPr="0058617C">
        <w:rPr>
          <w:b/>
          <w:bCs/>
          <w:lang w:val="sl-SI"/>
        </w:rPr>
        <w:t>Priročnik upravičenih stroškov pri ukrepu energetske prenove stavb javnega sektorja</w:t>
      </w:r>
      <w:r w:rsidRPr="0058617C">
        <w:rPr>
          <w:lang w:val="sl-SI"/>
        </w:rPr>
        <w:t xml:space="preserve"> ima šest verzij. </w:t>
      </w:r>
    </w:p>
    <w:tbl>
      <w:tblPr>
        <w:tblW w:w="4129" w:type="dxa"/>
        <w:tblCellMar>
          <w:left w:w="70" w:type="dxa"/>
          <w:right w:w="70" w:type="dxa"/>
        </w:tblCellMar>
        <w:tblLook w:val="04A0" w:firstRow="1" w:lastRow="0" w:firstColumn="1" w:lastColumn="0" w:noHBand="0" w:noVBand="1"/>
      </w:tblPr>
      <w:tblGrid>
        <w:gridCol w:w="204"/>
        <w:gridCol w:w="1301"/>
        <w:gridCol w:w="2624"/>
      </w:tblGrid>
      <w:tr w:rsidR="005E4DF9" w:rsidRPr="005E4DF9" w14:paraId="117A9CA9" w14:textId="77777777" w:rsidTr="002A22EB">
        <w:trPr>
          <w:trHeight w:val="300"/>
        </w:trPr>
        <w:tc>
          <w:tcPr>
            <w:tcW w:w="4129" w:type="dxa"/>
            <w:gridSpan w:val="3"/>
            <w:tcBorders>
              <w:top w:val="nil"/>
              <w:left w:val="nil"/>
              <w:bottom w:val="nil"/>
              <w:right w:val="nil"/>
            </w:tcBorders>
            <w:shd w:val="clear" w:color="000000" w:fill="FFFFFF"/>
            <w:noWrap/>
            <w:vAlign w:val="bottom"/>
            <w:hideMark/>
          </w:tcPr>
          <w:p w14:paraId="404E28A8" w14:textId="77777777" w:rsidR="005E4DF9" w:rsidRPr="005E4DF9" w:rsidRDefault="005E4DF9" w:rsidP="005E4DF9">
            <w:pPr>
              <w:spacing w:after="0"/>
              <w:jc w:val="left"/>
              <w:rPr>
                <w:rFonts w:eastAsia="Times New Roman" w:cs="Calibri"/>
                <w:b/>
                <w:bCs/>
                <w:color w:val="000000"/>
                <w:sz w:val="18"/>
                <w:szCs w:val="18"/>
                <w:lang w:val="sl-SI" w:eastAsia="sl-SI"/>
              </w:rPr>
            </w:pPr>
            <w:r w:rsidRPr="005E4DF9">
              <w:rPr>
                <w:rFonts w:eastAsia="Times New Roman" w:cs="Calibri"/>
                <w:b/>
                <w:bCs/>
                <w:color w:val="000000"/>
                <w:sz w:val="18"/>
                <w:szCs w:val="18"/>
                <w:lang w:val="sl-SI" w:eastAsia="sl-SI"/>
              </w:rPr>
              <w:t>Priročnik upravičenih stroškov pri ukrepu energetske prenove stavb javnega sektorja</w:t>
            </w:r>
          </w:p>
        </w:tc>
      </w:tr>
      <w:tr w:rsidR="005E4DF9" w:rsidRPr="005E4DF9" w14:paraId="2BD977A7" w14:textId="77777777" w:rsidTr="002A22EB">
        <w:trPr>
          <w:trHeight w:val="300"/>
        </w:trPr>
        <w:tc>
          <w:tcPr>
            <w:tcW w:w="204" w:type="dxa"/>
            <w:tcBorders>
              <w:top w:val="nil"/>
              <w:left w:val="nil"/>
              <w:bottom w:val="nil"/>
              <w:right w:val="nil"/>
            </w:tcBorders>
            <w:shd w:val="clear" w:color="000000" w:fill="FFFFFF"/>
            <w:noWrap/>
            <w:vAlign w:val="bottom"/>
            <w:hideMark/>
          </w:tcPr>
          <w:p w14:paraId="27D8BAE4" w14:textId="77777777" w:rsidR="005E4DF9" w:rsidRPr="005E4DF9" w:rsidRDefault="005E4DF9" w:rsidP="005E4DF9">
            <w:pPr>
              <w:spacing w:after="0"/>
              <w:jc w:val="left"/>
              <w:outlineLvl w:val="0"/>
              <w:rPr>
                <w:rFonts w:eastAsia="Times New Roman" w:cs="Calibri"/>
                <w:color w:val="000000"/>
                <w:sz w:val="18"/>
                <w:szCs w:val="18"/>
                <w:lang w:val="sl-SI" w:eastAsia="sl-SI"/>
              </w:rPr>
            </w:pPr>
            <w:r w:rsidRPr="005E4DF9">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408678D9" w14:textId="77777777" w:rsidR="005E4DF9" w:rsidRPr="005E4DF9" w:rsidRDefault="005E4DF9" w:rsidP="005E4DF9">
            <w:pPr>
              <w:spacing w:after="0"/>
              <w:jc w:val="left"/>
              <w:outlineLvl w:val="0"/>
              <w:rPr>
                <w:rFonts w:eastAsia="Times New Roman" w:cs="Calibri"/>
                <w:b/>
                <w:bCs/>
                <w:color w:val="000000"/>
                <w:sz w:val="18"/>
                <w:szCs w:val="18"/>
                <w:lang w:val="sl-SI" w:eastAsia="sl-SI"/>
              </w:rPr>
            </w:pPr>
            <w:bookmarkStart w:id="206" w:name="_Toc129003852"/>
            <w:bookmarkStart w:id="207" w:name="_Toc129031890"/>
            <w:bookmarkStart w:id="208" w:name="_Toc131352151"/>
            <w:bookmarkStart w:id="209" w:name="_Toc131458193"/>
            <w:bookmarkStart w:id="210" w:name="_Toc136287569"/>
            <w:r w:rsidRPr="005E4DF9">
              <w:rPr>
                <w:rFonts w:eastAsia="Times New Roman" w:cs="Calibri"/>
                <w:b/>
                <w:bCs/>
                <w:color w:val="000000"/>
                <w:sz w:val="18"/>
                <w:szCs w:val="18"/>
                <w:lang w:val="sl-SI" w:eastAsia="sl-SI"/>
              </w:rPr>
              <w:t>v1.00</w:t>
            </w:r>
            <w:bookmarkEnd w:id="206"/>
            <w:bookmarkEnd w:id="207"/>
            <w:bookmarkEnd w:id="208"/>
            <w:bookmarkEnd w:id="209"/>
            <w:bookmarkEnd w:id="210"/>
          </w:p>
        </w:tc>
        <w:tc>
          <w:tcPr>
            <w:tcW w:w="2624" w:type="dxa"/>
            <w:tcBorders>
              <w:top w:val="nil"/>
              <w:left w:val="nil"/>
              <w:bottom w:val="nil"/>
              <w:right w:val="nil"/>
            </w:tcBorders>
            <w:shd w:val="clear" w:color="000000" w:fill="FFFFFF"/>
            <w:noWrap/>
            <w:vAlign w:val="bottom"/>
            <w:hideMark/>
          </w:tcPr>
          <w:p w14:paraId="01D6E345" w14:textId="77777777" w:rsidR="005E4DF9" w:rsidRPr="005E4DF9" w:rsidRDefault="005E4DF9" w:rsidP="005E4DF9">
            <w:pPr>
              <w:spacing w:after="0"/>
              <w:jc w:val="right"/>
              <w:outlineLvl w:val="0"/>
              <w:rPr>
                <w:rFonts w:eastAsia="Times New Roman" w:cs="Calibri"/>
                <w:color w:val="000000"/>
                <w:sz w:val="18"/>
                <w:szCs w:val="18"/>
                <w:lang w:val="sl-SI" w:eastAsia="sl-SI"/>
              </w:rPr>
            </w:pPr>
            <w:bookmarkStart w:id="211" w:name="_Toc129003853"/>
            <w:bookmarkStart w:id="212" w:name="_Toc129031891"/>
            <w:bookmarkStart w:id="213" w:name="_Toc131352152"/>
            <w:bookmarkStart w:id="214" w:name="_Toc131458194"/>
            <w:bookmarkStart w:id="215" w:name="_Toc136287570"/>
            <w:r w:rsidRPr="005E4DF9">
              <w:rPr>
                <w:rFonts w:eastAsia="Times New Roman" w:cs="Calibri"/>
                <w:color w:val="000000"/>
                <w:sz w:val="18"/>
                <w:szCs w:val="18"/>
                <w:lang w:val="sl-SI" w:eastAsia="sl-SI"/>
              </w:rPr>
              <w:t>25.02.2016</w:t>
            </w:r>
            <w:bookmarkEnd w:id="211"/>
            <w:bookmarkEnd w:id="212"/>
            <w:bookmarkEnd w:id="213"/>
            <w:bookmarkEnd w:id="214"/>
            <w:bookmarkEnd w:id="215"/>
          </w:p>
        </w:tc>
      </w:tr>
      <w:tr w:rsidR="005E4DF9" w:rsidRPr="005E4DF9" w14:paraId="4267EDE8" w14:textId="77777777" w:rsidTr="002A22EB">
        <w:trPr>
          <w:trHeight w:val="300"/>
        </w:trPr>
        <w:tc>
          <w:tcPr>
            <w:tcW w:w="204" w:type="dxa"/>
            <w:tcBorders>
              <w:top w:val="nil"/>
              <w:left w:val="nil"/>
              <w:bottom w:val="nil"/>
              <w:right w:val="nil"/>
            </w:tcBorders>
            <w:shd w:val="clear" w:color="000000" w:fill="FFFFFF"/>
            <w:noWrap/>
            <w:vAlign w:val="bottom"/>
            <w:hideMark/>
          </w:tcPr>
          <w:p w14:paraId="50D0143E" w14:textId="77777777" w:rsidR="005E4DF9" w:rsidRPr="005E4DF9" w:rsidRDefault="005E4DF9" w:rsidP="005E4DF9">
            <w:pPr>
              <w:spacing w:after="0"/>
              <w:jc w:val="left"/>
              <w:outlineLvl w:val="0"/>
              <w:rPr>
                <w:rFonts w:eastAsia="Times New Roman" w:cs="Calibri"/>
                <w:color w:val="000000"/>
                <w:sz w:val="18"/>
                <w:szCs w:val="18"/>
                <w:lang w:val="sl-SI" w:eastAsia="sl-SI"/>
              </w:rPr>
            </w:pPr>
            <w:r w:rsidRPr="005E4DF9">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59A55F72" w14:textId="77777777" w:rsidR="005E4DF9" w:rsidRPr="005E4DF9" w:rsidRDefault="005E4DF9" w:rsidP="005E4DF9">
            <w:pPr>
              <w:spacing w:after="0"/>
              <w:jc w:val="left"/>
              <w:outlineLvl w:val="0"/>
              <w:rPr>
                <w:rFonts w:eastAsia="Times New Roman" w:cs="Calibri"/>
                <w:b/>
                <w:bCs/>
                <w:color w:val="000000"/>
                <w:sz w:val="18"/>
                <w:szCs w:val="18"/>
                <w:lang w:val="sl-SI" w:eastAsia="sl-SI"/>
              </w:rPr>
            </w:pPr>
            <w:bookmarkStart w:id="216" w:name="_Toc129003854"/>
            <w:bookmarkStart w:id="217" w:name="_Toc129031892"/>
            <w:bookmarkStart w:id="218" w:name="_Toc131352153"/>
            <w:bookmarkStart w:id="219" w:name="_Toc131458195"/>
            <w:bookmarkStart w:id="220" w:name="_Toc136287571"/>
            <w:r w:rsidRPr="005E4DF9">
              <w:rPr>
                <w:rFonts w:eastAsia="Times New Roman" w:cs="Calibri"/>
                <w:b/>
                <w:bCs/>
                <w:color w:val="000000"/>
                <w:sz w:val="18"/>
                <w:szCs w:val="18"/>
                <w:lang w:val="sl-SI" w:eastAsia="sl-SI"/>
              </w:rPr>
              <w:t>v1.01</w:t>
            </w:r>
            <w:bookmarkEnd w:id="216"/>
            <w:bookmarkEnd w:id="217"/>
            <w:bookmarkEnd w:id="218"/>
            <w:bookmarkEnd w:id="219"/>
            <w:bookmarkEnd w:id="220"/>
          </w:p>
        </w:tc>
        <w:tc>
          <w:tcPr>
            <w:tcW w:w="2624" w:type="dxa"/>
            <w:tcBorders>
              <w:top w:val="nil"/>
              <w:left w:val="nil"/>
              <w:bottom w:val="nil"/>
              <w:right w:val="nil"/>
            </w:tcBorders>
            <w:shd w:val="clear" w:color="000000" w:fill="FFFFFF"/>
            <w:noWrap/>
            <w:vAlign w:val="bottom"/>
            <w:hideMark/>
          </w:tcPr>
          <w:p w14:paraId="384B78D9" w14:textId="77777777" w:rsidR="005E4DF9" w:rsidRPr="005E4DF9" w:rsidRDefault="005E4DF9" w:rsidP="005E4DF9">
            <w:pPr>
              <w:spacing w:after="0"/>
              <w:jc w:val="right"/>
              <w:outlineLvl w:val="0"/>
              <w:rPr>
                <w:rFonts w:eastAsia="Times New Roman" w:cs="Calibri"/>
                <w:color w:val="000000"/>
                <w:sz w:val="18"/>
                <w:szCs w:val="18"/>
                <w:lang w:val="sl-SI" w:eastAsia="sl-SI"/>
              </w:rPr>
            </w:pPr>
            <w:bookmarkStart w:id="221" w:name="_Toc129003855"/>
            <w:bookmarkStart w:id="222" w:name="_Toc129031893"/>
            <w:bookmarkStart w:id="223" w:name="_Toc131352154"/>
            <w:bookmarkStart w:id="224" w:name="_Toc131458196"/>
            <w:bookmarkStart w:id="225" w:name="_Toc136287572"/>
            <w:r w:rsidRPr="005E4DF9">
              <w:rPr>
                <w:rFonts w:eastAsia="Times New Roman" w:cs="Calibri"/>
                <w:color w:val="000000"/>
                <w:sz w:val="18"/>
                <w:szCs w:val="18"/>
                <w:lang w:val="sl-SI" w:eastAsia="sl-SI"/>
              </w:rPr>
              <w:t>15.04.2016</w:t>
            </w:r>
            <w:bookmarkEnd w:id="221"/>
            <w:bookmarkEnd w:id="222"/>
            <w:bookmarkEnd w:id="223"/>
            <w:bookmarkEnd w:id="224"/>
            <w:bookmarkEnd w:id="225"/>
          </w:p>
        </w:tc>
      </w:tr>
      <w:tr w:rsidR="005E4DF9" w:rsidRPr="005E4DF9" w14:paraId="6F7176F2" w14:textId="77777777" w:rsidTr="002A22EB">
        <w:trPr>
          <w:trHeight w:val="300"/>
        </w:trPr>
        <w:tc>
          <w:tcPr>
            <w:tcW w:w="204" w:type="dxa"/>
            <w:tcBorders>
              <w:top w:val="nil"/>
              <w:left w:val="nil"/>
              <w:bottom w:val="nil"/>
              <w:right w:val="nil"/>
            </w:tcBorders>
            <w:shd w:val="clear" w:color="000000" w:fill="FFFFFF"/>
            <w:noWrap/>
            <w:vAlign w:val="bottom"/>
            <w:hideMark/>
          </w:tcPr>
          <w:p w14:paraId="281EA54A" w14:textId="77777777" w:rsidR="005E4DF9" w:rsidRPr="005E4DF9" w:rsidRDefault="005E4DF9" w:rsidP="005E4DF9">
            <w:pPr>
              <w:spacing w:after="0"/>
              <w:jc w:val="left"/>
              <w:outlineLvl w:val="0"/>
              <w:rPr>
                <w:rFonts w:eastAsia="Times New Roman" w:cs="Calibri"/>
                <w:color w:val="000000"/>
                <w:sz w:val="18"/>
                <w:szCs w:val="18"/>
                <w:lang w:val="sl-SI" w:eastAsia="sl-SI"/>
              </w:rPr>
            </w:pPr>
            <w:r w:rsidRPr="005E4DF9">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3AB7D0B7" w14:textId="77777777" w:rsidR="005E4DF9" w:rsidRPr="005E4DF9" w:rsidRDefault="005E4DF9" w:rsidP="005E4DF9">
            <w:pPr>
              <w:spacing w:after="0"/>
              <w:jc w:val="left"/>
              <w:outlineLvl w:val="0"/>
              <w:rPr>
                <w:rFonts w:eastAsia="Times New Roman" w:cs="Calibri"/>
                <w:b/>
                <w:bCs/>
                <w:color w:val="000000"/>
                <w:sz w:val="18"/>
                <w:szCs w:val="18"/>
                <w:lang w:val="sl-SI" w:eastAsia="sl-SI"/>
              </w:rPr>
            </w:pPr>
            <w:bookmarkStart w:id="226" w:name="_Toc129003856"/>
            <w:bookmarkStart w:id="227" w:name="_Toc129031894"/>
            <w:bookmarkStart w:id="228" w:name="_Toc131352155"/>
            <w:bookmarkStart w:id="229" w:name="_Toc131458197"/>
            <w:bookmarkStart w:id="230" w:name="_Toc136287573"/>
            <w:r w:rsidRPr="005E4DF9">
              <w:rPr>
                <w:rFonts w:eastAsia="Times New Roman" w:cs="Calibri"/>
                <w:b/>
                <w:bCs/>
                <w:color w:val="000000"/>
                <w:sz w:val="18"/>
                <w:szCs w:val="18"/>
                <w:lang w:val="sl-SI" w:eastAsia="sl-SI"/>
              </w:rPr>
              <w:t>v1.02</w:t>
            </w:r>
            <w:bookmarkEnd w:id="226"/>
            <w:bookmarkEnd w:id="227"/>
            <w:bookmarkEnd w:id="228"/>
            <w:bookmarkEnd w:id="229"/>
            <w:bookmarkEnd w:id="230"/>
          </w:p>
        </w:tc>
        <w:tc>
          <w:tcPr>
            <w:tcW w:w="2624" w:type="dxa"/>
            <w:tcBorders>
              <w:top w:val="nil"/>
              <w:left w:val="nil"/>
              <w:bottom w:val="nil"/>
              <w:right w:val="nil"/>
            </w:tcBorders>
            <w:shd w:val="clear" w:color="000000" w:fill="FFFFFF"/>
            <w:noWrap/>
            <w:vAlign w:val="bottom"/>
            <w:hideMark/>
          </w:tcPr>
          <w:p w14:paraId="38CEC53D" w14:textId="77777777" w:rsidR="005E4DF9" w:rsidRPr="005E4DF9" w:rsidRDefault="005E4DF9" w:rsidP="005E4DF9">
            <w:pPr>
              <w:spacing w:after="0"/>
              <w:jc w:val="right"/>
              <w:outlineLvl w:val="0"/>
              <w:rPr>
                <w:rFonts w:eastAsia="Times New Roman" w:cs="Calibri"/>
                <w:color w:val="000000"/>
                <w:sz w:val="18"/>
                <w:szCs w:val="18"/>
                <w:lang w:val="sl-SI" w:eastAsia="sl-SI"/>
              </w:rPr>
            </w:pPr>
            <w:bookmarkStart w:id="231" w:name="_Toc129003857"/>
            <w:bookmarkStart w:id="232" w:name="_Toc129031895"/>
            <w:bookmarkStart w:id="233" w:name="_Toc131352156"/>
            <w:bookmarkStart w:id="234" w:name="_Toc131458198"/>
            <w:bookmarkStart w:id="235" w:name="_Toc136287574"/>
            <w:r w:rsidRPr="005E4DF9">
              <w:rPr>
                <w:rFonts w:eastAsia="Times New Roman" w:cs="Calibri"/>
                <w:color w:val="000000"/>
                <w:sz w:val="18"/>
                <w:szCs w:val="18"/>
                <w:lang w:val="sl-SI" w:eastAsia="sl-SI"/>
              </w:rPr>
              <w:t>1.09.2016</w:t>
            </w:r>
            <w:bookmarkEnd w:id="231"/>
            <w:bookmarkEnd w:id="232"/>
            <w:bookmarkEnd w:id="233"/>
            <w:bookmarkEnd w:id="234"/>
            <w:bookmarkEnd w:id="235"/>
          </w:p>
        </w:tc>
      </w:tr>
      <w:tr w:rsidR="005E4DF9" w:rsidRPr="005E4DF9" w14:paraId="4B2E4A03" w14:textId="77777777" w:rsidTr="002A22EB">
        <w:trPr>
          <w:trHeight w:val="300"/>
        </w:trPr>
        <w:tc>
          <w:tcPr>
            <w:tcW w:w="204" w:type="dxa"/>
            <w:tcBorders>
              <w:top w:val="nil"/>
              <w:left w:val="nil"/>
              <w:bottom w:val="nil"/>
              <w:right w:val="nil"/>
            </w:tcBorders>
            <w:shd w:val="clear" w:color="000000" w:fill="FFFFFF"/>
            <w:noWrap/>
            <w:vAlign w:val="bottom"/>
            <w:hideMark/>
          </w:tcPr>
          <w:p w14:paraId="6EED0E2F" w14:textId="77777777" w:rsidR="005E4DF9" w:rsidRPr="005E4DF9" w:rsidRDefault="005E4DF9" w:rsidP="005E4DF9">
            <w:pPr>
              <w:spacing w:after="0"/>
              <w:jc w:val="left"/>
              <w:outlineLvl w:val="0"/>
              <w:rPr>
                <w:rFonts w:eastAsia="Times New Roman" w:cs="Calibri"/>
                <w:color w:val="000000"/>
                <w:sz w:val="18"/>
                <w:szCs w:val="18"/>
                <w:lang w:val="sl-SI" w:eastAsia="sl-SI"/>
              </w:rPr>
            </w:pPr>
            <w:r w:rsidRPr="005E4DF9">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17460D0C" w14:textId="77777777" w:rsidR="005E4DF9" w:rsidRPr="005E4DF9" w:rsidRDefault="005E4DF9" w:rsidP="005E4DF9">
            <w:pPr>
              <w:spacing w:after="0"/>
              <w:jc w:val="left"/>
              <w:outlineLvl w:val="0"/>
              <w:rPr>
                <w:rFonts w:eastAsia="Times New Roman" w:cs="Calibri"/>
                <w:b/>
                <w:bCs/>
                <w:color w:val="000000"/>
                <w:sz w:val="18"/>
                <w:szCs w:val="18"/>
                <w:lang w:val="sl-SI" w:eastAsia="sl-SI"/>
              </w:rPr>
            </w:pPr>
            <w:bookmarkStart w:id="236" w:name="_Toc129003858"/>
            <w:bookmarkStart w:id="237" w:name="_Toc129031896"/>
            <w:bookmarkStart w:id="238" w:name="_Toc131352157"/>
            <w:bookmarkStart w:id="239" w:name="_Toc131458199"/>
            <w:bookmarkStart w:id="240" w:name="_Toc136287575"/>
            <w:r w:rsidRPr="005E4DF9">
              <w:rPr>
                <w:rFonts w:eastAsia="Times New Roman" w:cs="Calibri"/>
                <w:b/>
                <w:bCs/>
                <w:color w:val="000000"/>
                <w:sz w:val="18"/>
                <w:szCs w:val="18"/>
                <w:lang w:val="sl-SI" w:eastAsia="sl-SI"/>
              </w:rPr>
              <w:t>v1.03</w:t>
            </w:r>
            <w:bookmarkEnd w:id="236"/>
            <w:bookmarkEnd w:id="237"/>
            <w:bookmarkEnd w:id="238"/>
            <w:bookmarkEnd w:id="239"/>
            <w:bookmarkEnd w:id="240"/>
          </w:p>
        </w:tc>
        <w:tc>
          <w:tcPr>
            <w:tcW w:w="2624" w:type="dxa"/>
            <w:tcBorders>
              <w:top w:val="nil"/>
              <w:left w:val="nil"/>
              <w:bottom w:val="nil"/>
              <w:right w:val="nil"/>
            </w:tcBorders>
            <w:shd w:val="clear" w:color="000000" w:fill="FFFFFF"/>
            <w:noWrap/>
            <w:vAlign w:val="bottom"/>
            <w:hideMark/>
          </w:tcPr>
          <w:p w14:paraId="756F5574" w14:textId="77777777" w:rsidR="005E4DF9" w:rsidRPr="005E4DF9" w:rsidRDefault="005E4DF9" w:rsidP="005E4DF9">
            <w:pPr>
              <w:spacing w:after="0"/>
              <w:jc w:val="right"/>
              <w:outlineLvl w:val="0"/>
              <w:rPr>
                <w:rFonts w:eastAsia="Times New Roman" w:cs="Calibri"/>
                <w:color w:val="000000"/>
                <w:sz w:val="18"/>
                <w:szCs w:val="18"/>
                <w:lang w:val="sl-SI" w:eastAsia="sl-SI"/>
              </w:rPr>
            </w:pPr>
            <w:bookmarkStart w:id="241" w:name="_Toc129003859"/>
            <w:bookmarkStart w:id="242" w:name="_Toc129031897"/>
            <w:bookmarkStart w:id="243" w:name="_Toc131352158"/>
            <w:bookmarkStart w:id="244" w:name="_Toc131458200"/>
            <w:bookmarkStart w:id="245" w:name="_Toc136287576"/>
            <w:r w:rsidRPr="005E4DF9">
              <w:rPr>
                <w:rFonts w:eastAsia="Times New Roman" w:cs="Calibri"/>
                <w:color w:val="000000"/>
                <w:sz w:val="18"/>
                <w:szCs w:val="18"/>
                <w:lang w:val="sl-SI" w:eastAsia="sl-SI"/>
              </w:rPr>
              <w:t>13.03.2017</w:t>
            </w:r>
            <w:bookmarkEnd w:id="241"/>
            <w:bookmarkEnd w:id="242"/>
            <w:bookmarkEnd w:id="243"/>
            <w:bookmarkEnd w:id="244"/>
            <w:bookmarkEnd w:id="245"/>
          </w:p>
        </w:tc>
      </w:tr>
      <w:tr w:rsidR="005E4DF9" w:rsidRPr="005E4DF9" w14:paraId="431C9162" w14:textId="77777777" w:rsidTr="002A22EB">
        <w:trPr>
          <w:trHeight w:val="300"/>
        </w:trPr>
        <w:tc>
          <w:tcPr>
            <w:tcW w:w="204" w:type="dxa"/>
            <w:tcBorders>
              <w:top w:val="nil"/>
              <w:left w:val="nil"/>
              <w:bottom w:val="nil"/>
              <w:right w:val="nil"/>
            </w:tcBorders>
            <w:shd w:val="clear" w:color="000000" w:fill="FFFFFF"/>
            <w:noWrap/>
            <w:vAlign w:val="bottom"/>
            <w:hideMark/>
          </w:tcPr>
          <w:p w14:paraId="49DA2D21" w14:textId="77777777" w:rsidR="005E4DF9" w:rsidRPr="005E4DF9" w:rsidRDefault="005E4DF9" w:rsidP="005E4DF9">
            <w:pPr>
              <w:spacing w:after="0"/>
              <w:jc w:val="left"/>
              <w:outlineLvl w:val="0"/>
              <w:rPr>
                <w:rFonts w:eastAsia="Times New Roman" w:cs="Calibri"/>
                <w:color w:val="000000"/>
                <w:sz w:val="18"/>
                <w:szCs w:val="18"/>
                <w:lang w:val="sl-SI" w:eastAsia="sl-SI"/>
              </w:rPr>
            </w:pPr>
            <w:r w:rsidRPr="005E4DF9">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5202353C" w14:textId="77777777" w:rsidR="005E4DF9" w:rsidRPr="005E4DF9" w:rsidRDefault="005E4DF9" w:rsidP="005E4DF9">
            <w:pPr>
              <w:spacing w:after="0"/>
              <w:jc w:val="left"/>
              <w:outlineLvl w:val="0"/>
              <w:rPr>
                <w:rFonts w:eastAsia="Times New Roman" w:cs="Calibri"/>
                <w:b/>
                <w:bCs/>
                <w:color w:val="000000"/>
                <w:sz w:val="18"/>
                <w:szCs w:val="18"/>
                <w:lang w:val="sl-SI" w:eastAsia="sl-SI"/>
              </w:rPr>
            </w:pPr>
            <w:bookmarkStart w:id="246" w:name="_Toc129003860"/>
            <w:bookmarkStart w:id="247" w:name="_Toc129031898"/>
            <w:bookmarkStart w:id="248" w:name="_Toc131352159"/>
            <w:bookmarkStart w:id="249" w:name="_Toc131458201"/>
            <w:bookmarkStart w:id="250" w:name="_Toc136287577"/>
            <w:r w:rsidRPr="005E4DF9">
              <w:rPr>
                <w:rFonts w:eastAsia="Times New Roman" w:cs="Calibri"/>
                <w:b/>
                <w:bCs/>
                <w:color w:val="000000"/>
                <w:sz w:val="18"/>
                <w:szCs w:val="18"/>
                <w:lang w:val="sl-SI" w:eastAsia="sl-SI"/>
              </w:rPr>
              <w:t>v1.04</w:t>
            </w:r>
            <w:bookmarkEnd w:id="246"/>
            <w:bookmarkEnd w:id="247"/>
            <w:bookmarkEnd w:id="248"/>
            <w:bookmarkEnd w:id="249"/>
            <w:bookmarkEnd w:id="250"/>
          </w:p>
        </w:tc>
        <w:tc>
          <w:tcPr>
            <w:tcW w:w="2624" w:type="dxa"/>
            <w:tcBorders>
              <w:top w:val="nil"/>
              <w:left w:val="nil"/>
              <w:bottom w:val="nil"/>
              <w:right w:val="nil"/>
            </w:tcBorders>
            <w:shd w:val="clear" w:color="000000" w:fill="FFFFFF"/>
            <w:noWrap/>
            <w:vAlign w:val="bottom"/>
            <w:hideMark/>
          </w:tcPr>
          <w:p w14:paraId="39C12E5E" w14:textId="77777777" w:rsidR="005E4DF9" w:rsidRPr="005E4DF9" w:rsidRDefault="005E4DF9" w:rsidP="005E4DF9">
            <w:pPr>
              <w:spacing w:after="0"/>
              <w:jc w:val="right"/>
              <w:outlineLvl w:val="0"/>
              <w:rPr>
                <w:rFonts w:eastAsia="Times New Roman" w:cs="Calibri"/>
                <w:color w:val="000000"/>
                <w:sz w:val="18"/>
                <w:szCs w:val="18"/>
                <w:lang w:val="sl-SI" w:eastAsia="sl-SI"/>
              </w:rPr>
            </w:pPr>
            <w:bookmarkStart w:id="251" w:name="_Toc129003861"/>
            <w:bookmarkStart w:id="252" w:name="_Toc129031899"/>
            <w:bookmarkStart w:id="253" w:name="_Toc131352160"/>
            <w:bookmarkStart w:id="254" w:name="_Toc131458202"/>
            <w:bookmarkStart w:id="255" w:name="_Toc136287578"/>
            <w:r w:rsidRPr="005E4DF9">
              <w:rPr>
                <w:rFonts w:eastAsia="Times New Roman" w:cs="Calibri"/>
                <w:color w:val="000000"/>
                <w:sz w:val="18"/>
                <w:szCs w:val="18"/>
                <w:lang w:val="sl-SI" w:eastAsia="sl-SI"/>
              </w:rPr>
              <w:t>16.02.2018</w:t>
            </w:r>
            <w:bookmarkEnd w:id="251"/>
            <w:bookmarkEnd w:id="252"/>
            <w:bookmarkEnd w:id="253"/>
            <w:bookmarkEnd w:id="254"/>
            <w:bookmarkEnd w:id="255"/>
          </w:p>
        </w:tc>
      </w:tr>
      <w:tr w:rsidR="005E4DF9" w:rsidRPr="005E4DF9" w14:paraId="48D942C7" w14:textId="77777777" w:rsidTr="002A22EB">
        <w:trPr>
          <w:trHeight w:val="300"/>
        </w:trPr>
        <w:tc>
          <w:tcPr>
            <w:tcW w:w="204" w:type="dxa"/>
            <w:tcBorders>
              <w:top w:val="nil"/>
              <w:left w:val="nil"/>
              <w:bottom w:val="nil"/>
              <w:right w:val="nil"/>
            </w:tcBorders>
            <w:shd w:val="clear" w:color="000000" w:fill="FFFFFF"/>
            <w:noWrap/>
            <w:vAlign w:val="bottom"/>
            <w:hideMark/>
          </w:tcPr>
          <w:p w14:paraId="3A023026" w14:textId="77777777" w:rsidR="005E4DF9" w:rsidRPr="005E4DF9" w:rsidRDefault="005E4DF9" w:rsidP="005E4DF9">
            <w:pPr>
              <w:spacing w:after="0"/>
              <w:jc w:val="left"/>
              <w:outlineLvl w:val="0"/>
              <w:rPr>
                <w:rFonts w:eastAsia="Times New Roman" w:cs="Calibri"/>
                <w:color w:val="000000"/>
                <w:sz w:val="18"/>
                <w:szCs w:val="18"/>
                <w:lang w:val="sl-SI" w:eastAsia="sl-SI"/>
              </w:rPr>
            </w:pPr>
            <w:r w:rsidRPr="005E4DF9">
              <w:rPr>
                <w:rFonts w:eastAsia="Times New Roman" w:cs="Calibri"/>
                <w:color w:val="000000"/>
                <w:sz w:val="18"/>
                <w:szCs w:val="18"/>
                <w:lang w:val="sl-SI" w:eastAsia="sl-SI"/>
              </w:rPr>
              <w:t> </w:t>
            </w:r>
          </w:p>
        </w:tc>
        <w:tc>
          <w:tcPr>
            <w:tcW w:w="1301" w:type="dxa"/>
            <w:tcBorders>
              <w:top w:val="nil"/>
              <w:left w:val="nil"/>
              <w:bottom w:val="nil"/>
              <w:right w:val="nil"/>
            </w:tcBorders>
            <w:shd w:val="clear" w:color="000000" w:fill="FFFFFF"/>
            <w:noWrap/>
            <w:vAlign w:val="bottom"/>
            <w:hideMark/>
          </w:tcPr>
          <w:p w14:paraId="00FDE997" w14:textId="77777777" w:rsidR="005E4DF9" w:rsidRPr="005E4DF9" w:rsidRDefault="005E4DF9" w:rsidP="005E4DF9">
            <w:pPr>
              <w:spacing w:after="0"/>
              <w:jc w:val="left"/>
              <w:outlineLvl w:val="0"/>
              <w:rPr>
                <w:rFonts w:eastAsia="Times New Roman" w:cs="Calibri"/>
                <w:b/>
                <w:bCs/>
                <w:color w:val="000000"/>
                <w:sz w:val="18"/>
                <w:szCs w:val="18"/>
                <w:lang w:val="sl-SI" w:eastAsia="sl-SI"/>
              </w:rPr>
            </w:pPr>
            <w:bookmarkStart w:id="256" w:name="_Toc129003862"/>
            <w:bookmarkStart w:id="257" w:name="_Toc129031900"/>
            <w:bookmarkStart w:id="258" w:name="_Toc131352161"/>
            <w:bookmarkStart w:id="259" w:name="_Toc131458203"/>
            <w:bookmarkStart w:id="260" w:name="_Toc136287579"/>
            <w:r w:rsidRPr="005E4DF9">
              <w:rPr>
                <w:rFonts w:eastAsia="Times New Roman" w:cs="Calibri"/>
                <w:b/>
                <w:bCs/>
                <w:color w:val="000000"/>
                <w:sz w:val="18"/>
                <w:szCs w:val="18"/>
                <w:lang w:val="sl-SI" w:eastAsia="sl-SI"/>
              </w:rPr>
              <w:t>v1.05</w:t>
            </w:r>
            <w:bookmarkEnd w:id="256"/>
            <w:bookmarkEnd w:id="257"/>
            <w:bookmarkEnd w:id="258"/>
            <w:bookmarkEnd w:id="259"/>
            <w:bookmarkEnd w:id="260"/>
          </w:p>
        </w:tc>
        <w:tc>
          <w:tcPr>
            <w:tcW w:w="2624" w:type="dxa"/>
            <w:tcBorders>
              <w:top w:val="nil"/>
              <w:left w:val="nil"/>
              <w:bottom w:val="nil"/>
              <w:right w:val="nil"/>
            </w:tcBorders>
            <w:shd w:val="clear" w:color="000000" w:fill="FFFFFF"/>
            <w:noWrap/>
            <w:vAlign w:val="bottom"/>
            <w:hideMark/>
          </w:tcPr>
          <w:p w14:paraId="27F6F9C8" w14:textId="77777777" w:rsidR="005E4DF9" w:rsidRPr="005E4DF9" w:rsidRDefault="005E4DF9" w:rsidP="005E4DF9">
            <w:pPr>
              <w:spacing w:after="0"/>
              <w:jc w:val="right"/>
              <w:outlineLvl w:val="0"/>
              <w:rPr>
                <w:rFonts w:eastAsia="Times New Roman" w:cs="Calibri"/>
                <w:color w:val="000000"/>
                <w:sz w:val="18"/>
                <w:szCs w:val="18"/>
                <w:lang w:val="sl-SI" w:eastAsia="sl-SI"/>
              </w:rPr>
            </w:pPr>
            <w:bookmarkStart w:id="261" w:name="_Toc129003863"/>
            <w:bookmarkStart w:id="262" w:name="_Toc129031901"/>
            <w:bookmarkStart w:id="263" w:name="_Toc131352162"/>
            <w:bookmarkStart w:id="264" w:name="_Toc131458204"/>
            <w:bookmarkStart w:id="265" w:name="_Toc136287580"/>
            <w:r w:rsidRPr="005E4DF9">
              <w:rPr>
                <w:rFonts w:eastAsia="Times New Roman" w:cs="Calibri"/>
                <w:color w:val="000000"/>
                <w:sz w:val="18"/>
                <w:szCs w:val="18"/>
                <w:lang w:val="sl-SI" w:eastAsia="sl-SI"/>
              </w:rPr>
              <w:t>28.09.2020</w:t>
            </w:r>
            <w:bookmarkEnd w:id="261"/>
            <w:bookmarkEnd w:id="262"/>
            <w:bookmarkEnd w:id="263"/>
            <w:bookmarkEnd w:id="264"/>
            <w:bookmarkEnd w:id="265"/>
          </w:p>
        </w:tc>
      </w:tr>
    </w:tbl>
    <w:p w14:paraId="026828B6" w14:textId="77777777" w:rsidR="005E4DF9" w:rsidRPr="0058617C" w:rsidRDefault="005E4DF9" w:rsidP="00D45CF1">
      <w:pPr>
        <w:ind w:left="720"/>
        <w:rPr>
          <w:lang w:val="sl-SI"/>
        </w:rPr>
      </w:pPr>
    </w:p>
    <w:p w14:paraId="2AFD826E" w14:textId="7B6EC48E" w:rsidR="003709D7" w:rsidRPr="0058617C" w:rsidRDefault="003709D7" w:rsidP="002A22EB">
      <w:pPr>
        <w:rPr>
          <w:lang w:val="sl-SI"/>
        </w:rPr>
      </w:pPr>
      <w:r w:rsidRPr="0058617C">
        <w:rPr>
          <w:lang w:val="sl-SI"/>
        </w:rPr>
        <w:t>Pomembna vsebinska sprememba je v v1.01, ki med upravičene stroške dodaja stroške plač ter s tem povezane</w:t>
      </w:r>
      <w:r w:rsidR="005E4DF9" w:rsidRPr="0058617C">
        <w:rPr>
          <w:lang w:val="sl-SI"/>
        </w:rPr>
        <w:t xml:space="preserve"> spremembe v preostanki dokumenta, ter omejuje delež določenih upravičenih stroškov na delež celotnih upravičenih stroškov (predhodno vrednost celotne operacije). Prav tako dodaja manjše spremembe glede posameznih stroškov. Edina sprememba v v1.02 se nanaša na dopolnitev in spremembo dela dokumenta glede stroška plač, med tem ko v1.03 dodaja poglavje o zasebnem partnerju, ter poglavje o energetskih sistemih na zemeljski plin z visokim izkoristkom.  </w:t>
      </w:r>
    </w:p>
    <w:p w14:paraId="63777917" w14:textId="66B35EF2" w:rsidR="005E4DF9" w:rsidRPr="0058617C" w:rsidRDefault="005E4DF9" w:rsidP="002A22EB">
      <w:pPr>
        <w:rPr>
          <w:lang w:val="sl-SI"/>
        </w:rPr>
      </w:pPr>
      <w:r w:rsidRPr="0058617C">
        <w:rPr>
          <w:lang w:val="sl-SI"/>
        </w:rPr>
        <w:t>Naslednja verzija, v1.04, spreminja definicije, spreminja poglavje o nepredvidenih delih, stroških plač, ter dodaja vsebino o energetski prenovi kotlovnic.</w:t>
      </w:r>
      <w:r w:rsidR="00AC749E" w:rsidRPr="0058617C">
        <w:rPr>
          <w:lang w:val="sl-SI"/>
        </w:rPr>
        <w:t xml:space="preserve"> Nadalje</w:t>
      </w:r>
      <w:r w:rsidRPr="0058617C">
        <w:rPr>
          <w:lang w:val="sl-SI"/>
        </w:rPr>
        <w:t xml:space="preserve"> v1.05 posodablja sklicevanje na relevantno zakonodajo ter </w:t>
      </w:r>
      <w:r w:rsidR="00AC749E" w:rsidRPr="0058617C">
        <w:rPr>
          <w:lang w:val="sl-SI"/>
        </w:rPr>
        <w:t xml:space="preserve">uvaja </w:t>
      </w:r>
      <w:r w:rsidRPr="0058617C">
        <w:rPr>
          <w:lang w:val="sl-SI"/>
        </w:rPr>
        <w:t xml:space="preserve">minimalne druge spremembe. </w:t>
      </w:r>
    </w:p>
    <w:p w14:paraId="1A07585B" w14:textId="00E41782" w:rsidR="005E4DF9" w:rsidRPr="0058617C" w:rsidRDefault="005E4DF9" w:rsidP="002A22EB">
      <w:pPr>
        <w:rPr>
          <w:lang w:val="sl-SI"/>
        </w:rPr>
      </w:pPr>
      <w:r w:rsidRPr="0058617C">
        <w:rPr>
          <w:lang w:val="sl-SI"/>
        </w:rPr>
        <w:t xml:space="preserve">Vse spremembe Priročnika so bile uvedene v obdobju, ko ni bilo objavljenega aktivnega povabila, kar posledično pomeni, da se je razpis, ko je bil objavljen, skliceval na takrat veljavno verzijo Priročnika, z izjemo prvega razpisa (JOB 2016), med trajanjem katerega je prišlo do spremembe </w:t>
      </w:r>
      <w:r w:rsidR="00CD6125" w:rsidRPr="0058617C">
        <w:rPr>
          <w:lang w:val="sl-SI"/>
        </w:rPr>
        <w:t>Priročnika</w:t>
      </w:r>
      <w:r w:rsidRPr="0058617C">
        <w:rPr>
          <w:lang w:val="sl-SI"/>
        </w:rPr>
        <w:t xml:space="preserve"> iz v1.0</w:t>
      </w:r>
      <w:r w:rsidR="00CD6125" w:rsidRPr="0058617C">
        <w:rPr>
          <w:lang w:val="sl-SI"/>
        </w:rPr>
        <w:t>1</w:t>
      </w:r>
      <w:r w:rsidRPr="0058617C">
        <w:rPr>
          <w:lang w:val="sl-SI"/>
        </w:rPr>
        <w:t xml:space="preserve"> v 1.0</w:t>
      </w:r>
      <w:r w:rsidR="00CD6125" w:rsidRPr="0058617C">
        <w:rPr>
          <w:lang w:val="sl-SI"/>
        </w:rPr>
        <w:t>2</w:t>
      </w:r>
      <w:r w:rsidRPr="0058617C">
        <w:rPr>
          <w:lang w:val="sl-SI"/>
        </w:rPr>
        <w:t>.</w:t>
      </w:r>
    </w:p>
    <w:p w14:paraId="7B027096" w14:textId="7682171D" w:rsidR="003709D7" w:rsidRDefault="00CD6125" w:rsidP="002A22EB">
      <w:pPr>
        <w:rPr>
          <w:lang w:val="sl-SI"/>
        </w:rPr>
      </w:pPr>
      <w:r w:rsidRPr="00890189">
        <w:rPr>
          <w:lang w:val="sl-SI"/>
        </w:rPr>
        <w:t xml:space="preserve">Zatorej </w:t>
      </w:r>
      <w:r w:rsidRPr="00890189">
        <w:rPr>
          <w:b/>
          <w:bCs/>
          <w:lang w:val="sl-SI"/>
        </w:rPr>
        <w:t>zaključujemo, da je odgovor na vprašanj</w:t>
      </w:r>
      <w:r w:rsidR="00D45CF1">
        <w:rPr>
          <w:b/>
          <w:bCs/>
          <w:lang w:val="sl-SI"/>
        </w:rPr>
        <w:t>i</w:t>
      </w:r>
      <w:r w:rsidRPr="00890189">
        <w:rPr>
          <w:b/>
          <w:bCs/>
          <w:lang w:val="sl-SI"/>
        </w:rPr>
        <w:t xml:space="preserve"> »Ali so spremembe v javnih razpisih za sofinanciranje energetske prenove stavb v lasti in rabi občin glede na »prejšnje« javne razpise z ozirom na vsa navodila MZI za izvajanje operacij energetske prenove javnih stavb ustrezne?« </w:t>
      </w:r>
      <w:r w:rsidR="00D45CF1">
        <w:rPr>
          <w:b/>
          <w:bCs/>
          <w:lang w:val="sl-SI"/>
        </w:rPr>
        <w:t xml:space="preserve">in </w:t>
      </w:r>
      <w:r w:rsidR="00D45CF1" w:rsidRPr="00D45CF1">
        <w:rPr>
          <w:b/>
          <w:bCs/>
          <w:lang w:val="sl-SI"/>
        </w:rPr>
        <w:t>Ali so spremembe v povabilih nosilnega posredniškega organa v obdobju 2016 do decembra 2021 z ozirom na vsa navodila MZI za izvajanje operacij energetske prenove javnih stavb ustrezne?</w:t>
      </w:r>
      <w:r w:rsidR="00D45CF1">
        <w:rPr>
          <w:b/>
          <w:bCs/>
          <w:lang w:val="sl-SI"/>
        </w:rPr>
        <w:t xml:space="preserve"> </w:t>
      </w:r>
      <w:r w:rsidR="00AC749E" w:rsidRPr="00890189">
        <w:rPr>
          <w:b/>
          <w:bCs/>
          <w:lang w:val="sl-SI"/>
        </w:rPr>
        <w:t xml:space="preserve">- </w:t>
      </w:r>
      <w:r w:rsidRPr="00890189">
        <w:rPr>
          <w:b/>
          <w:bCs/>
          <w:lang w:val="sl-SI"/>
        </w:rPr>
        <w:t>da</w:t>
      </w:r>
      <w:r w:rsidRPr="0058617C">
        <w:rPr>
          <w:lang w:val="sl-SI"/>
        </w:rPr>
        <w:t xml:space="preserve">, saj razpisi in povabila ne vključujejo konkretnih pogojev in vsebin, ki bi bila neodvisna od navodil, temveč se sklicujejo na sama navodila. </w:t>
      </w:r>
    </w:p>
    <w:p w14:paraId="4F86ACF1" w14:textId="4ED9373E" w:rsidR="007333BC" w:rsidRDefault="00CC0008" w:rsidP="002A22EB">
      <w:pPr>
        <w:rPr>
          <w:lang w:val="sl-SI"/>
        </w:rPr>
      </w:pPr>
      <w:r>
        <w:rPr>
          <w:lang w:val="sl-SI"/>
        </w:rPr>
        <w:t xml:space="preserve">Na Sliki 2 </w:t>
      </w:r>
      <w:r w:rsidR="00B27804">
        <w:rPr>
          <w:lang w:val="sl-SI"/>
        </w:rPr>
        <w:t xml:space="preserve">na naslednji strani </w:t>
      </w:r>
      <w:r>
        <w:rPr>
          <w:lang w:val="sl-SI"/>
        </w:rPr>
        <w:t xml:space="preserve">je grafično prikazana </w:t>
      </w:r>
      <w:proofErr w:type="spellStart"/>
      <w:r>
        <w:rPr>
          <w:lang w:val="sl-SI"/>
        </w:rPr>
        <w:t>časovnica</w:t>
      </w:r>
      <w:proofErr w:type="spellEnd"/>
      <w:r>
        <w:rPr>
          <w:lang w:val="sl-SI"/>
        </w:rPr>
        <w:t xml:space="preserve"> </w:t>
      </w:r>
      <w:r w:rsidRPr="00CC0008">
        <w:rPr>
          <w:lang w:val="sl-SI"/>
        </w:rPr>
        <w:t xml:space="preserve">javnih razpisov in povabil ter </w:t>
      </w:r>
      <w:r>
        <w:rPr>
          <w:lang w:val="sl-SI"/>
        </w:rPr>
        <w:t xml:space="preserve">vse </w:t>
      </w:r>
      <w:r w:rsidRPr="00CC0008">
        <w:rPr>
          <w:lang w:val="sl-SI"/>
        </w:rPr>
        <w:t>spremembe navodil, usmeritev in priročnika</w:t>
      </w:r>
    </w:p>
    <w:p w14:paraId="18DEA6FE" w14:textId="0938B066" w:rsidR="00014F4D" w:rsidRDefault="00014F4D" w:rsidP="002A22EB">
      <w:pPr>
        <w:rPr>
          <w:lang w:val="sl-SI"/>
        </w:rPr>
      </w:pPr>
      <w:r>
        <w:rPr>
          <w:lang w:val="sl-SI"/>
        </w:rPr>
        <w:lastRenderedPageBreak/>
        <w:t xml:space="preserve">Upravičenost nastalih stroškov </w:t>
      </w:r>
      <w:r w:rsidR="00FE4BB2">
        <w:rPr>
          <w:lang w:val="sl-SI"/>
        </w:rPr>
        <w:t xml:space="preserve">sofinanciranih </w:t>
      </w:r>
      <w:r>
        <w:rPr>
          <w:lang w:val="sl-SI"/>
        </w:rPr>
        <w:t>operacij</w:t>
      </w:r>
      <w:r w:rsidR="00FE4BB2">
        <w:rPr>
          <w:lang w:val="sl-SI"/>
        </w:rPr>
        <w:t xml:space="preserve"> </w:t>
      </w:r>
      <w:r w:rsidR="000A49B4">
        <w:rPr>
          <w:lang w:val="sl-SI"/>
        </w:rPr>
        <w:t xml:space="preserve">nismo </w:t>
      </w:r>
      <w:r w:rsidR="005762D1">
        <w:rPr>
          <w:lang w:val="sl-SI"/>
        </w:rPr>
        <w:t>preverjali</w:t>
      </w:r>
      <w:r w:rsidR="000A49B4">
        <w:rPr>
          <w:lang w:val="sl-SI"/>
        </w:rPr>
        <w:t xml:space="preserve">, saj </w:t>
      </w:r>
      <w:r w:rsidR="005762D1">
        <w:rPr>
          <w:lang w:val="sl-SI"/>
        </w:rPr>
        <w:t>to ni predmet vrednotenja</w:t>
      </w:r>
      <w:r w:rsidR="00FE4BB2">
        <w:rPr>
          <w:lang w:val="sl-SI"/>
        </w:rPr>
        <w:t xml:space="preserve">. Izhajamo iz </w:t>
      </w:r>
      <w:r w:rsidR="005A4411">
        <w:rPr>
          <w:lang w:val="sl-SI"/>
        </w:rPr>
        <w:t>predpostav</w:t>
      </w:r>
      <w:r w:rsidR="00FE4BB2">
        <w:rPr>
          <w:lang w:val="sl-SI"/>
        </w:rPr>
        <w:t xml:space="preserve">ke, </w:t>
      </w:r>
      <w:r w:rsidR="000A49B4">
        <w:rPr>
          <w:lang w:val="sl-SI"/>
        </w:rPr>
        <w:t xml:space="preserve">da tako prvostopenjska </w:t>
      </w:r>
      <w:r w:rsidR="00FE4BB2">
        <w:rPr>
          <w:lang w:val="sl-SI"/>
        </w:rPr>
        <w:t xml:space="preserve">administrativne </w:t>
      </w:r>
      <w:r w:rsidR="000A49B4">
        <w:rPr>
          <w:lang w:val="sl-SI"/>
        </w:rPr>
        <w:t>kon</w:t>
      </w:r>
      <w:r w:rsidR="005762D1">
        <w:rPr>
          <w:lang w:val="sl-SI"/>
        </w:rPr>
        <w:t>trol</w:t>
      </w:r>
      <w:r w:rsidR="00FE4BB2">
        <w:rPr>
          <w:lang w:val="sl-SI"/>
        </w:rPr>
        <w:t>e</w:t>
      </w:r>
      <w:r w:rsidR="005762D1">
        <w:rPr>
          <w:lang w:val="sl-SI"/>
        </w:rPr>
        <w:t xml:space="preserve"> </w:t>
      </w:r>
      <w:r w:rsidR="005A4411">
        <w:rPr>
          <w:lang w:val="sl-SI"/>
        </w:rPr>
        <w:t xml:space="preserve">zahtevkov za izplačilo </w:t>
      </w:r>
      <w:r w:rsidR="005762D1">
        <w:rPr>
          <w:lang w:val="sl-SI"/>
        </w:rPr>
        <w:t xml:space="preserve">kot </w:t>
      </w:r>
      <w:r w:rsidR="005A4411">
        <w:rPr>
          <w:lang w:val="sl-SI"/>
        </w:rPr>
        <w:t xml:space="preserve">tudi </w:t>
      </w:r>
      <w:r w:rsidR="005762D1">
        <w:rPr>
          <w:lang w:val="sl-SI"/>
        </w:rPr>
        <w:t xml:space="preserve">vse nadaljnje </w:t>
      </w:r>
      <w:r w:rsidR="005A4411">
        <w:rPr>
          <w:lang w:val="sl-SI"/>
        </w:rPr>
        <w:t xml:space="preserve">kontrole </w:t>
      </w:r>
      <w:r w:rsidR="005762D1">
        <w:rPr>
          <w:lang w:val="sl-SI"/>
        </w:rPr>
        <w:t xml:space="preserve">dajejo zadostno zagotovilo, da so </w:t>
      </w:r>
      <w:r w:rsidR="00FE4BB2">
        <w:rPr>
          <w:lang w:val="sl-SI"/>
        </w:rPr>
        <w:t xml:space="preserve">vsi nastali stroški </w:t>
      </w:r>
      <w:r w:rsidR="005762D1">
        <w:rPr>
          <w:lang w:val="sl-SI"/>
        </w:rPr>
        <w:t>upravičeni</w:t>
      </w:r>
      <w:r w:rsidR="00954DC5">
        <w:rPr>
          <w:lang w:val="sl-SI"/>
        </w:rPr>
        <w:t xml:space="preserve">, </w:t>
      </w:r>
      <w:r w:rsidR="00120BC4">
        <w:rPr>
          <w:lang w:val="sl-SI"/>
        </w:rPr>
        <w:t xml:space="preserve">zahtevki za izplačilo </w:t>
      </w:r>
      <w:r w:rsidR="00954DC5">
        <w:rPr>
          <w:lang w:val="sl-SI"/>
        </w:rPr>
        <w:t>popoln</w:t>
      </w:r>
      <w:r w:rsidR="00120BC4">
        <w:rPr>
          <w:lang w:val="sl-SI"/>
        </w:rPr>
        <w:t>i</w:t>
      </w:r>
      <w:r w:rsidR="00954DC5">
        <w:rPr>
          <w:lang w:val="sl-SI"/>
        </w:rPr>
        <w:t xml:space="preserve"> in praviln</w:t>
      </w:r>
      <w:r w:rsidR="00120BC4">
        <w:rPr>
          <w:lang w:val="sl-SI"/>
        </w:rPr>
        <w:t>i</w:t>
      </w:r>
      <w:r w:rsidR="00954DC5">
        <w:rPr>
          <w:lang w:val="sl-SI"/>
        </w:rPr>
        <w:t>.</w:t>
      </w:r>
      <w:r w:rsidR="00120BC4">
        <w:rPr>
          <w:lang w:val="sl-SI"/>
        </w:rPr>
        <w:t xml:space="preserve"> Tudi</w:t>
      </w:r>
      <w:r w:rsidR="00954DC5">
        <w:rPr>
          <w:lang w:val="sl-SI"/>
        </w:rPr>
        <w:t xml:space="preserve"> </w:t>
      </w:r>
      <w:r w:rsidR="00120BC4">
        <w:rPr>
          <w:lang w:val="sl-SI"/>
        </w:rPr>
        <w:t xml:space="preserve">s tega vidika </w:t>
      </w:r>
      <w:r w:rsidR="00451A29">
        <w:rPr>
          <w:lang w:val="sl-SI"/>
        </w:rPr>
        <w:t>lahko zaključimo, da so bile vse spremembe spremljajočih dokumentov ustrezne</w:t>
      </w:r>
      <w:r w:rsidR="00634F96">
        <w:rPr>
          <w:lang w:val="sl-SI"/>
        </w:rPr>
        <w:t xml:space="preserve">. </w:t>
      </w:r>
    </w:p>
    <w:p w14:paraId="49AC5215" w14:textId="0BA90C8C" w:rsidR="00ED79A2" w:rsidRDefault="00ED79A2" w:rsidP="002A22EB">
      <w:pPr>
        <w:rPr>
          <w:lang w:val="sl-SI"/>
        </w:rPr>
      </w:pPr>
      <w:r>
        <w:rPr>
          <w:lang w:val="sl-SI"/>
        </w:rPr>
        <w:t xml:space="preserve">S pomočjo anketnega vprašalnika in strukturiranih </w:t>
      </w:r>
      <w:r w:rsidR="00451A29">
        <w:rPr>
          <w:lang w:val="sl-SI"/>
        </w:rPr>
        <w:t xml:space="preserve">intervjujev </w:t>
      </w:r>
      <w:r>
        <w:rPr>
          <w:lang w:val="sl-SI"/>
        </w:rPr>
        <w:t xml:space="preserve">smo še </w:t>
      </w:r>
      <w:r w:rsidR="00451A29">
        <w:rPr>
          <w:lang w:val="sl-SI"/>
        </w:rPr>
        <w:t>preverili, ali so te spremembe kakorkoli vplivale ali ovirale izvajanje samih operacij.</w:t>
      </w:r>
      <w:r w:rsidR="00634F96">
        <w:rPr>
          <w:lang w:val="sl-SI"/>
        </w:rPr>
        <w:t xml:space="preserve"> </w:t>
      </w:r>
      <w:r w:rsidRPr="00ED79A2">
        <w:rPr>
          <w:lang w:val="sl-SI"/>
        </w:rPr>
        <w:t xml:space="preserve">V anketnem vprašalniku in na strukturiranih intervjujih smo </w:t>
      </w:r>
      <w:r>
        <w:rPr>
          <w:lang w:val="sl-SI"/>
        </w:rPr>
        <w:t xml:space="preserve">dodatno še </w:t>
      </w:r>
      <w:r w:rsidRPr="00ED79A2">
        <w:rPr>
          <w:lang w:val="sl-SI"/>
        </w:rPr>
        <w:t xml:space="preserve">preverili, kako upravičenci ocenjujejo </w:t>
      </w:r>
      <w:r w:rsidR="00EB422D" w:rsidRPr="00EB422D">
        <w:rPr>
          <w:lang w:val="sl-SI"/>
        </w:rPr>
        <w:t xml:space="preserve">kvaliteto pripravljene razpisne dokumentacije </w:t>
      </w:r>
      <w:r w:rsidR="000F4ECF">
        <w:rPr>
          <w:lang w:val="sl-SI"/>
        </w:rPr>
        <w:t xml:space="preserve">(JOB/povabila). </w:t>
      </w:r>
      <w:r w:rsidRPr="00ED79A2">
        <w:rPr>
          <w:lang w:val="sl-SI"/>
        </w:rPr>
        <w:t xml:space="preserve">Prosili smo jih, da </w:t>
      </w:r>
      <w:r w:rsidR="000F4ECF">
        <w:rPr>
          <w:lang w:val="sl-SI"/>
        </w:rPr>
        <w:t xml:space="preserve">kvaliteto pripravljene dokumentacije </w:t>
      </w:r>
      <w:r w:rsidRPr="00ED79A2">
        <w:rPr>
          <w:lang w:val="sl-SI"/>
        </w:rPr>
        <w:t xml:space="preserve">ocenijo na lestvici od 1 do 7. </w:t>
      </w:r>
    </w:p>
    <w:p w14:paraId="5E067E52" w14:textId="06979DB0" w:rsidR="000F4ECF" w:rsidRDefault="00B60CDA" w:rsidP="002A22EB">
      <w:pPr>
        <w:rPr>
          <w:lang w:val="sl-SI"/>
        </w:rPr>
      </w:pPr>
      <w:r w:rsidRPr="00594AF0">
        <w:rPr>
          <w:b/>
          <w:bCs/>
          <w:lang w:val="sl-SI"/>
        </w:rPr>
        <w:t>Upravičenci A</w:t>
      </w:r>
      <w:r>
        <w:rPr>
          <w:lang w:val="sl-SI"/>
        </w:rPr>
        <w:t xml:space="preserve"> so </w:t>
      </w:r>
      <w:r>
        <w:rPr>
          <w:b/>
          <w:bCs/>
          <w:lang w:val="sl-SI"/>
        </w:rPr>
        <w:t>kvaliteto</w:t>
      </w:r>
      <w:r w:rsidRPr="00140697">
        <w:rPr>
          <w:b/>
          <w:bCs/>
          <w:lang w:val="sl-SI"/>
        </w:rPr>
        <w:t xml:space="preserve"> </w:t>
      </w:r>
      <w:r w:rsidRPr="00B60CDA">
        <w:rPr>
          <w:lang w:val="sl-SI"/>
        </w:rPr>
        <w:t>razpisne dokumentacije</w:t>
      </w:r>
      <w:r>
        <w:rPr>
          <w:b/>
          <w:bCs/>
          <w:lang w:val="sl-SI"/>
        </w:rPr>
        <w:t xml:space="preserve"> </w:t>
      </w:r>
      <w:r>
        <w:rPr>
          <w:lang w:val="sl-SI"/>
        </w:rPr>
        <w:t xml:space="preserve">ocenili </w:t>
      </w:r>
      <w:r w:rsidRPr="00140697">
        <w:rPr>
          <w:lang w:val="sl-SI"/>
        </w:rPr>
        <w:t>s povprečno oceno</w:t>
      </w:r>
      <w:r w:rsidRPr="00140697">
        <w:rPr>
          <w:b/>
          <w:bCs/>
          <w:lang w:val="sl-SI"/>
        </w:rPr>
        <w:t xml:space="preserve"> </w:t>
      </w:r>
      <w:r>
        <w:rPr>
          <w:b/>
          <w:bCs/>
          <w:lang w:val="sl-SI"/>
        </w:rPr>
        <w:t>4</w:t>
      </w:r>
      <w:r w:rsidR="0078728E">
        <w:rPr>
          <w:b/>
          <w:bCs/>
          <w:lang w:val="sl-SI"/>
        </w:rPr>
        <w:t>,3</w:t>
      </w:r>
      <w:r>
        <w:rPr>
          <w:b/>
          <w:bCs/>
          <w:lang w:val="sl-SI"/>
        </w:rPr>
        <w:t xml:space="preserve"> </w:t>
      </w:r>
      <w:r w:rsidRPr="00140697">
        <w:rPr>
          <w:lang w:val="sl-SI"/>
        </w:rPr>
        <w:t xml:space="preserve">(minimum </w:t>
      </w:r>
      <w:r w:rsidR="0078728E">
        <w:rPr>
          <w:lang w:val="sl-SI"/>
        </w:rPr>
        <w:t>1</w:t>
      </w:r>
      <w:r w:rsidRPr="00140697">
        <w:rPr>
          <w:lang w:val="sl-SI"/>
        </w:rPr>
        <w:t xml:space="preserve">, maksimum </w:t>
      </w:r>
      <w:r>
        <w:rPr>
          <w:lang w:val="sl-SI"/>
        </w:rPr>
        <w:t>7</w:t>
      </w:r>
      <w:r w:rsidRPr="00140697">
        <w:rPr>
          <w:lang w:val="sl-SI"/>
        </w:rPr>
        <w:t>),</w:t>
      </w:r>
      <w:r>
        <w:rPr>
          <w:lang w:val="sl-SI"/>
        </w:rPr>
        <w:t xml:space="preserve"> s pojasnilom, da so </w:t>
      </w:r>
      <w:r w:rsidR="007A0B44">
        <w:rPr>
          <w:lang w:val="sl-SI"/>
        </w:rPr>
        <w:t xml:space="preserve">bila navodila jasna, obrazci predpisani, vrstni red določen, prav tako pa so pohvalili kontrolnik </w:t>
      </w:r>
      <w:r w:rsidR="00E54D81">
        <w:rPr>
          <w:lang w:val="sl-SI"/>
        </w:rPr>
        <w:t xml:space="preserve">vloge za lažjo oddajo. Nekateri menijo, da so zahteve sicer jasne, da je morda mestoma dokumentacija prezahtevna, </w:t>
      </w:r>
      <w:r w:rsidR="00D5068E">
        <w:rPr>
          <w:lang w:val="sl-SI"/>
        </w:rPr>
        <w:t xml:space="preserve">ni pragmatična. Prav tako so izrazili zaskrbljenost, da v prihodnje ne bo več interesa zasebnih partnerjev za izvedbo JZP. </w:t>
      </w:r>
      <w:r w:rsidR="002E168F">
        <w:rPr>
          <w:lang w:val="sl-SI"/>
        </w:rPr>
        <w:t xml:space="preserve">Na vprašanje, ali so se v času izvajanja projektov spremenila pravila upravičenosti, </w:t>
      </w:r>
      <w:r w:rsidR="001428D2">
        <w:rPr>
          <w:lang w:val="sl-SI"/>
        </w:rPr>
        <w:t xml:space="preserve">ki so vplivala na projektno implementacijo, </w:t>
      </w:r>
      <w:r w:rsidR="002E168F">
        <w:rPr>
          <w:lang w:val="sl-SI"/>
        </w:rPr>
        <w:t>s</w:t>
      </w:r>
      <w:r w:rsidR="001428D2">
        <w:rPr>
          <w:lang w:val="sl-SI"/>
        </w:rPr>
        <w:t xml:space="preserve">ta zgolj 2 upravičenca odgovorila pritrdilno s pojasnilom, da je sprememba vplivala na manjši delež upravičenih stroškov. </w:t>
      </w:r>
    </w:p>
    <w:p w14:paraId="2FEE07E7" w14:textId="77777777" w:rsidR="006134EE" w:rsidRDefault="001428D2" w:rsidP="00421859">
      <w:pPr>
        <w:rPr>
          <w:lang w:val="sl-SI"/>
        </w:rPr>
      </w:pPr>
      <w:r w:rsidRPr="001428D2">
        <w:rPr>
          <w:b/>
          <w:bCs/>
          <w:lang w:val="sl-SI"/>
        </w:rPr>
        <w:t>Upravičenci B</w:t>
      </w:r>
      <w:r>
        <w:rPr>
          <w:lang w:val="sl-SI"/>
        </w:rPr>
        <w:t xml:space="preserve"> so </w:t>
      </w:r>
      <w:r w:rsidRPr="001428D2">
        <w:rPr>
          <w:b/>
          <w:bCs/>
          <w:lang w:val="sl-SI"/>
        </w:rPr>
        <w:t>kvaliteto</w:t>
      </w:r>
      <w:r>
        <w:rPr>
          <w:lang w:val="sl-SI"/>
        </w:rPr>
        <w:t xml:space="preserve"> povabil nosilnega organa ocenili s povprečno oceno </w:t>
      </w:r>
      <w:r w:rsidR="00F57705" w:rsidRPr="001871CE">
        <w:rPr>
          <w:b/>
          <w:bCs/>
          <w:lang w:val="sl-SI"/>
        </w:rPr>
        <w:t>3,8</w:t>
      </w:r>
      <w:r w:rsidR="00F57705">
        <w:rPr>
          <w:lang w:val="sl-SI"/>
        </w:rPr>
        <w:t xml:space="preserve"> (minimum 3, maksimum</w:t>
      </w:r>
      <w:r w:rsidR="001871CE">
        <w:rPr>
          <w:lang w:val="sl-SI"/>
        </w:rPr>
        <w:t xml:space="preserve"> 7)</w:t>
      </w:r>
      <w:r w:rsidR="006F0305">
        <w:rPr>
          <w:lang w:val="sl-SI"/>
        </w:rPr>
        <w:t xml:space="preserve">, s pojasnilom, da so bila </w:t>
      </w:r>
      <w:r w:rsidR="00972B48">
        <w:rPr>
          <w:lang w:val="sl-SI"/>
        </w:rPr>
        <w:t xml:space="preserve">sicer </w:t>
      </w:r>
      <w:r w:rsidR="006F0305">
        <w:rPr>
          <w:lang w:val="sl-SI"/>
        </w:rPr>
        <w:t>navodila jasna</w:t>
      </w:r>
      <w:r w:rsidR="00972B48">
        <w:rPr>
          <w:lang w:val="sl-SI"/>
        </w:rPr>
        <w:t>, da pa je vse skupaj preveč protokolirano in togo</w:t>
      </w:r>
      <w:r w:rsidR="004D3EA1">
        <w:rPr>
          <w:lang w:val="sl-SI"/>
        </w:rPr>
        <w:t xml:space="preserve">, da je </w:t>
      </w:r>
      <w:r w:rsidR="00447886">
        <w:rPr>
          <w:lang w:val="sl-SI"/>
        </w:rPr>
        <w:t xml:space="preserve">navodil preveč, da je njihova </w:t>
      </w:r>
      <w:r w:rsidR="004D3EA1">
        <w:rPr>
          <w:lang w:val="sl-SI"/>
        </w:rPr>
        <w:t>interpretacij</w:t>
      </w:r>
      <w:r w:rsidR="00447886">
        <w:rPr>
          <w:lang w:val="sl-SI"/>
        </w:rPr>
        <w:t>a</w:t>
      </w:r>
      <w:r w:rsidR="00E92222">
        <w:rPr>
          <w:lang w:val="sl-SI"/>
        </w:rPr>
        <w:t xml:space="preserve"> </w:t>
      </w:r>
      <w:r w:rsidR="004D3EA1">
        <w:rPr>
          <w:lang w:val="sl-SI"/>
        </w:rPr>
        <w:t>prepočasna, da se je praksa izoblikovala z implementacijo (zlasti v povezavi z izvedbo pilotov</w:t>
      </w:r>
      <w:r w:rsidR="00E92222">
        <w:rPr>
          <w:lang w:val="sl-SI"/>
        </w:rPr>
        <w:t>, ki pa so bili nenazadnje temu tudi namenjeni</w:t>
      </w:r>
      <w:r w:rsidR="004D3EA1">
        <w:rPr>
          <w:lang w:val="sl-SI"/>
        </w:rPr>
        <w:t>)</w:t>
      </w:r>
      <w:r w:rsidR="00E92222">
        <w:rPr>
          <w:lang w:val="sl-SI"/>
        </w:rPr>
        <w:t>.</w:t>
      </w:r>
      <w:r w:rsidR="00167BA9">
        <w:rPr>
          <w:lang w:val="sl-SI"/>
        </w:rPr>
        <w:t xml:space="preserve"> </w:t>
      </w:r>
      <w:r w:rsidR="00421859">
        <w:rPr>
          <w:lang w:val="sl-SI"/>
        </w:rPr>
        <w:t xml:space="preserve">Na vprašanje, ali so se v času izvajanja projektov spremenila pravila upravičenosti, ki so vplivala na projektno implementacijo, </w:t>
      </w:r>
      <w:r w:rsidR="00F34250">
        <w:rPr>
          <w:lang w:val="sl-SI"/>
        </w:rPr>
        <w:t xml:space="preserve">so posamezna ministrstva odgovorila, da zvišanje višine sofinanciranja žal ni veljalo za nazaj ter da je uvedba </w:t>
      </w:r>
      <w:r w:rsidR="006134EE">
        <w:rPr>
          <w:lang w:val="sl-SI"/>
        </w:rPr>
        <w:t xml:space="preserve">upravičenosti stroškov dela še dodatno administrativno obremenila sistem poročanja, da so uveljavljanje stroškov dela svojim prijaviteljem odsvetovali. </w:t>
      </w:r>
    </w:p>
    <w:p w14:paraId="62B35DF1" w14:textId="77777777" w:rsidR="00A91202" w:rsidRPr="0058617C" w:rsidRDefault="00A91202" w:rsidP="00A91202">
      <w:pPr>
        <w:rPr>
          <w:lang w:val="sl-SI"/>
        </w:rPr>
      </w:pPr>
      <w:r w:rsidRPr="0058617C">
        <w:rPr>
          <w:noProof/>
          <w:lang w:val="sl-SI"/>
        </w:rPr>
        <w:drawing>
          <wp:anchor distT="0" distB="0" distL="114300" distR="114300" simplePos="0" relativeHeight="251658252" behindDoc="1" locked="0" layoutInCell="1" allowOverlap="1" wp14:anchorId="4EA5A917" wp14:editId="44F081B5">
            <wp:simplePos x="0" y="0"/>
            <wp:positionH relativeFrom="leftMargin">
              <wp:posOffset>488208</wp:posOffset>
            </wp:positionH>
            <wp:positionV relativeFrom="paragraph">
              <wp:posOffset>154305</wp:posOffset>
            </wp:positionV>
            <wp:extent cx="324000" cy="324000"/>
            <wp:effectExtent l="0" t="0" r="0" b="0"/>
            <wp:wrapTight wrapText="bothSides">
              <wp:wrapPolygon edited="0">
                <wp:start x="5082" y="0"/>
                <wp:lineTo x="1271" y="7624"/>
                <wp:lineTo x="1271" y="15247"/>
                <wp:lineTo x="7624" y="20329"/>
                <wp:lineTo x="12706" y="20329"/>
                <wp:lineTo x="20329" y="13976"/>
                <wp:lineTo x="20329" y="8894"/>
                <wp:lineTo x="15247" y="0"/>
                <wp:lineTo x="5082" y="0"/>
              </wp:wrapPolygon>
            </wp:wrapTight>
            <wp:docPr id="23" name="Grafika 23"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p comp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1627D5F9" w14:textId="77777777" w:rsidR="00A91202" w:rsidRPr="0058617C" w:rsidRDefault="00A91202" w:rsidP="002A22EB">
      <w:pPr>
        <w:pStyle w:val="Naslov3"/>
      </w:pPr>
      <w:bookmarkStart w:id="266" w:name="_Toc129003864"/>
      <w:bookmarkStart w:id="267" w:name="_Toc129031902"/>
      <w:bookmarkStart w:id="268" w:name="_Toc131352163"/>
      <w:bookmarkStart w:id="269" w:name="_Toc131458205"/>
      <w:bookmarkStart w:id="270" w:name="_Toc136287581"/>
      <w:r w:rsidRPr="0058617C">
        <w:t>Priporočila</w:t>
      </w:r>
      <w:bookmarkEnd w:id="266"/>
      <w:bookmarkEnd w:id="267"/>
      <w:bookmarkEnd w:id="268"/>
      <w:bookmarkEnd w:id="269"/>
      <w:bookmarkEnd w:id="270"/>
    </w:p>
    <w:p w14:paraId="114868C2" w14:textId="11EE9D3A" w:rsidR="00A91202" w:rsidRPr="0058617C" w:rsidRDefault="00214448" w:rsidP="002A22EB">
      <w:pPr>
        <w:rPr>
          <w:lang w:val="sl-SI"/>
        </w:rPr>
      </w:pPr>
      <w:r>
        <w:rPr>
          <w:lang w:val="sl-SI"/>
        </w:rPr>
        <w:t xml:space="preserve">Posamezna </w:t>
      </w:r>
      <w:r w:rsidR="00AC749E" w:rsidRPr="0058617C">
        <w:rPr>
          <w:lang w:val="sl-SI"/>
        </w:rPr>
        <w:t>priporočil</w:t>
      </w:r>
      <w:r>
        <w:rPr>
          <w:lang w:val="sl-SI"/>
        </w:rPr>
        <w:t xml:space="preserve">a, ki se nanašajo na </w:t>
      </w:r>
      <w:r w:rsidR="004446F9">
        <w:rPr>
          <w:lang w:val="sl-SI"/>
        </w:rPr>
        <w:t xml:space="preserve">ustreznost in kvaliteto pripravljene dokumentacije, so že zajeta </w:t>
      </w:r>
      <w:r>
        <w:rPr>
          <w:lang w:val="sl-SI"/>
        </w:rPr>
        <w:t>pri odgovoru na vprašanje o učinkovitosti postopkov.</w:t>
      </w:r>
      <w:r w:rsidR="004446F9">
        <w:rPr>
          <w:lang w:val="sl-SI"/>
        </w:rPr>
        <w:t xml:space="preserve"> </w:t>
      </w:r>
      <w:r w:rsidR="00AC4A1D">
        <w:rPr>
          <w:lang w:val="sl-SI"/>
        </w:rPr>
        <w:t xml:space="preserve">Na tem mestu bi bil smiselno </w:t>
      </w:r>
      <w:r w:rsidR="008B016E">
        <w:rPr>
          <w:lang w:val="sl-SI"/>
        </w:rPr>
        <w:t xml:space="preserve">predlagati le, da se za financiranje stroškov dela preveri možnost uporabe </w:t>
      </w:r>
      <w:r w:rsidR="00AC4A1D">
        <w:rPr>
          <w:lang w:val="sl-SI"/>
        </w:rPr>
        <w:t>pavšal</w:t>
      </w:r>
      <w:r w:rsidR="008B016E">
        <w:rPr>
          <w:lang w:val="sl-SI"/>
        </w:rPr>
        <w:t>a</w:t>
      </w:r>
      <w:r w:rsidR="00AC4A1D">
        <w:rPr>
          <w:lang w:val="sl-SI"/>
        </w:rPr>
        <w:t xml:space="preserve"> </w:t>
      </w:r>
      <w:r w:rsidR="00732404">
        <w:rPr>
          <w:lang w:val="sl-SI"/>
        </w:rPr>
        <w:t>(»</w:t>
      </w:r>
      <w:proofErr w:type="spellStart"/>
      <w:r w:rsidR="00732404">
        <w:rPr>
          <w:lang w:val="sl-SI"/>
        </w:rPr>
        <w:t>overhead</w:t>
      </w:r>
      <w:proofErr w:type="spellEnd"/>
      <w:r w:rsidR="00732404">
        <w:rPr>
          <w:lang w:val="sl-SI"/>
        </w:rPr>
        <w:t xml:space="preserve">«) za vodenje projekta, s </w:t>
      </w:r>
      <w:r w:rsidR="008B016E">
        <w:rPr>
          <w:lang w:val="sl-SI"/>
        </w:rPr>
        <w:t xml:space="preserve">čimer bi se </w:t>
      </w:r>
      <w:r w:rsidR="00094709">
        <w:rPr>
          <w:lang w:val="sl-SI"/>
        </w:rPr>
        <w:t>v povezavi z uveljavljanjem stroškov dela lahko izognili</w:t>
      </w:r>
      <w:r w:rsidR="000A3C92">
        <w:rPr>
          <w:lang w:val="sl-SI"/>
        </w:rPr>
        <w:t xml:space="preserve"> dodatne</w:t>
      </w:r>
      <w:r w:rsidR="00094709">
        <w:rPr>
          <w:lang w:val="sl-SI"/>
        </w:rPr>
        <w:t xml:space="preserve">mu </w:t>
      </w:r>
      <w:r w:rsidR="000A3C92">
        <w:rPr>
          <w:lang w:val="sl-SI"/>
        </w:rPr>
        <w:t>administrativne</w:t>
      </w:r>
      <w:r w:rsidR="00094709">
        <w:rPr>
          <w:lang w:val="sl-SI"/>
        </w:rPr>
        <w:t xml:space="preserve">mu </w:t>
      </w:r>
      <w:r w:rsidR="000A3C92">
        <w:rPr>
          <w:lang w:val="sl-SI"/>
        </w:rPr>
        <w:t xml:space="preserve">obremenjevanja </w:t>
      </w:r>
      <w:r w:rsidR="00DE6CCE">
        <w:rPr>
          <w:lang w:val="sl-SI"/>
        </w:rPr>
        <w:t xml:space="preserve">upravičencev. </w:t>
      </w:r>
      <w:r w:rsidR="00732404">
        <w:rPr>
          <w:lang w:val="sl-SI"/>
        </w:rPr>
        <w:t xml:space="preserve">  </w:t>
      </w:r>
      <w:r>
        <w:rPr>
          <w:lang w:val="sl-SI"/>
        </w:rPr>
        <w:t xml:space="preserve"> </w:t>
      </w:r>
    </w:p>
    <w:p w14:paraId="21E78FE7" w14:textId="242138E0" w:rsidR="00A91202" w:rsidRPr="0058617C" w:rsidRDefault="002A22EB" w:rsidP="00A91202">
      <w:pPr>
        <w:rPr>
          <w:lang w:val="sl-SI"/>
        </w:rPr>
      </w:pPr>
      <w:r w:rsidRPr="0058617C">
        <w:rPr>
          <w:noProof/>
        </w:rPr>
        <w:drawing>
          <wp:anchor distT="0" distB="0" distL="114300" distR="114300" simplePos="0" relativeHeight="251658251" behindDoc="1" locked="0" layoutInCell="1" allowOverlap="1" wp14:anchorId="7FB4419E" wp14:editId="427636C5">
            <wp:simplePos x="0" y="0"/>
            <wp:positionH relativeFrom="margin">
              <wp:posOffset>-427165</wp:posOffset>
            </wp:positionH>
            <wp:positionV relativeFrom="paragraph">
              <wp:posOffset>240030</wp:posOffset>
            </wp:positionV>
            <wp:extent cx="324000" cy="324000"/>
            <wp:effectExtent l="0" t="0" r="0" b="0"/>
            <wp:wrapTight wrapText="bothSides">
              <wp:wrapPolygon edited="0">
                <wp:start x="13976" y="0"/>
                <wp:lineTo x="0" y="1271"/>
                <wp:lineTo x="0" y="13976"/>
                <wp:lineTo x="5082" y="20329"/>
                <wp:lineTo x="15247" y="20329"/>
                <wp:lineTo x="19059" y="13976"/>
                <wp:lineTo x="20329" y="3812"/>
                <wp:lineTo x="19059" y="0"/>
                <wp:lineTo x="13976" y="0"/>
              </wp:wrapPolygon>
            </wp:wrapTight>
            <wp:docPr id="24" name="Grafika 2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ullsey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4B8857F3" w14:textId="73BFE781" w:rsidR="00A91202" w:rsidRPr="0058617C" w:rsidRDefault="00A91202" w:rsidP="002A22EB">
      <w:pPr>
        <w:pStyle w:val="Naslov3"/>
      </w:pPr>
      <w:bookmarkStart w:id="271" w:name="_Toc129003865"/>
      <w:bookmarkStart w:id="272" w:name="_Toc129031903"/>
      <w:bookmarkStart w:id="273" w:name="_Toc131352164"/>
      <w:bookmarkStart w:id="274" w:name="_Toc131458206"/>
      <w:bookmarkStart w:id="275" w:name="_Toc136287582"/>
      <w:r w:rsidRPr="0058617C">
        <w:t>Izzivi in omejitve</w:t>
      </w:r>
      <w:bookmarkEnd w:id="271"/>
      <w:bookmarkEnd w:id="272"/>
      <w:bookmarkEnd w:id="273"/>
      <w:bookmarkEnd w:id="274"/>
      <w:bookmarkEnd w:id="275"/>
      <w:r w:rsidRPr="0058617C">
        <w:t xml:space="preserve"> </w:t>
      </w:r>
    </w:p>
    <w:p w14:paraId="69F119E9" w14:textId="77777777" w:rsidR="0016445F" w:rsidRDefault="00CD6125" w:rsidP="002A22EB">
      <w:pPr>
        <w:rPr>
          <w:lang w:val="sl-SI"/>
        </w:rPr>
      </w:pPr>
      <w:r w:rsidRPr="0058617C">
        <w:rPr>
          <w:lang w:val="sl-SI"/>
        </w:rPr>
        <w:t>Zaradi nedelujočih povezav na spletni strani Portala Energetika, razen za OJS/ŠJS 2020 in 2021, ni bilo mogoče preveriti</w:t>
      </w:r>
      <w:r w:rsidR="00D45CF1">
        <w:rPr>
          <w:lang w:val="sl-SI"/>
        </w:rPr>
        <w:t>,</w:t>
      </w:r>
      <w:r w:rsidRPr="0058617C">
        <w:rPr>
          <w:lang w:val="sl-SI"/>
        </w:rPr>
        <w:t xml:space="preserve"> katera verzija datoteke je bila pripeta pozivu. Pregled datumov objav in posodobitev dokumentov (navodil, priročnika, usmeritev) ter datumov objave povabil pokaže, da je prišlo do sprememb v obdobjih, ko razpisi niso bili </w:t>
      </w:r>
      <w:r w:rsidR="00AC749E" w:rsidRPr="0058617C">
        <w:rPr>
          <w:lang w:val="sl-SI"/>
        </w:rPr>
        <w:t xml:space="preserve">aktivni, z izjemo zgoraj omenjenega JOB 2016. Zatorej smo operirali s predpostavko, da je bil povabilu in razpisu priložena vsakokrat veljavna dokumentacija. </w:t>
      </w:r>
    </w:p>
    <w:p w14:paraId="79394B18" w14:textId="3B762530" w:rsidR="001871CE" w:rsidRDefault="003124C6" w:rsidP="002A22EB">
      <w:pPr>
        <w:rPr>
          <w:lang w:val="sl-SI"/>
        </w:rPr>
      </w:pPr>
      <w:r>
        <w:rPr>
          <w:lang w:val="sl-SI"/>
        </w:rPr>
        <w:t xml:space="preserve">Priprava prvega osnutka končnega poročila je bila po predvideni </w:t>
      </w:r>
      <w:proofErr w:type="spellStart"/>
      <w:r>
        <w:rPr>
          <w:lang w:val="sl-SI"/>
        </w:rPr>
        <w:t>časovnici</w:t>
      </w:r>
      <w:proofErr w:type="spellEnd"/>
      <w:r>
        <w:rPr>
          <w:lang w:val="sl-SI"/>
        </w:rPr>
        <w:t xml:space="preserve"> kratka, zato prvi osnutek še ni zajemal celovitega odgovora na vprašanje vrednotenja. Naknadno smo prejeli vse zahtevane podatke in informacij ter jih vključili v končno verzijo dokumenta.  </w:t>
      </w:r>
    </w:p>
    <w:p w14:paraId="182B32DC" w14:textId="77777777" w:rsidR="009651A1" w:rsidRDefault="009651A1" w:rsidP="009651A1">
      <w:pPr>
        <w:rPr>
          <w:lang w:val="sl-SI"/>
        </w:rPr>
      </w:pPr>
    </w:p>
    <w:p w14:paraId="34D185EF" w14:textId="0A2A0342" w:rsidR="00E2503F" w:rsidRPr="00E2503F" w:rsidRDefault="00E2503F" w:rsidP="00E2503F">
      <w:pPr>
        <w:rPr>
          <w:lang w:val="sl-SI"/>
        </w:rPr>
        <w:sectPr w:rsidR="00E2503F" w:rsidRPr="00E2503F" w:rsidSect="0094034A">
          <w:headerReference w:type="default" r:id="rId26"/>
          <w:footerReference w:type="default" r:id="rId27"/>
          <w:pgSz w:w="11906" w:h="16838"/>
          <w:pgMar w:top="1440" w:right="1416" w:bottom="1440" w:left="1440" w:header="708" w:footer="708" w:gutter="0"/>
          <w:cols w:space="708"/>
          <w:docGrid w:linePitch="360"/>
        </w:sectPr>
      </w:pPr>
    </w:p>
    <w:p w14:paraId="45EA2766" w14:textId="26991A0E" w:rsidR="002C3F9A" w:rsidRPr="0058617C" w:rsidRDefault="005537CE" w:rsidP="00237E02">
      <w:pPr>
        <w:rPr>
          <w:lang w:val="sl-SI"/>
        </w:rPr>
      </w:pPr>
      <w:r>
        <w:rPr>
          <w:noProof/>
          <w:lang w:val="sl-SI"/>
        </w:rPr>
        <w:lastRenderedPageBreak/>
        <w:drawing>
          <wp:inline distT="0" distB="0" distL="0" distR="0" wp14:anchorId="5A894BBF" wp14:editId="6B206334">
            <wp:extent cx="8863330" cy="4985385"/>
            <wp:effectExtent l="0" t="0" r="0" b="571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pic:cNvPicPr/>
                  </pic:nvPicPr>
                  <pic:blipFill>
                    <a:blip r:embed="rId28">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p w14:paraId="47944B51" w14:textId="77777777" w:rsidR="007333BC" w:rsidRPr="007333BC" w:rsidRDefault="005537CE" w:rsidP="005537CE">
      <w:pPr>
        <w:pStyle w:val="Napis"/>
        <w:rPr>
          <w:sz w:val="16"/>
          <w:szCs w:val="16"/>
          <w:lang w:val="sl-SI"/>
        </w:rPr>
        <w:sectPr w:rsidR="007333BC" w:rsidRPr="007333BC" w:rsidSect="0016445F">
          <w:pgSz w:w="16838" w:h="11906" w:orient="landscape"/>
          <w:pgMar w:top="1440" w:right="1440" w:bottom="1440" w:left="1440" w:header="708" w:footer="708" w:gutter="0"/>
          <w:cols w:space="708"/>
          <w:docGrid w:linePitch="360"/>
        </w:sectPr>
      </w:pPr>
      <w:r w:rsidRPr="007333BC">
        <w:rPr>
          <w:sz w:val="16"/>
          <w:szCs w:val="16"/>
          <w:lang w:val="sl-SI"/>
        </w:rPr>
        <w:t xml:space="preserve">Slika </w:t>
      </w:r>
      <w:r w:rsidRPr="007333BC">
        <w:rPr>
          <w:noProof/>
          <w:sz w:val="16"/>
          <w:szCs w:val="16"/>
          <w:lang w:val="sl-SI"/>
        </w:rPr>
        <w:t>2</w:t>
      </w:r>
      <w:r w:rsidRPr="007333BC">
        <w:rPr>
          <w:sz w:val="16"/>
          <w:szCs w:val="16"/>
          <w:lang w:val="sl-SI"/>
        </w:rPr>
        <w:t xml:space="preserve"> </w:t>
      </w:r>
      <w:r w:rsidR="009F2A66" w:rsidRPr="007333BC">
        <w:rPr>
          <w:sz w:val="16"/>
          <w:szCs w:val="16"/>
          <w:lang w:val="sl-SI"/>
        </w:rPr>
        <w:t>–</w:t>
      </w:r>
      <w:r w:rsidRPr="007333BC">
        <w:rPr>
          <w:sz w:val="16"/>
          <w:szCs w:val="16"/>
          <w:lang w:val="sl-SI"/>
        </w:rPr>
        <w:t xml:space="preserve"> </w:t>
      </w:r>
      <w:proofErr w:type="spellStart"/>
      <w:r w:rsidR="009F2A66" w:rsidRPr="007333BC">
        <w:rPr>
          <w:sz w:val="16"/>
          <w:szCs w:val="16"/>
          <w:lang w:val="sl-SI"/>
        </w:rPr>
        <w:t>Časovnica</w:t>
      </w:r>
      <w:proofErr w:type="spellEnd"/>
      <w:r w:rsidR="009F2A66" w:rsidRPr="007333BC">
        <w:rPr>
          <w:sz w:val="16"/>
          <w:szCs w:val="16"/>
          <w:lang w:val="sl-SI"/>
        </w:rPr>
        <w:t xml:space="preserve"> javnih razpisov in povabil</w:t>
      </w:r>
      <w:r w:rsidR="007100B0" w:rsidRPr="007333BC">
        <w:rPr>
          <w:sz w:val="16"/>
          <w:szCs w:val="16"/>
          <w:lang w:val="sl-SI"/>
        </w:rPr>
        <w:t xml:space="preserve"> ter spremembe navodil, usmeritev in prir</w:t>
      </w:r>
      <w:r w:rsidR="007333BC" w:rsidRPr="007333BC">
        <w:rPr>
          <w:sz w:val="16"/>
          <w:szCs w:val="16"/>
          <w:lang w:val="sl-SI"/>
        </w:rPr>
        <w:t>o</w:t>
      </w:r>
      <w:r w:rsidR="007100B0" w:rsidRPr="007333BC">
        <w:rPr>
          <w:sz w:val="16"/>
          <w:szCs w:val="16"/>
          <w:lang w:val="sl-SI"/>
        </w:rPr>
        <w:t>čnika</w:t>
      </w:r>
      <w:r w:rsidR="009F2A66" w:rsidRPr="007333BC">
        <w:rPr>
          <w:sz w:val="16"/>
          <w:szCs w:val="16"/>
          <w:lang w:val="sl-SI"/>
        </w:rPr>
        <w:t xml:space="preserve"> </w:t>
      </w:r>
    </w:p>
    <w:p w14:paraId="47113870" w14:textId="49DD3C74" w:rsidR="00E2503F" w:rsidRPr="0064207F" w:rsidRDefault="00FC410D" w:rsidP="00FC410D">
      <w:pPr>
        <w:pStyle w:val="Naslov2"/>
        <w:rPr>
          <w:b/>
          <w:bCs/>
          <w:lang w:val="sl-SI"/>
        </w:rPr>
      </w:pPr>
      <w:bookmarkStart w:id="276" w:name="_Toc136287583"/>
      <w:bookmarkStart w:id="277" w:name="_Toc129003866"/>
      <w:r w:rsidRPr="0064207F">
        <w:rPr>
          <w:b/>
          <w:bCs/>
          <w:lang w:val="sl-SI"/>
        </w:rPr>
        <w:lastRenderedPageBreak/>
        <w:t>Kakšen je širši (spodbujevalni) vpliv na upravičence A in B?</w:t>
      </w:r>
      <w:bookmarkEnd w:id="276"/>
    </w:p>
    <w:p w14:paraId="58B7D70E" w14:textId="77777777" w:rsidR="00FB5C92" w:rsidRDefault="00FB5C92" w:rsidP="00FB5C92">
      <w:pPr>
        <w:rPr>
          <w:lang w:val="sl-SI"/>
        </w:rPr>
      </w:pPr>
    </w:p>
    <w:p w14:paraId="1FC20D54" w14:textId="77777777" w:rsidR="00FB5C92" w:rsidRPr="00794E6E" w:rsidRDefault="00FB5C92" w:rsidP="00FB5C92">
      <w:pPr>
        <w:pStyle w:val="Naslov3"/>
      </w:pPr>
      <w:bookmarkStart w:id="278" w:name="_Toc131458208"/>
      <w:bookmarkStart w:id="279" w:name="_Toc136287584"/>
      <w:r>
        <w:rPr>
          <w:noProof/>
        </w:rPr>
        <w:drawing>
          <wp:anchor distT="0" distB="0" distL="114300" distR="114300" simplePos="0" relativeHeight="251658262" behindDoc="1" locked="0" layoutInCell="1" allowOverlap="1" wp14:anchorId="4C73FC2E" wp14:editId="189E483B">
            <wp:simplePos x="0" y="0"/>
            <wp:positionH relativeFrom="column">
              <wp:posOffset>-451485</wp:posOffset>
            </wp:positionH>
            <wp:positionV relativeFrom="paragraph">
              <wp:posOffset>30429</wp:posOffset>
            </wp:positionV>
            <wp:extent cx="324000" cy="324000"/>
            <wp:effectExtent l="0" t="0" r="6350" b="0"/>
            <wp:wrapTight wrapText="bothSides">
              <wp:wrapPolygon edited="0">
                <wp:start x="1694" y="847"/>
                <wp:lineTo x="847" y="6776"/>
                <wp:lineTo x="847" y="16094"/>
                <wp:lineTo x="2541" y="20329"/>
                <wp:lineTo x="19482" y="20329"/>
                <wp:lineTo x="21176" y="8471"/>
                <wp:lineTo x="19482" y="3388"/>
                <wp:lineTo x="16094" y="847"/>
                <wp:lineTo x="1694" y="847"/>
              </wp:wrapPolygon>
            </wp:wrapTight>
            <wp:docPr id="28" name="Grafika 28" descr="Tic Tac To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ic Tac Toe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r w:rsidRPr="00794E6E">
        <w:t>Pristop in metodološka orodja</w:t>
      </w:r>
      <w:bookmarkEnd w:id="278"/>
      <w:bookmarkEnd w:id="279"/>
    </w:p>
    <w:p w14:paraId="4E50A852" w14:textId="57BB4BBE" w:rsidR="0047407A" w:rsidRDefault="00E96BFA" w:rsidP="00FB5C92">
      <w:pPr>
        <w:rPr>
          <w:lang w:val="sl-SI"/>
        </w:rPr>
      </w:pPr>
      <w:r w:rsidRPr="00E96BFA">
        <w:rPr>
          <w:lang w:val="sl-SI"/>
        </w:rPr>
        <w:t>Odgovor na navedeno vprašanje s</w:t>
      </w:r>
      <w:r>
        <w:rPr>
          <w:lang w:val="sl-SI"/>
        </w:rPr>
        <w:t xml:space="preserve">mo </w:t>
      </w:r>
      <w:r w:rsidRPr="00E96BFA">
        <w:rPr>
          <w:lang w:val="sl-SI"/>
        </w:rPr>
        <w:t>pridob</w:t>
      </w:r>
      <w:r>
        <w:rPr>
          <w:lang w:val="sl-SI"/>
        </w:rPr>
        <w:t xml:space="preserve">ili z </w:t>
      </w:r>
      <w:r w:rsidRPr="00E96BFA">
        <w:rPr>
          <w:lang w:val="sl-SI"/>
        </w:rPr>
        <w:t>uporabo metodološkega orodja »an</w:t>
      </w:r>
      <w:r>
        <w:rPr>
          <w:lang w:val="sl-SI"/>
        </w:rPr>
        <w:t xml:space="preserve">keta« in »strukturiran intervju«. </w:t>
      </w:r>
      <w:r w:rsidR="007502F7">
        <w:rPr>
          <w:lang w:val="sl-SI"/>
        </w:rPr>
        <w:t xml:space="preserve">Prav tako smo izračunali </w:t>
      </w:r>
      <w:r w:rsidR="00CE67A7">
        <w:rPr>
          <w:lang w:val="sl-SI"/>
        </w:rPr>
        <w:t xml:space="preserve">multiplikator </w:t>
      </w:r>
      <w:r w:rsidR="007D7D75">
        <w:rPr>
          <w:lang w:val="sl-SI"/>
        </w:rPr>
        <w:t xml:space="preserve">EU sredstev </w:t>
      </w:r>
      <w:r w:rsidR="00CE67A7">
        <w:rPr>
          <w:lang w:val="sl-SI"/>
        </w:rPr>
        <w:t xml:space="preserve">in </w:t>
      </w:r>
      <w:r w:rsidR="007D7D75">
        <w:rPr>
          <w:lang w:val="sl-SI"/>
        </w:rPr>
        <w:t xml:space="preserve">ocenili </w:t>
      </w:r>
      <w:r w:rsidR="0082653E">
        <w:rPr>
          <w:lang w:val="sl-SI"/>
        </w:rPr>
        <w:t>spodbujevalni v</w:t>
      </w:r>
      <w:r w:rsidR="000D3989">
        <w:rPr>
          <w:lang w:val="sl-SI"/>
        </w:rPr>
        <w:t>pliv tudi</w:t>
      </w:r>
      <w:r w:rsidR="0082653E">
        <w:rPr>
          <w:lang w:val="sl-SI"/>
        </w:rPr>
        <w:t xml:space="preserve"> s finančnega vidika. </w:t>
      </w:r>
    </w:p>
    <w:p w14:paraId="1C1925D5" w14:textId="07563CB7" w:rsidR="00FB5C92" w:rsidRDefault="00FB5C92" w:rsidP="00FB5C92">
      <w:pPr>
        <w:rPr>
          <w:lang w:val="hr-HR"/>
        </w:rPr>
      </w:pPr>
      <w:r>
        <w:rPr>
          <w:noProof/>
          <w:lang w:val="sl-SI"/>
        </w:rPr>
        <w:drawing>
          <wp:anchor distT="0" distB="0" distL="114300" distR="114300" simplePos="0" relativeHeight="251658263" behindDoc="1" locked="0" layoutInCell="1" allowOverlap="1" wp14:anchorId="0B45B8E8" wp14:editId="0CD35BF9">
            <wp:simplePos x="0" y="0"/>
            <wp:positionH relativeFrom="column">
              <wp:posOffset>-457835</wp:posOffset>
            </wp:positionH>
            <wp:positionV relativeFrom="paragraph">
              <wp:posOffset>231775</wp:posOffset>
            </wp:positionV>
            <wp:extent cx="323850" cy="323850"/>
            <wp:effectExtent l="0" t="0" r="0" b="0"/>
            <wp:wrapTight wrapText="bothSides">
              <wp:wrapPolygon edited="0">
                <wp:start x="2541" y="847"/>
                <wp:lineTo x="2541" y="18635"/>
                <wp:lineTo x="3388" y="20329"/>
                <wp:lineTo x="19482" y="20329"/>
                <wp:lineTo x="19482" y="847"/>
                <wp:lineTo x="2541" y="847"/>
              </wp:wrapPolygon>
            </wp:wrapTight>
            <wp:docPr id="30" name="Grafika 30" descr="Play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layboo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p w14:paraId="0BCD27AF" w14:textId="77777777" w:rsidR="00FB5C92" w:rsidRDefault="00FB5C92" w:rsidP="00FB5C92">
      <w:pPr>
        <w:pStyle w:val="Naslov3"/>
      </w:pPr>
      <w:bookmarkStart w:id="280" w:name="_Toc131458209"/>
      <w:bookmarkStart w:id="281" w:name="_Toc136287585"/>
      <w:r>
        <w:t>Ključne ugotovitve in odgovor na vprašanje vrednotenja</w:t>
      </w:r>
      <w:bookmarkEnd w:id="280"/>
      <w:bookmarkEnd w:id="281"/>
      <w:r>
        <w:t xml:space="preserve"> </w:t>
      </w:r>
    </w:p>
    <w:p w14:paraId="462F3F28" w14:textId="44DC43BE" w:rsidR="00030E6A" w:rsidRDefault="00531C9B" w:rsidP="00FB5C92">
      <w:pPr>
        <w:rPr>
          <w:lang w:val="sl-SI"/>
        </w:rPr>
      </w:pPr>
      <w:r>
        <w:rPr>
          <w:lang w:val="sl-SI"/>
        </w:rPr>
        <w:t xml:space="preserve">Spodbujevalni vpliv </w:t>
      </w:r>
      <w:r w:rsidR="00E26665">
        <w:rPr>
          <w:lang w:val="sl-SI"/>
        </w:rPr>
        <w:t xml:space="preserve">smo </w:t>
      </w:r>
      <w:r w:rsidR="00FB33D3">
        <w:rPr>
          <w:lang w:val="sl-SI"/>
        </w:rPr>
        <w:t xml:space="preserve">presojali na </w:t>
      </w:r>
      <w:r w:rsidR="00211892">
        <w:rPr>
          <w:lang w:val="sl-SI"/>
        </w:rPr>
        <w:t xml:space="preserve">način, da smo tako upravičence A kot upravičence B prosili, da ocenijo posamezne kategorije </w:t>
      </w:r>
      <w:r w:rsidR="00776AAF">
        <w:rPr>
          <w:lang w:val="sl-SI"/>
        </w:rPr>
        <w:t xml:space="preserve">spodbujevalnega </w:t>
      </w:r>
      <w:r w:rsidR="00211892">
        <w:rPr>
          <w:lang w:val="sl-SI"/>
        </w:rPr>
        <w:t>vpliva</w:t>
      </w:r>
      <w:r w:rsidR="00776AAF">
        <w:rPr>
          <w:lang w:val="sl-SI"/>
        </w:rPr>
        <w:t xml:space="preserve">, in sicer </w:t>
      </w:r>
      <w:r w:rsidR="00030E6A">
        <w:rPr>
          <w:lang w:val="sl-SI"/>
        </w:rPr>
        <w:t xml:space="preserve">po v naprej določenih kategorijah </w:t>
      </w:r>
      <w:r w:rsidR="00094709">
        <w:rPr>
          <w:lang w:val="sl-SI"/>
        </w:rPr>
        <w:t>ter</w:t>
      </w:r>
      <w:r w:rsidR="00030E6A">
        <w:rPr>
          <w:lang w:val="sl-SI"/>
        </w:rPr>
        <w:t xml:space="preserve"> glede na </w:t>
      </w:r>
      <w:r w:rsidR="00094709">
        <w:rPr>
          <w:lang w:val="sl-SI"/>
        </w:rPr>
        <w:t xml:space="preserve">njihov spodbujevalni </w:t>
      </w:r>
      <w:r w:rsidR="00030E6A">
        <w:rPr>
          <w:lang w:val="sl-SI"/>
        </w:rPr>
        <w:t>vpliv</w:t>
      </w:r>
      <w:r w:rsidR="00094709">
        <w:rPr>
          <w:lang w:val="sl-SI"/>
        </w:rPr>
        <w:t xml:space="preserve"> na upravičenca</w:t>
      </w:r>
      <w:r w:rsidR="00030E6A">
        <w:rPr>
          <w:lang w:val="sl-SI"/>
        </w:rPr>
        <w:t>.</w:t>
      </w:r>
    </w:p>
    <w:p w14:paraId="1FED4E37" w14:textId="77777777" w:rsidR="002631A6" w:rsidRDefault="002631A6" w:rsidP="00FB5C92">
      <w:pPr>
        <w:rPr>
          <w:lang w:val="sl-SI"/>
        </w:rPr>
      </w:pPr>
    </w:p>
    <w:p w14:paraId="4F23C404" w14:textId="113ED81C" w:rsidR="00531C9B" w:rsidRDefault="003D7B88" w:rsidP="00FB5C92">
      <w:pPr>
        <w:rPr>
          <w:lang w:val="sl-SI"/>
        </w:rPr>
      </w:pPr>
      <w:r>
        <w:rPr>
          <w:lang w:val="sl-SI"/>
        </w:rPr>
        <w:t>O</w:t>
      </w:r>
      <w:r w:rsidR="00030E6A">
        <w:rPr>
          <w:lang w:val="sl-SI"/>
        </w:rPr>
        <w:t>dgovor</w:t>
      </w:r>
      <w:r>
        <w:rPr>
          <w:lang w:val="sl-SI"/>
        </w:rPr>
        <w:t xml:space="preserve">i </w:t>
      </w:r>
      <w:r w:rsidR="00030E6A" w:rsidRPr="00030E6A">
        <w:rPr>
          <w:b/>
          <w:bCs/>
          <w:lang w:val="sl-SI"/>
        </w:rPr>
        <w:t>upravičencev A</w:t>
      </w:r>
      <w:r w:rsidR="00030E6A">
        <w:rPr>
          <w:lang w:val="sl-SI"/>
        </w:rPr>
        <w:t xml:space="preserve"> </w:t>
      </w:r>
      <w:r>
        <w:rPr>
          <w:lang w:val="sl-SI"/>
        </w:rPr>
        <w:t xml:space="preserve">so glede na razporeditev </w:t>
      </w:r>
      <w:r w:rsidR="00030E6A">
        <w:rPr>
          <w:lang w:val="sl-SI"/>
        </w:rPr>
        <w:t>prikazani v spodnji tabeli:</w:t>
      </w:r>
    </w:p>
    <w:p w14:paraId="2089DFEB" w14:textId="6991C634" w:rsidR="006E0735" w:rsidRDefault="006E0735" w:rsidP="00FB5C92">
      <w:pPr>
        <w:rPr>
          <w:lang w:val="sl-SI"/>
        </w:rPr>
      </w:pPr>
      <w:r w:rsidRPr="006E0735">
        <w:rPr>
          <w:noProof/>
        </w:rPr>
        <w:drawing>
          <wp:inline distT="0" distB="0" distL="0" distR="0" wp14:anchorId="6826DCE7" wp14:editId="1F2A6256">
            <wp:extent cx="5010150" cy="3435388"/>
            <wp:effectExtent l="0" t="0" r="0" b="0"/>
            <wp:docPr id="1160071118" name="Slika 116007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23550" cy="3444576"/>
                    </a:xfrm>
                    <a:prstGeom prst="rect">
                      <a:avLst/>
                    </a:prstGeom>
                    <a:noFill/>
                    <a:ln>
                      <a:noFill/>
                    </a:ln>
                  </pic:spPr>
                </pic:pic>
              </a:graphicData>
            </a:graphic>
          </wp:inline>
        </w:drawing>
      </w:r>
    </w:p>
    <w:p w14:paraId="0428BC84" w14:textId="77777777" w:rsidR="002631A6" w:rsidRDefault="002631A6" w:rsidP="00FB5C92">
      <w:pPr>
        <w:rPr>
          <w:lang w:val="sl-SI"/>
        </w:rPr>
      </w:pPr>
    </w:p>
    <w:p w14:paraId="61C2E657" w14:textId="77777777" w:rsidR="002631A6" w:rsidRDefault="002631A6" w:rsidP="00FB5C92">
      <w:pPr>
        <w:rPr>
          <w:lang w:val="sl-SI"/>
        </w:rPr>
      </w:pPr>
    </w:p>
    <w:p w14:paraId="0D33DB42" w14:textId="77777777" w:rsidR="002631A6" w:rsidRDefault="002631A6" w:rsidP="00FB5C92">
      <w:pPr>
        <w:rPr>
          <w:lang w:val="sl-SI"/>
        </w:rPr>
      </w:pPr>
    </w:p>
    <w:p w14:paraId="5A39A9C2" w14:textId="77777777" w:rsidR="002631A6" w:rsidRDefault="002631A6" w:rsidP="00FB5C92">
      <w:pPr>
        <w:rPr>
          <w:lang w:val="sl-SI"/>
        </w:rPr>
      </w:pPr>
    </w:p>
    <w:p w14:paraId="3271E195" w14:textId="77777777" w:rsidR="002631A6" w:rsidRDefault="002631A6" w:rsidP="00FB5C92">
      <w:pPr>
        <w:rPr>
          <w:lang w:val="sl-SI"/>
        </w:rPr>
      </w:pPr>
    </w:p>
    <w:p w14:paraId="3AAA1ABC" w14:textId="77777777" w:rsidR="002631A6" w:rsidRDefault="002631A6" w:rsidP="00FB5C92">
      <w:pPr>
        <w:rPr>
          <w:lang w:val="sl-SI"/>
        </w:rPr>
      </w:pPr>
    </w:p>
    <w:p w14:paraId="1AE86507" w14:textId="77777777" w:rsidR="002631A6" w:rsidRDefault="002631A6" w:rsidP="00FB5C92">
      <w:pPr>
        <w:rPr>
          <w:lang w:val="sl-SI"/>
        </w:rPr>
      </w:pPr>
    </w:p>
    <w:p w14:paraId="08B4118F" w14:textId="77777777" w:rsidR="002631A6" w:rsidRDefault="002631A6" w:rsidP="00FB5C92">
      <w:pPr>
        <w:rPr>
          <w:lang w:val="sl-SI"/>
        </w:rPr>
      </w:pPr>
    </w:p>
    <w:p w14:paraId="7DC1ACF9" w14:textId="77777777" w:rsidR="002631A6" w:rsidRDefault="002631A6" w:rsidP="00FB5C92">
      <w:pPr>
        <w:rPr>
          <w:lang w:val="sl-SI"/>
        </w:rPr>
      </w:pPr>
    </w:p>
    <w:p w14:paraId="7E346559" w14:textId="77777777" w:rsidR="002631A6" w:rsidRDefault="002631A6" w:rsidP="00FB5C92">
      <w:pPr>
        <w:rPr>
          <w:lang w:val="sl-SI"/>
        </w:rPr>
      </w:pPr>
    </w:p>
    <w:p w14:paraId="7E97F42A" w14:textId="77777777" w:rsidR="002631A6" w:rsidRDefault="002631A6" w:rsidP="00FB5C92">
      <w:pPr>
        <w:rPr>
          <w:lang w:val="sl-SI"/>
        </w:rPr>
      </w:pPr>
    </w:p>
    <w:p w14:paraId="6D0906F5" w14:textId="77777777" w:rsidR="002631A6" w:rsidRDefault="002631A6" w:rsidP="00FB5C92">
      <w:pPr>
        <w:rPr>
          <w:lang w:val="sl-SI"/>
        </w:rPr>
      </w:pPr>
    </w:p>
    <w:p w14:paraId="37431BAF" w14:textId="267EE44C" w:rsidR="00030E6A" w:rsidRDefault="00030E6A" w:rsidP="00FB5C92">
      <w:pPr>
        <w:rPr>
          <w:lang w:val="sl-SI"/>
        </w:rPr>
      </w:pPr>
      <w:r w:rsidRPr="00030E6A">
        <w:rPr>
          <w:lang w:val="sl-SI"/>
        </w:rPr>
        <w:lastRenderedPageBreak/>
        <w:t xml:space="preserve">Odgovori </w:t>
      </w:r>
      <w:r w:rsidRPr="00030E6A">
        <w:rPr>
          <w:b/>
          <w:bCs/>
          <w:lang w:val="sl-SI"/>
        </w:rPr>
        <w:t>upravičencev B</w:t>
      </w:r>
      <w:r w:rsidRPr="00030E6A">
        <w:rPr>
          <w:lang w:val="sl-SI"/>
        </w:rPr>
        <w:t xml:space="preserve"> so </w:t>
      </w:r>
      <w:r w:rsidR="003D7B88">
        <w:rPr>
          <w:lang w:val="sl-SI"/>
        </w:rPr>
        <w:t xml:space="preserve">glede na razporeditev </w:t>
      </w:r>
      <w:r w:rsidRPr="00030E6A">
        <w:rPr>
          <w:lang w:val="sl-SI"/>
        </w:rPr>
        <w:t>prikazani v spodnji tabeli:</w:t>
      </w:r>
    </w:p>
    <w:p w14:paraId="62E9A7ED" w14:textId="77777777" w:rsidR="002002B3" w:rsidRDefault="002002B3" w:rsidP="00FB5C92">
      <w:pPr>
        <w:rPr>
          <w:lang w:val="sl-SI"/>
        </w:rPr>
      </w:pPr>
    </w:p>
    <w:p w14:paraId="43429D5D" w14:textId="53D4B771" w:rsidR="00030E6A" w:rsidRPr="00030E6A" w:rsidRDefault="002631A6" w:rsidP="00FB5C92">
      <w:pPr>
        <w:rPr>
          <w:lang w:val="sl-SI"/>
        </w:rPr>
      </w:pPr>
      <w:r w:rsidRPr="002631A6">
        <w:rPr>
          <w:noProof/>
        </w:rPr>
        <w:drawing>
          <wp:inline distT="0" distB="0" distL="0" distR="0" wp14:anchorId="770C4194" wp14:editId="6CB442E3">
            <wp:extent cx="4953000" cy="3278221"/>
            <wp:effectExtent l="0" t="0" r="0" b="0"/>
            <wp:docPr id="409158465" name="Slika 40915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7309" cy="3281073"/>
                    </a:xfrm>
                    <a:prstGeom prst="rect">
                      <a:avLst/>
                    </a:prstGeom>
                    <a:noFill/>
                    <a:ln>
                      <a:noFill/>
                    </a:ln>
                  </pic:spPr>
                </pic:pic>
              </a:graphicData>
            </a:graphic>
          </wp:inline>
        </w:drawing>
      </w:r>
    </w:p>
    <w:p w14:paraId="6DB53E28" w14:textId="77777777" w:rsidR="00030E6A" w:rsidRDefault="00030E6A" w:rsidP="00FB5C92">
      <w:pPr>
        <w:rPr>
          <w:highlight w:val="yellow"/>
          <w:lang w:val="sl-SI"/>
        </w:rPr>
      </w:pPr>
    </w:p>
    <w:p w14:paraId="616AC4E1" w14:textId="72A06716" w:rsidR="004924B1" w:rsidRPr="004924B1" w:rsidRDefault="004924B1" w:rsidP="00FB5C92">
      <w:pPr>
        <w:rPr>
          <w:lang w:val="sl-SI"/>
        </w:rPr>
      </w:pPr>
      <w:r w:rsidRPr="004924B1">
        <w:rPr>
          <w:lang w:val="sl-SI"/>
        </w:rPr>
        <w:t>V s</w:t>
      </w:r>
      <w:r>
        <w:rPr>
          <w:lang w:val="sl-SI"/>
        </w:rPr>
        <w:t>podnji tabeli smo združili največkrat izbrane odgovore upravičencev A in B</w:t>
      </w:r>
      <w:r w:rsidR="00810000">
        <w:rPr>
          <w:lang w:val="sl-SI"/>
        </w:rPr>
        <w:t xml:space="preserve">, ki pokažejo primerjavo </w:t>
      </w:r>
      <w:r w:rsidR="001C5FEB">
        <w:rPr>
          <w:lang w:val="sl-SI"/>
        </w:rPr>
        <w:t>naj</w:t>
      </w:r>
      <w:r w:rsidR="00032601">
        <w:rPr>
          <w:lang w:val="sl-SI"/>
        </w:rPr>
        <w:t xml:space="preserve">večkrat izbrane </w:t>
      </w:r>
      <w:r w:rsidR="00810000">
        <w:rPr>
          <w:lang w:val="sl-SI"/>
        </w:rPr>
        <w:t>ocen</w:t>
      </w:r>
      <w:r w:rsidR="00032601">
        <w:rPr>
          <w:lang w:val="sl-SI"/>
        </w:rPr>
        <w:t>e</w:t>
      </w:r>
      <w:r w:rsidR="00810000">
        <w:rPr>
          <w:lang w:val="sl-SI"/>
        </w:rPr>
        <w:t xml:space="preserve"> vpliv</w:t>
      </w:r>
      <w:r w:rsidR="00032601">
        <w:rPr>
          <w:lang w:val="sl-SI"/>
        </w:rPr>
        <w:t xml:space="preserve"> po posamezni kategoriji </w:t>
      </w:r>
      <w:r w:rsidR="00810000">
        <w:rPr>
          <w:lang w:val="sl-SI"/>
        </w:rPr>
        <w:t>med obema skupinama upravičencev</w:t>
      </w:r>
      <w:r>
        <w:rPr>
          <w:lang w:val="sl-SI"/>
        </w:rPr>
        <w:t>:</w:t>
      </w:r>
    </w:p>
    <w:p w14:paraId="5AC36A64" w14:textId="4E30A0A2" w:rsidR="00C726FA" w:rsidRPr="001C5FEB" w:rsidRDefault="001C5FEB" w:rsidP="00FB5C92">
      <w:pPr>
        <w:rPr>
          <w:lang w:val="sl-SI"/>
        </w:rPr>
      </w:pPr>
      <w:r w:rsidRPr="001C5FEB">
        <w:rPr>
          <w:noProof/>
        </w:rPr>
        <w:drawing>
          <wp:inline distT="0" distB="0" distL="0" distR="0" wp14:anchorId="3AED8343" wp14:editId="76C4588E">
            <wp:extent cx="5010150" cy="3292178"/>
            <wp:effectExtent l="0" t="0" r="0" b="3810"/>
            <wp:docPr id="245343339" name="Slika 24534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13495" cy="3294376"/>
                    </a:xfrm>
                    <a:prstGeom prst="rect">
                      <a:avLst/>
                    </a:prstGeom>
                    <a:noFill/>
                    <a:ln>
                      <a:noFill/>
                    </a:ln>
                  </pic:spPr>
                </pic:pic>
              </a:graphicData>
            </a:graphic>
          </wp:inline>
        </w:drawing>
      </w:r>
    </w:p>
    <w:p w14:paraId="1986295A" w14:textId="77777777" w:rsidR="00385D08" w:rsidRPr="00AC72A8" w:rsidRDefault="00385D08" w:rsidP="00FB5C92">
      <w:pPr>
        <w:rPr>
          <w:lang w:val="sl-SI"/>
        </w:rPr>
      </w:pPr>
    </w:p>
    <w:p w14:paraId="427E25CA" w14:textId="208F1DF6" w:rsidR="00BF708B" w:rsidRDefault="002E1DA7" w:rsidP="00FB5C92">
      <w:pPr>
        <w:rPr>
          <w:lang w:val="sl-SI"/>
        </w:rPr>
      </w:pPr>
      <w:r w:rsidRPr="00BF708B">
        <w:rPr>
          <w:lang w:val="sl-SI"/>
        </w:rPr>
        <w:t>Širši (spodbujevalni</w:t>
      </w:r>
      <w:r w:rsidR="00BF708B" w:rsidRPr="00BF708B">
        <w:rPr>
          <w:lang w:val="sl-SI"/>
        </w:rPr>
        <w:t>)</w:t>
      </w:r>
      <w:r w:rsidRPr="00BF708B">
        <w:rPr>
          <w:lang w:val="sl-SI"/>
        </w:rPr>
        <w:t xml:space="preserve"> vpliv</w:t>
      </w:r>
      <w:r w:rsidR="00BF708B" w:rsidRPr="00BF708B">
        <w:rPr>
          <w:lang w:val="sl-SI"/>
        </w:rPr>
        <w:t xml:space="preserve"> smo preverjali tudi s finančnega vidika.</w:t>
      </w:r>
      <w:r w:rsidR="00BF708B">
        <w:rPr>
          <w:lang w:val="sl-SI"/>
        </w:rPr>
        <w:t xml:space="preserve"> </w:t>
      </w:r>
      <w:r w:rsidR="00DA6943">
        <w:rPr>
          <w:lang w:val="sl-SI"/>
        </w:rPr>
        <w:t xml:space="preserve">Na podlagi izpisa realizacije </w:t>
      </w:r>
      <w:r w:rsidR="00C56E69">
        <w:rPr>
          <w:lang w:val="sl-SI"/>
        </w:rPr>
        <w:t xml:space="preserve">iz sistema </w:t>
      </w:r>
      <w:proofErr w:type="spellStart"/>
      <w:r w:rsidR="00C56E69">
        <w:rPr>
          <w:lang w:val="sl-SI"/>
        </w:rPr>
        <w:t>eMA</w:t>
      </w:r>
      <w:proofErr w:type="spellEnd"/>
      <w:r w:rsidR="00C56E69">
        <w:rPr>
          <w:lang w:val="sl-SI"/>
        </w:rPr>
        <w:t xml:space="preserve"> na dan </w:t>
      </w:r>
      <w:r w:rsidR="00EB77D0">
        <w:rPr>
          <w:lang w:val="sl-SI"/>
        </w:rPr>
        <w:t xml:space="preserve">21.4.2023 </w:t>
      </w:r>
      <w:r w:rsidR="00C56E69">
        <w:rPr>
          <w:lang w:val="sl-SI"/>
        </w:rPr>
        <w:t xml:space="preserve">(realizirani upravičeni izdatki in realizirani znesek prispevka Unije) </w:t>
      </w:r>
      <w:r w:rsidR="00EB77D0">
        <w:rPr>
          <w:lang w:val="sl-SI"/>
        </w:rPr>
        <w:t>smo izračunali, da</w:t>
      </w:r>
      <w:r w:rsidR="001D2334">
        <w:rPr>
          <w:lang w:val="sl-SI"/>
        </w:rPr>
        <w:t xml:space="preserve"> znaša multiplikator EU sredstev 1,74</w:t>
      </w:r>
      <w:r w:rsidR="00F458BB">
        <w:rPr>
          <w:lang w:val="sl-SI"/>
        </w:rPr>
        <w:t>, kar pomeni, da je 45 milijonov EUR</w:t>
      </w:r>
      <w:r w:rsidR="00B63719">
        <w:rPr>
          <w:lang w:val="sl-SI"/>
        </w:rPr>
        <w:t xml:space="preserve"> evropskih </w:t>
      </w:r>
      <w:r w:rsidR="00A90D04">
        <w:rPr>
          <w:lang w:val="sl-SI"/>
        </w:rPr>
        <w:t>sredstev</w:t>
      </w:r>
      <w:r w:rsidR="00F458BB">
        <w:rPr>
          <w:lang w:val="sl-SI"/>
        </w:rPr>
        <w:t xml:space="preserve"> mobiliziralo dodatnih 79 milijonov </w:t>
      </w:r>
      <w:r w:rsidR="00F458BB">
        <w:rPr>
          <w:lang w:val="sl-SI"/>
        </w:rPr>
        <w:lastRenderedPageBreak/>
        <w:t xml:space="preserve">zasebnih in javnih </w:t>
      </w:r>
      <w:r w:rsidR="00FD5979">
        <w:rPr>
          <w:lang w:val="sl-SI"/>
        </w:rPr>
        <w:t>sredstev</w:t>
      </w:r>
      <w:r w:rsidR="00F458BB">
        <w:rPr>
          <w:lang w:val="sl-SI"/>
        </w:rPr>
        <w:t xml:space="preserve">. Multiplikator je nekoliko večji </w:t>
      </w:r>
      <w:r w:rsidR="00F56A90">
        <w:rPr>
          <w:lang w:val="sl-SI"/>
        </w:rPr>
        <w:t xml:space="preserve">za širši javni sektor in znaša 1,82, medtem ko </w:t>
      </w:r>
      <w:r w:rsidR="004F6607">
        <w:rPr>
          <w:lang w:val="sl-SI"/>
        </w:rPr>
        <w:t xml:space="preserve">znaša </w:t>
      </w:r>
      <w:r w:rsidR="00F56A90">
        <w:rPr>
          <w:lang w:val="sl-SI"/>
        </w:rPr>
        <w:t xml:space="preserve">v ožjem </w:t>
      </w:r>
      <w:r w:rsidR="00B63719">
        <w:rPr>
          <w:lang w:val="sl-SI"/>
        </w:rPr>
        <w:t xml:space="preserve">javnem sektorju 1,57. </w:t>
      </w:r>
    </w:p>
    <w:p w14:paraId="44AF3507" w14:textId="040B59BC" w:rsidR="00531C9B" w:rsidRDefault="0072202F" w:rsidP="00FB5C92">
      <w:pPr>
        <w:rPr>
          <w:lang w:val="sl-SI"/>
        </w:rPr>
      </w:pPr>
      <w:r>
        <w:rPr>
          <w:lang w:val="sl-SI"/>
        </w:rPr>
        <w:t xml:space="preserve"> </w:t>
      </w:r>
    </w:p>
    <w:p w14:paraId="029C3C9E" w14:textId="70EC254B" w:rsidR="00FB5C92" w:rsidRPr="003B2105" w:rsidRDefault="00FB5C92" w:rsidP="002002B3">
      <w:pPr>
        <w:rPr>
          <w:b/>
          <w:bCs/>
        </w:rPr>
      </w:pPr>
      <w:r w:rsidRPr="003B2105">
        <w:rPr>
          <w:b/>
          <w:bCs/>
          <w:noProof/>
          <w:lang w:val="sl-SI"/>
        </w:rPr>
        <w:drawing>
          <wp:anchor distT="0" distB="0" distL="114300" distR="114300" simplePos="0" relativeHeight="251658265" behindDoc="1" locked="0" layoutInCell="1" allowOverlap="1" wp14:anchorId="237C2212" wp14:editId="76283E17">
            <wp:simplePos x="0" y="0"/>
            <wp:positionH relativeFrom="column">
              <wp:posOffset>-457200</wp:posOffset>
            </wp:positionH>
            <wp:positionV relativeFrom="paragraph">
              <wp:posOffset>11430</wp:posOffset>
            </wp:positionV>
            <wp:extent cx="324000" cy="324000"/>
            <wp:effectExtent l="0" t="0" r="0" b="0"/>
            <wp:wrapTight wrapText="bothSides">
              <wp:wrapPolygon edited="0">
                <wp:start x="8471" y="847"/>
                <wp:lineTo x="4235" y="4235"/>
                <wp:lineTo x="1694" y="10165"/>
                <wp:lineTo x="3388" y="16094"/>
                <wp:lineTo x="8471" y="20329"/>
                <wp:lineTo x="12706" y="20329"/>
                <wp:lineTo x="17788" y="16094"/>
                <wp:lineTo x="20329" y="10165"/>
                <wp:lineTo x="17788" y="5082"/>
                <wp:lineTo x="12706" y="847"/>
                <wp:lineTo x="8471" y="847"/>
              </wp:wrapPolygon>
            </wp:wrapTight>
            <wp:docPr id="31" name="Grafika 31"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p comp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bookmarkStart w:id="282" w:name="_Toc131458210"/>
      <w:proofErr w:type="spellStart"/>
      <w:r w:rsidRPr="003B2105">
        <w:rPr>
          <w:b/>
          <w:bCs/>
        </w:rPr>
        <w:t>Priporočila</w:t>
      </w:r>
      <w:bookmarkEnd w:id="282"/>
      <w:proofErr w:type="spellEnd"/>
    </w:p>
    <w:p w14:paraId="613E6BBA" w14:textId="1CF1FB4C" w:rsidR="00FB5C92" w:rsidRDefault="00094709" w:rsidP="00FB5C92">
      <w:pPr>
        <w:rPr>
          <w:lang w:val="sl-SI"/>
        </w:rPr>
      </w:pPr>
      <w:r>
        <w:rPr>
          <w:lang w:val="sl-SI"/>
        </w:rPr>
        <w:t>V tem delu nimamo priporočil.</w:t>
      </w:r>
    </w:p>
    <w:p w14:paraId="32B7B15D" w14:textId="77777777" w:rsidR="00FB5C92" w:rsidRDefault="00FB5C92" w:rsidP="00FB5C92">
      <w:pPr>
        <w:rPr>
          <w:lang w:val="sl-SI"/>
        </w:rPr>
      </w:pPr>
      <w:r>
        <w:rPr>
          <w:noProof/>
          <w:lang w:val="sl-SI"/>
        </w:rPr>
        <w:drawing>
          <wp:anchor distT="0" distB="0" distL="114300" distR="114300" simplePos="0" relativeHeight="251658264" behindDoc="1" locked="0" layoutInCell="1" allowOverlap="1" wp14:anchorId="1B1A6B71" wp14:editId="5F989B4D">
            <wp:simplePos x="0" y="0"/>
            <wp:positionH relativeFrom="column">
              <wp:posOffset>-460375</wp:posOffset>
            </wp:positionH>
            <wp:positionV relativeFrom="paragraph">
              <wp:posOffset>201295</wp:posOffset>
            </wp:positionV>
            <wp:extent cx="324000" cy="324000"/>
            <wp:effectExtent l="0" t="0" r="0" b="6350"/>
            <wp:wrapTight wrapText="bothSides">
              <wp:wrapPolygon edited="0">
                <wp:start x="15247" y="0"/>
                <wp:lineTo x="5929" y="2541"/>
                <wp:lineTo x="0" y="7624"/>
                <wp:lineTo x="847" y="15247"/>
                <wp:lineTo x="5082" y="19482"/>
                <wp:lineTo x="5929" y="21176"/>
                <wp:lineTo x="14400" y="21176"/>
                <wp:lineTo x="15247" y="19482"/>
                <wp:lineTo x="19482" y="15247"/>
                <wp:lineTo x="20329" y="4235"/>
                <wp:lineTo x="18635" y="0"/>
                <wp:lineTo x="15247" y="0"/>
              </wp:wrapPolygon>
            </wp:wrapTight>
            <wp:docPr id="32" name="Grafika 32"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ullsey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4C1C0923" w14:textId="77777777" w:rsidR="00FB5C92" w:rsidRDefault="00FB5C92" w:rsidP="00FB5C92">
      <w:pPr>
        <w:pStyle w:val="Naslov3"/>
      </w:pPr>
      <w:bookmarkStart w:id="283" w:name="_Toc131458211"/>
      <w:bookmarkStart w:id="284" w:name="_Toc136287586"/>
      <w:r>
        <w:t>Izzivi in omejitve</w:t>
      </w:r>
      <w:bookmarkEnd w:id="283"/>
      <w:bookmarkEnd w:id="284"/>
      <w:r>
        <w:t xml:space="preserve"> </w:t>
      </w:r>
    </w:p>
    <w:p w14:paraId="0D4D40A2" w14:textId="397D6682" w:rsidR="004C1A5D" w:rsidRDefault="003124C6" w:rsidP="00E2503F">
      <w:pPr>
        <w:rPr>
          <w:lang w:val="sl-SI"/>
        </w:rPr>
      </w:pPr>
      <w:r>
        <w:rPr>
          <w:lang w:val="sl-SI"/>
        </w:rPr>
        <w:t>Pri pripravi odgovora se nismo soočali ne z izzivi ne omejitvami.</w:t>
      </w:r>
    </w:p>
    <w:p w14:paraId="5FB48E1B" w14:textId="77777777" w:rsidR="00FC410D" w:rsidRDefault="00FC410D" w:rsidP="00E2503F">
      <w:pPr>
        <w:rPr>
          <w:lang w:val="sl-SI"/>
        </w:rPr>
      </w:pPr>
    </w:p>
    <w:p w14:paraId="58A38129" w14:textId="7A64D25E" w:rsidR="00FC410D" w:rsidRPr="0064207F" w:rsidRDefault="006B44C0" w:rsidP="006B44C0">
      <w:pPr>
        <w:pStyle w:val="Naslov2"/>
        <w:rPr>
          <w:b/>
          <w:bCs/>
          <w:lang w:val="sl-SI"/>
        </w:rPr>
      </w:pPr>
      <w:bookmarkStart w:id="285" w:name="_Toc136287587"/>
      <w:r w:rsidRPr="0064207F">
        <w:rPr>
          <w:b/>
          <w:bCs/>
          <w:lang w:val="sl-SI"/>
        </w:rPr>
        <w:t>Kakšna je učinkovitost izvajanja operacij in razlogi zaradi katerih prihaja do odstopanj (časovni okvir, mehanizmi spremljanja, učinkovita raba virov) za A in B?</w:t>
      </w:r>
      <w:bookmarkEnd w:id="285"/>
    </w:p>
    <w:p w14:paraId="75C0A0AA" w14:textId="77777777" w:rsidR="00FC410D" w:rsidRDefault="00FC410D" w:rsidP="00E2503F">
      <w:pPr>
        <w:rPr>
          <w:lang w:val="sl-SI"/>
        </w:rPr>
      </w:pPr>
    </w:p>
    <w:p w14:paraId="79163C5A" w14:textId="77777777" w:rsidR="0047407A" w:rsidRPr="00794E6E" w:rsidRDefault="0047407A" w:rsidP="0047407A">
      <w:pPr>
        <w:pStyle w:val="Naslov3"/>
      </w:pPr>
      <w:bookmarkStart w:id="286" w:name="_Toc131458213"/>
      <w:bookmarkStart w:id="287" w:name="_Toc136287588"/>
      <w:r>
        <w:rPr>
          <w:noProof/>
        </w:rPr>
        <w:drawing>
          <wp:anchor distT="0" distB="0" distL="114300" distR="114300" simplePos="0" relativeHeight="251658266" behindDoc="1" locked="0" layoutInCell="1" allowOverlap="1" wp14:anchorId="19CC6288" wp14:editId="50ECB0D4">
            <wp:simplePos x="0" y="0"/>
            <wp:positionH relativeFrom="column">
              <wp:posOffset>-451485</wp:posOffset>
            </wp:positionH>
            <wp:positionV relativeFrom="paragraph">
              <wp:posOffset>30429</wp:posOffset>
            </wp:positionV>
            <wp:extent cx="324000" cy="324000"/>
            <wp:effectExtent l="0" t="0" r="6350" b="0"/>
            <wp:wrapTight wrapText="bothSides">
              <wp:wrapPolygon edited="0">
                <wp:start x="1694" y="847"/>
                <wp:lineTo x="847" y="6776"/>
                <wp:lineTo x="847" y="16094"/>
                <wp:lineTo x="2541" y="20329"/>
                <wp:lineTo x="19482" y="20329"/>
                <wp:lineTo x="21176" y="8471"/>
                <wp:lineTo x="19482" y="3388"/>
                <wp:lineTo x="16094" y="847"/>
                <wp:lineTo x="1694" y="847"/>
              </wp:wrapPolygon>
            </wp:wrapTight>
            <wp:docPr id="33" name="Grafika 33" descr="Tic Tac To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ic Tac Toe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r w:rsidRPr="00794E6E">
        <w:t>Pristop in metodološka orodja</w:t>
      </w:r>
      <w:bookmarkEnd w:id="286"/>
      <w:bookmarkEnd w:id="287"/>
    </w:p>
    <w:p w14:paraId="1CC03153" w14:textId="2906BB36" w:rsidR="00B501FA" w:rsidRDefault="00B501FA" w:rsidP="00B501FA">
      <w:pPr>
        <w:rPr>
          <w:lang w:val="sl-SI"/>
        </w:rPr>
      </w:pPr>
      <w:r w:rsidRPr="00E96BFA">
        <w:rPr>
          <w:lang w:val="sl-SI"/>
        </w:rPr>
        <w:t>Odgovor na navedeno vprašanje s</w:t>
      </w:r>
      <w:r>
        <w:rPr>
          <w:lang w:val="sl-SI"/>
        </w:rPr>
        <w:t xml:space="preserve">mo </w:t>
      </w:r>
      <w:r w:rsidRPr="00E96BFA">
        <w:rPr>
          <w:lang w:val="sl-SI"/>
        </w:rPr>
        <w:t>pridob</w:t>
      </w:r>
      <w:r>
        <w:rPr>
          <w:lang w:val="sl-SI"/>
        </w:rPr>
        <w:t xml:space="preserve">ili z </w:t>
      </w:r>
      <w:r w:rsidRPr="00E96BFA">
        <w:rPr>
          <w:lang w:val="sl-SI"/>
        </w:rPr>
        <w:t xml:space="preserve">uporabo </w:t>
      </w:r>
      <w:r w:rsidR="002F720F">
        <w:rPr>
          <w:lang w:val="sl-SI"/>
        </w:rPr>
        <w:t xml:space="preserve">naslednjih metodoloških orodij: </w:t>
      </w:r>
      <w:r w:rsidR="002F720F" w:rsidRPr="0058617C">
        <w:rPr>
          <w:lang w:val="sl-SI"/>
        </w:rPr>
        <w:t>»analiza dokumentacije«</w:t>
      </w:r>
      <w:r w:rsidR="002F720F">
        <w:rPr>
          <w:lang w:val="sl-SI"/>
        </w:rPr>
        <w:t xml:space="preserve"> (analiza vlog in operacij), </w:t>
      </w:r>
      <w:r w:rsidRPr="00E96BFA">
        <w:rPr>
          <w:lang w:val="sl-SI"/>
        </w:rPr>
        <w:t>»an</w:t>
      </w:r>
      <w:r>
        <w:rPr>
          <w:lang w:val="sl-SI"/>
        </w:rPr>
        <w:t xml:space="preserve">keta« in »strukturiran intervju«. </w:t>
      </w:r>
    </w:p>
    <w:p w14:paraId="21E09DEC" w14:textId="77777777" w:rsidR="0047407A" w:rsidRDefault="0047407A" w:rsidP="0047407A">
      <w:pPr>
        <w:rPr>
          <w:lang w:val="hr-HR"/>
        </w:rPr>
      </w:pPr>
      <w:r>
        <w:rPr>
          <w:noProof/>
          <w:lang w:val="sl-SI"/>
        </w:rPr>
        <w:drawing>
          <wp:anchor distT="0" distB="0" distL="114300" distR="114300" simplePos="0" relativeHeight="251658267" behindDoc="1" locked="0" layoutInCell="1" allowOverlap="1" wp14:anchorId="2348A26A" wp14:editId="348B777A">
            <wp:simplePos x="0" y="0"/>
            <wp:positionH relativeFrom="column">
              <wp:posOffset>-457835</wp:posOffset>
            </wp:positionH>
            <wp:positionV relativeFrom="paragraph">
              <wp:posOffset>231775</wp:posOffset>
            </wp:positionV>
            <wp:extent cx="323850" cy="323850"/>
            <wp:effectExtent l="0" t="0" r="0" b="0"/>
            <wp:wrapTight wrapText="bothSides">
              <wp:wrapPolygon edited="0">
                <wp:start x="2541" y="847"/>
                <wp:lineTo x="2541" y="18635"/>
                <wp:lineTo x="3388" y="20329"/>
                <wp:lineTo x="19482" y="20329"/>
                <wp:lineTo x="19482" y="847"/>
                <wp:lineTo x="2541" y="847"/>
              </wp:wrapPolygon>
            </wp:wrapTight>
            <wp:docPr id="34" name="Grafika 34" descr="Play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layboo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p w14:paraId="411737CF" w14:textId="77777777" w:rsidR="0047407A" w:rsidRDefault="0047407A" w:rsidP="0047407A">
      <w:pPr>
        <w:pStyle w:val="Naslov3"/>
      </w:pPr>
      <w:bookmarkStart w:id="288" w:name="_Toc131458214"/>
      <w:bookmarkStart w:id="289" w:name="_Toc136287589"/>
      <w:r>
        <w:t>Ključne ugotovitve in odgovor na vprašanje vrednotenja</w:t>
      </w:r>
      <w:bookmarkEnd w:id="288"/>
      <w:bookmarkEnd w:id="289"/>
      <w:r>
        <w:t xml:space="preserve"> </w:t>
      </w:r>
    </w:p>
    <w:p w14:paraId="5D77156D" w14:textId="39C88127" w:rsidR="0069275F" w:rsidRDefault="0071480C" w:rsidP="0047407A">
      <w:pPr>
        <w:rPr>
          <w:lang w:val="sl-SI"/>
        </w:rPr>
      </w:pPr>
      <w:r>
        <w:rPr>
          <w:lang w:val="sl-SI"/>
        </w:rPr>
        <w:t xml:space="preserve">Na vprašanje o učinkovitosti </w:t>
      </w:r>
      <w:r w:rsidR="005F40EF">
        <w:rPr>
          <w:lang w:val="sl-SI"/>
        </w:rPr>
        <w:t xml:space="preserve">izvajanja operacij smo </w:t>
      </w:r>
      <w:r w:rsidR="00A35B0D">
        <w:rPr>
          <w:lang w:val="sl-SI"/>
        </w:rPr>
        <w:t xml:space="preserve">sicer v veliki meri </w:t>
      </w:r>
      <w:r>
        <w:rPr>
          <w:lang w:val="sl-SI"/>
        </w:rPr>
        <w:t>odgovorili že v sklopu vprašanja 4.1</w:t>
      </w:r>
      <w:r w:rsidR="00973AF5">
        <w:rPr>
          <w:lang w:val="sl-SI"/>
        </w:rPr>
        <w:t xml:space="preserve">, zato na tem mestu navajamo </w:t>
      </w:r>
      <w:r w:rsidR="0064207F">
        <w:rPr>
          <w:lang w:val="sl-SI"/>
        </w:rPr>
        <w:t xml:space="preserve">dodatne informacije in </w:t>
      </w:r>
      <w:r w:rsidR="00973AF5">
        <w:rPr>
          <w:lang w:val="sl-SI"/>
        </w:rPr>
        <w:t xml:space="preserve">podatke, ki smo jih </w:t>
      </w:r>
      <w:r w:rsidR="0069275F">
        <w:rPr>
          <w:lang w:val="sl-SI"/>
        </w:rPr>
        <w:t>prejeli s strani upravičencev.</w:t>
      </w:r>
    </w:p>
    <w:p w14:paraId="65E87549" w14:textId="6F1F33F5" w:rsidR="0053070E" w:rsidRDefault="0053070E" w:rsidP="0053070E">
      <w:pPr>
        <w:rPr>
          <w:lang w:val="sl-SI"/>
        </w:rPr>
      </w:pPr>
      <w:r>
        <w:rPr>
          <w:lang w:val="sl-SI"/>
        </w:rPr>
        <w:t xml:space="preserve">Upravičence smo </w:t>
      </w:r>
      <w:r w:rsidR="0069081D">
        <w:rPr>
          <w:lang w:val="sl-SI"/>
        </w:rPr>
        <w:t>prosili</w:t>
      </w:r>
      <w:r>
        <w:rPr>
          <w:lang w:val="sl-SI"/>
        </w:rPr>
        <w:t xml:space="preserve"> naj ocenijo, </w:t>
      </w:r>
      <w:r w:rsidRPr="0064207F">
        <w:rPr>
          <w:b/>
          <w:bCs/>
          <w:lang w:val="sl-SI"/>
        </w:rPr>
        <w:t>kolikšen delež energetskih prenov</w:t>
      </w:r>
      <w:r w:rsidRPr="00206B0C">
        <w:rPr>
          <w:lang w:val="sl-SI"/>
        </w:rPr>
        <w:t xml:space="preserve"> s</w:t>
      </w:r>
      <w:r>
        <w:rPr>
          <w:lang w:val="sl-SI"/>
        </w:rPr>
        <w:t>o</w:t>
      </w:r>
      <w:r w:rsidRPr="00206B0C">
        <w:rPr>
          <w:lang w:val="sl-SI"/>
        </w:rPr>
        <w:t xml:space="preserve"> glede na neto tlorisno površino energetsko prenovljenih stavb od leta 2017 dalje </w:t>
      </w:r>
      <w:r w:rsidRPr="0064207F">
        <w:rPr>
          <w:b/>
          <w:bCs/>
          <w:lang w:val="sl-SI"/>
        </w:rPr>
        <w:t>sofinancirali iz sredstev KS</w:t>
      </w:r>
      <w:r>
        <w:rPr>
          <w:lang w:val="sl-SI"/>
        </w:rPr>
        <w:t xml:space="preserve">. </w:t>
      </w:r>
    </w:p>
    <w:p w14:paraId="21E85746" w14:textId="77777777" w:rsidR="0053070E" w:rsidRDefault="0053070E" w:rsidP="0053070E">
      <w:pPr>
        <w:rPr>
          <w:lang w:val="sl-SI"/>
        </w:rPr>
      </w:pPr>
      <w:r>
        <w:rPr>
          <w:lang w:val="sl-SI"/>
        </w:rPr>
        <w:t xml:space="preserve">Odgovor </w:t>
      </w:r>
      <w:r w:rsidRPr="003A521D">
        <w:rPr>
          <w:b/>
          <w:bCs/>
          <w:lang w:val="sl-SI"/>
        </w:rPr>
        <w:t>upravičencev A</w:t>
      </w:r>
      <w:r>
        <w:rPr>
          <w:lang w:val="sl-SI"/>
        </w:rPr>
        <w:t xml:space="preserve"> znaša v povprečju </w:t>
      </w:r>
      <w:r w:rsidRPr="003A521D">
        <w:rPr>
          <w:b/>
          <w:bCs/>
          <w:lang w:val="sl-SI"/>
        </w:rPr>
        <w:t>57%</w:t>
      </w:r>
      <w:r>
        <w:rPr>
          <w:lang w:val="sl-SI"/>
        </w:rPr>
        <w:t xml:space="preserve"> (minimum 5%, maksimum 100%). Kot druge vire financiranja upravičenci navajajo lastna sredstva, </w:t>
      </w:r>
      <w:proofErr w:type="spellStart"/>
      <w:r>
        <w:rPr>
          <w:lang w:val="sl-SI"/>
        </w:rPr>
        <w:t>Eko</w:t>
      </w:r>
      <w:proofErr w:type="spellEnd"/>
      <w:r>
        <w:rPr>
          <w:lang w:val="sl-SI"/>
        </w:rPr>
        <w:t xml:space="preserve"> sklad, regionalne spodbude, zasebne partnerje in projekti lokalne aktivacijske skupine (LAS).  </w:t>
      </w:r>
    </w:p>
    <w:p w14:paraId="6968E587" w14:textId="77777777" w:rsidR="0053070E" w:rsidRDefault="0053070E" w:rsidP="0053070E">
      <w:pPr>
        <w:rPr>
          <w:lang w:val="sl-SI"/>
        </w:rPr>
      </w:pPr>
      <w:r>
        <w:rPr>
          <w:lang w:val="sl-SI"/>
        </w:rPr>
        <w:t xml:space="preserve">Odgovor </w:t>
      </w:r>
      <w:r w:rsidRPr="00790A1E">
        <w:rPr>
          <w:b/>
          <w:bCs/>
          <w:lang w:val="sl-SI"/>
        </w:rPr>
        <w:t>upravičencev B</w:t>
      </w:r>
      <w:r>
        <w:rPr>
          <w:b/>
          <w:bCs/>
          <w:lang w:val="sl-SI"/>
        </w:rPr>
        <w:t xml:space="preserve"> </w:t>
      </w:r>
      <w:r w:rsidRPr="00790A1E">
        <w:rPr>
          <w:lang w:val="sl-SI"/>
        </w:rPr>
        <w:t xml:space="preserve">znaša </w:t>
      </w:r>
      <w:r>
        <w:rPr>
          <w:lang w:val="sl-SI"/>
        </w:rPr>
        <w:t xml:space="preserve">v povprečju </w:t>
      </w:r>
      <w:r>
        <w:rPr>
          <w:b/>
          <w:bCs/>
          <w:lang w:val="sl-SI"/>
        </w:rPr>
        <w:t>37</w:t>
      </w:r>
      <w:r w:rsidRPr="005E33A5">
        <w:rPr>
          <w:b/>
          <w:bCs/>
          <w:lang w:val="sl-SI"/>
        </w:rPr>
        <w:t>%</w:t>
      </w:r>
      <w:r>
        <w:rPr>
          <w:b/>
          <w:bCs/>
          <w:lang w:val="sl-SI"/>
        </w:rPr>
        <w:t xml:space="preserve"> </w:t>
      </w:r>
      <w:r w:rsidRPr="005E33A5">
        <w:rPr>
          <w:lang w:val="sl-SI"/>
        </w:rPr>
        <w:t xml:space="preserve">(minimum </w:t>
      </w:r>
      <w:r>
        <w:rPr>
          <w:lang w:val="sl-SI"/>
        </w:rPr>
        <w:t>0</w:t>
      </w:r>
      <w:r w:rsidRPr="005E33A5">
        <w:rPr>
          <w:lang w:val="sl-SI"/>
        </w:rPr>
        <w:t xml:space="preserve">%, maksimum </w:t>
      </w:r>
      <w:r>
        <w:rPr>
          <w:lang w:val="sl-SI"/>
        </w:rPr>
        <w:t>100%</w:t>
      </w:r>
      <w:r w:rsidRPr="005E33A5">
        <w:rPr>
          <w:lang w:val="sl-SI"/>
        </w:rPr>
        <w:t>)</w:t>
      </w:r>
      <w:r>
        <w:rPr>
          <w:lang w:val="sl-SI"/>
        </w:rPr>
        <w:t>. Kot druge vire financiranja so navajali večinoma integralni proračun (ki seveda vključujejo investicijsko vzdrževanje) ter v omejenem obsegu tudi sredstva zasebnega partnerja.</w:t>
      </w:r>
    </w:p>
    <w:p w14:paraId="2F918A50" w14:textId="153EDF4E" w:rsidR="0069081D" w:rsidRDefault="0069081D" w:rsidP="0053070E">
      <w:pPr>
        <w:rPr>
          <w:lang w:val="sl-SI"/>
        </w:rPr>
      </w:pPr>
      <w:r>
        <w:rPr>
          <w:lang w:val="sl-SI"/>
        </w:rPr>
        <w:t xml:space="preserve">Slednje pomeni, da so </w:t>
      </w:r>
      <w:r w:rsidR="00D455C3">
        <w:rPr>
          <w:lang w:val="sl-SI"/>
        </w:rPr>
        <w:t xml:space="preserve">bila </w:t>
      </w:r>
      <w:r>
        <w:rPr>
          <w:lang w:val="sl-SI"/>
        </w:rPr>
        <w:t xml:space="preserve">EU sredstva veliko bolj pomembna </w:t>
      </w:r>
      <w:r w:rsidR="00D455C3">
        <w:rPr>
          <w:lang w:val="sl-SI"/>
        </w:rPr>
        <w:t xml:space="preserve">pri energetskih prenovah v </w:t>
      </w:r>
      <w:r>
        <w:rPr>
          <w:lang w:val="sl-SI"/>
        </w:rPr>
        <w:t>širš</w:t>
      </w:r>
      <w:r w:rsidR="00936F88">
        <w:rPr>
          <w:lang w:val="sl-SI"/>
        </w:rPr>
        <w:t xml:space="preserve">em </w:t>
      </w:r>
      <w:r>
        <w:rPr>
          <w:lang w:val="sl-SI"/>
        </w:rPr>
        <w:t>javn</w:t>
      </w:r>
      <w:r w:rsidR="00936F88">
        <w:rPr>
          <w:lang w:val="sl-SI"/>
        </w:rPr>
        <w:t xml:space="preserve">em </w:t>
      </w:r>
      <w:r>
        <w:rPr>
          <w:lang w:val="sl-SI"/>
        </w:rPr>
        <w:t>sektor</w:t>
      </w:r>
      <w:r w:rsidR="00936F88">
        <w:rPr>
          <w:lang w:val="sl-SI"/>
        </w:rPr>
        <w:t>ju</w:t>
      </w:r>
      <w:r w:rsidR="00945D63">
        <w:rPr>
          <w:lang w:val="sl-SI"/>
        </w:rPr>
        <w:t xml:space="preserve"> kot ožjem</w:t>
      </w:r>
      <w:r w:rsidR="00936F88">
        <w:rPr>
          <w:lang w:val="sl-SI"/>
        </w:rPr>
        <w:t>.</w:t>
      </w:r>
    </w:p>
    <w:p w14:paraId="783A68B8" w14:textId="3E3E857C" w:rsidR="0053070E" w:rsidRDefault="0053070E" w:rsidP="0053070E">
      <w:pPr>
        <w:rPr>
          <w:lang w:val="sl-SI"/>
        </w:rPr>
      </w:pPr>
      <w:r>
        <w:rPr>
          <w:lang w:val="sl-SI"/>
        </w:rPr>
        <w:t xml:space="preserve">Na vprašanje, kako ocenjujejo </w:t>
      </w:r>
      <w:r w:rsidRPr="00BB1C9A">
        <w:rPr>
          <w:b/>
          <w:bCs/>
          <w:lang w:val="sl-SI"/>
        </w:rPr>
        <w:t>celoten obseg do sedaj energetsko prenovljenih objektov</w:t>
      </w:r>
      <w:r>
        <w:rPr>
          <w:lang w:val="sl-SI"/>
        </w:rPr>
        <w:t xml:space="preserve"> (ne glede na vir sredstev) so </w:t>
      </w:r>
      <w:r w:rsidRPr="000271B6">
        <w:rPr>
          <w:b/>
          <w:bCs/>
          <w:lang w:val="sl-SI"/>
        </w:rPr>
        <w:t>upravičenci A</w:t>
      </w:r>
      <w:r>
        <w:rPr>
          <w:lang w:val="sl-SI"/>
        </w:rPr>
        <w:t xml:space="preserve"> odgovorili, da imajo v povprečju </w:t>
      </w:r>
      <w:r w:rsidRPr="000271B6">
        <w:rPr>
          <w:b/>
          <w:bCs/>
          <w:lang w:val="sl-SI"/>
        </w:rPr>
        <w:t>57 % objektov že prenovljenih</w:t>
      </w:r>
      <w:r>
        <w:rPr>
          <w:lang w:val="sl-SI"/>
        </w:rPr>
        <w:t xml:space="preserve">, kar sovpada tudi z oceno vezano na prenovljeno tlorisno površino po kvadratnih metrih teh objektov (56%). </w:t>
      </w:r>
      <w:r w:rsidRPr="000271B6">
        <w:rPr>
          <w:b/>
          <w:bCs/>
          <w:lang w:val="sl-SI"/>
        </w:rPr>
        <w:t>Upravičenci B</w:t>
      </w:r>
      <w:r>
        <w:rPr>
          <w:lang w:val="sl-SI"/>
        </w:rPr>
        <w:t xml:space="preserve"> so v povprečju obnovili </w:t>
      </w:r>
      <w:r w:rsidRPr="000271B6">
        <w:rPr>
          <w:b/>
          <w:bCs/>
          <w:lang w:val="sl-SI"/>
        </w:rPr>
        <w:t>13% vseh objektov</w:t>
      </w:r>
      <w:r>
        <w:rPr>
          <w:lang w:val="sl-SI"/>
        </w:rPr>
        <w:t xml:space="preserve">, pri čemer ocenjujejo, da to skupaj znaša </w:t>
      </w:r>
      <w:r w:rsidRPr="000271B6">
        <w:rPr>
          <w:b/>
          <w:bCs/>
          <w:lang w:val="sl-SI"/>
        </w:rPr>
        <w:t>21% tlorisne površine</w:t>
      </w:r>
      <w:r>
        <w:rPr>
          <w:lang w:val="sl-SI"/>
        </w:rPr>
        <w:t xml:space="preserve">.   </w:t>
      </w:r>
    </w:p>
    <w:p w14:paraId="277F1157" w14:textId="77777777" w:rsidR="001E1BEC" w:rsidRDefault="0053070E" w:rsidP="0047407A">
      <w:pPr>
        <w:rPr>
          <w:lang w:val="sl-SI"/>
        </w:rPr>
      </w:pPr>
      <w:r>
        <w:rPr>
          <w:lang w:val="sl-SI"/>
        </w:rPr>
        <w:t xml:space="preserve">Hitrost in obseg </w:t>
      </w:r>
      <w:r w:rsidR="001E1BEC">
        <w:rPr>
          <w:lang w:val="sl-SI"/>
        </w:rPr>
        <w:t xml:space="preserve">energetskih </w:t>
      </w:r>
      <w:r>
        <w:rPr>
          <w:lang w:val="sl-SI"/>
        </w:rPr>
        <w:t xml:space="preserve">prenov je tudi po teh številkah višja v širšem javnem sektorju kot v ožjem javnem sektorju. </w:t>
      </w:r>
    </w:p>
    <w:p w14:paraId="08ECE062" w14:textId="6EA00AD1" w:rsidR="0053070E" w:rsidRDefault="001E1BEC" w:rsidP="0047407A">
      <w:pPr>
        <w:rPr>
          <w:lang w:val="sl-SI"/>
        </w:rPr>
      </w:pPr>
      <w:r>
        <w:rPr>
          <w:lang w:val="sl-SI"/>
        </w:rPr>
        <w:t>N</w:t>
      </w:r>
      <w:r w:rsidR="0053070E">
        <w:rPr>
          <w:lang w:val="sl-SI"/>
        </w:rPr>
        <w:t xml:space="preserve">adalje </w:t>
      </w:r>
      <w:r>
        <w:rPr>
          <w:lang w:val="sl-SI"/>
        </w:rPr>
        <w:t xml:space="preserve">nas je </w:t>
      </w:r>
      <w:r w:rsidR="0053070E">
        <w:rPr>
          <w:lang w:val="sl-SI"/>
        </w:rPr>
        <w:t xml:space="preserve">zanimalo, kateri so bili </w:t>
      </w:r>
      <w:r w:rsidR="0053070E" w:rsidRPr="0053070E">
        <w:rPr>
          <w:b/>
          <w:bCs/>
          <w:lang w:val="sl-SI"/>
        </w:rPr>
        <w:t>n</w:t>
      </w:r>
      <w:r w:rsidR="0069275F" w:rsidRPr="0053070E">
        <w:rPr>
          <w:b/>
          <w:bCs/>
          <w:lang w:val="sl-SI"/>
        </w:rPr>
        <w:t xml:space="preserve">ajpogostejši izzivi, </w:t>
      </w:r>
      <w:r w:rsidR="00F2516E" w:rsidRPr="0053070E">
        <w:rPr>
          <w:b/>
          <w:bCs/>
          <w:lang w:val="sl-SI"/>
        </w:rPr>
        <w:t>ki so vplivali na učinkovitost izvedbe projektov</w:t>
      </w:r>
      <w:r w:rsidR="00F2516E">
        <w:rPr>
          <w:lang w:val="sl-SI"/>
        </w:rPr>
        <w:t xml:space="preserve">, </w:t>
      </w:r>
      <w:r w:rsidR="0069275F">
        <w:rPr>
          <w:lang w:val="sl-SI"/>
        </w:rPr>
        <w:t>s katerimi so se soočali upravičenci A</w:t>
      </w:r>
      <w:r w:rsidR="0053070E">
        <w:rPr>
          <w:lang w:val="sl-SI"/>
        </w:rPr>
        <w:t xml:space="preserve"> in B.</w:t>
      </w:r>
    </w:p>
    <w:p w14:paraId="00775573" w14:textId="21B3F4D4" w:rsidR="0069275F" w:rsidRDefault="0053070E" w:rsidP="0047407A">
      <w:pPr>
        <w:rPr>
          <w:lang w:val="sl-SI"/>
        </w:rPr>
      </w:pPr>
      <w:r>
        <w:rPr>
          <w:lang w:val="sl-SI"/>
        </w:rPr>
        <w:t>Za upravičence A so bili to:</w:t>
      </w:r>
    </w:p>
    <w:p w14:paraId="62B35A82" w14:textId="66FAD9AB" w:rsidR="00944236" w:rsidRDefault="00944236" w:rsidP="00944236">
      <w:pPr>
        <w:pStyle w:val="Odstavekseznama"/>
        <w:numPr>
          <w:ilvl w:val="0"/>
          <w:numId w:val="31"/>
        </w:numPr>
        <w:rPr>
          <w:lang w:val="sl-SI"/>
        </w:rPr>
      </w:pPr>
      <w:r>
        <w:rPr>
          <w:lang w:val="sl-SI"/>
        </w:rPr>
        <w:t>visoki investicijski stroški celovitih prenov z majhnim deležem sofinanciranja</w:t>
      </w:r>
      <w:r w:rsidR="002C674E">
        <w:rPr>
          <w:lang w:val="sl-SI"/>
        </w:rPr>
        <w:t xml:space="preserve"> in s tem povezan</w:t>
      </w:r>
      <w:r w:rsidR="006110DD">
        <w:rPr>
          <w:lang w:val="sl-SI"/>
        </w:rPr>
        <w:t xml:space="preserve">o </w:t>
      </w:r>
      <w:r w:rsidR="00B00C7C">
        <w:rPr>
          <w:lang w:val="sl-SI"/>
        </w:rPr>
        <w:t xml:space="preserve">zahtevo </w:t>
      </w:r>
      <w:r w:rsidR="00985F0B">
        <w:rPr>
          <w:lang w:val="sl-SI"/>
        </w:rPr>
        <w:t xml:space="preserve">po </w:t>
      </w:r>
      <w:r w:rsidR="006110DD">
        <w:rPr>
          <w:lang w:val="sl-SI"/>
        </w:rPr>
        <w:t>zagotavljanj</w:t>
      </w:r>
      <w:r w:rsidR="00985F0B">
        <w:rPr>
          <w:lang w:val="sl-SI"/>
        </w:rPr>
        <w:t>u</w:t>
      </w:r>
      <w:r w:rsidR="006110DD">
        <w:rPr>
          <w:lang w:val="sl-SI"/>
        </w:rPr>
        <w:t xml:space="preserve"> lastnih sredstev</w:t>
      </w:r>
      <w:r>
        <w:rPr>
          <w:lang w:val="sl-SI"/>
        </w:rPr>
        <w:t>;</w:t>
      </w:r>
    </w:p>
    <w:p w14:paraId="7F33C5C8" w14:textId="38E5132C" w:rsidR="002C674E" w:rsidRDefault="00BD3AF4" w:rsidP="00944236">
      <w:pPr>
        <w:pStyle w:val="Odstavekseznama"/>
        <w:numPr>
          <w:ilvl w:val="0"/>
          <w:numId w:val="31"/>
        </w:numPr>
        <w:rPr>
          <w:lang w:val="sl-SI"/>
        </w:rPr>
      </w:pPr>
      <w:r>
        <w:rPr>
          <w:lang w:val="sl-SI"/>
        </w:rPr>
        <w:t xml:space="preserve">zahtevna </w:t>
      </w:r>
      <w:r w:rsidR="00A94F93">
        <w:rPr>
          <w:lang w:val="sl-SI"/>
        </w:rPr>
        <w:t>priprava projektne dokumentacije;</w:t>
      </w:r>
    </w:p>
    <w:p w14:paraId="262AB86C" w14:textId="4D0672B8" w:rsidR="00985F0B" w:rsidRDefault="00985F0B" w:rsidP="00944236">
      <w:pPr>
        <w:pStyle w:val="Odstavekseznama"/>
        <w:numPr>
          <w:ilvl w:val="0"/>
          <w:numId w:val="31"/>
        </w:numPr>
        <w:rPr>
          <w:lang w:val="sl-SI"/>
        </w:rPr>
      </w:pPr>
      <w:r>
        <w:rPr>
          <w:lang w:val="sl-SI"/>
        </w:rPr>
        <w:lastRenderedPageBreak/>
        <w:t>kvalitetna izvedba prenov;</w:t>
      </w:r>
    </w:p>
    <w:p w14:paraId="40FB618F" w14:textId="084DBD64" w:rsidR="00985F0B" w:rsidRDefault="00985F0B" w:rsidP="00944236">
      <w:pPr>
        <w:pStyle w:val="Odstavekseznama"/>
        <w:numPr>
          <w:ilvl w:val="0"/>
          <w:numId w:val="31"/>
        </w:numPr>
        <w:rPr>
          <w:lang w:val="sl-SI"/>
        </w:rPr>
      </w:pPr>
      <w:r>
        <w:rPr>
          <w:lang w:val="sl-SI"/>
        </w:rPr>
        <w:t>statika objektov;</w:t>
      </w:r>
    </w:p>
    <w:p w14:paraId="325D39B2" w14:textId="6AEE4910" w:rsidR="00944236" w:rsidRDefault="00A94F93" w:rsidP="00944236">
      <w:pPr>
        <w:pStyle w:val="Odstavekseznama"/>
        <w:numPr>
          <w:ilvl w:val="0"/>
          <w:numId w:val="31"/>
        </w:numPr>
        <w:rPr>
          <w:lang w:val="sl-SI"/>
        </w:rPr>
      </w:pPr>
      <w:r>
        <w:rPr>
          <w:lang w:val="sl-SI"/>
        </w:rPr>
        <w:t xml:space="preserve">pomanjkanje </w:t>
      </w:r>
      <w:r w:rsidR="002C674E">
        <w:rPr>
          <w:lang w:val="sl-SI"/>
        </w:rPr>
        <w:t>podatk</w:t>
      </w:r>
      <w:r>
        <w:rPr>
          <w:lang w:val="sl-SI"/>
        </w:rPr>
        <w:t xml:space="preserve">ov </w:t>
      </w:r>
      <w:r w:rsidR="002C674E">
        <w:rPr>
          <w:lang w:val="sl-SI"/>
        </w:rPr>
        <w:t>o dejanskem stanju obstoječih objektov;</w:t>
      </w:r>
    </w:p>
    <w:p w14:paraId="0CF755F8" w14:textId="7869BBDA" w:rsidR="00A94F93" w:rsidRDefault="00DE5835" w:rsidP="00944236">
      <w:pPr>
        <w:pStyle w:val="Odstavekseznama"/>
        <w:numPr>
          <w:ilvl w:val="0"/>
          <w:numId w:val="31"/>
        </w:numPr>
        <w:rPr>
          <w:lang w:val="sl-SI"/>
        </w:rPr>
      </w:pPr>
      <w:r>
        <w:rPr>
          <w:lang w:val="sl-SI"/>
        </w:rPr>
        <w:t>zagotavljanje želenih prihrankov (npr. Covid-19 in prezračevanje).</w:t>
      </w:r>
    </w:p>
    <w:p w14:paraId="61A966E8" w14:textId="14D6A704" w:rsidR="00DE5835" w:rsidRDefault="00121C87" w:rsidP="00DE5835">
      <w:pPr>
        <w:rPr>
          <w:lang w:val="sl-SI"/>
        </w:rPr>
      </w:pPr>
      <w:r>
        <w:rPr>
          <w:lang w:val="sl-SI"/>
        </w:rPr>
        <w:t xml:space="preserve">Najpogostejši izzivi, ki so vplivali na učinkovitost izvedbe projektov, s katerimi so se soočali upravičenci B, </w:t>
      </w:r>
      <w:r w:rsidR="0053070E">
        <w:rPr>
          <w:lang w:val="sl-SI"/>
        </w:rPr>
        <w:t xml:space="preserve">pa </w:t>
      </w:r>
      <w:r>
        <w:rPr>
          <w:lang w:val="sl-SI"/>
        </w:rPr>
        <w:t xml:space="preserve">so </w:t>
      </w:r>
      <w:r w:rsidR="0053070E">
        <w:rPr>
          <w:lang w:val="sl-SI"/>
        </w:rPr>
        <w:t xml:space="preserve">bili </w:t>
      </w:r>
      <w:r>
        <w:rPr>
          <w:lang w:val="sl-SI"/>
        </w:rPr>
        <w:t>naslednji:</w:t>
      </w:r>
    </w:p>
    <w:p w14:paraId="340EA3BA" w14:textId="09A7F44F" w:rsidR="00121C87" w:rsidRDefault="00FF73E2" w:rsidP="00121C87">
      <w:pPr>
        <w:pStyle w:val="Odstavekseznama"/>
        <w:numPr>
          <w:ilvl w:val="0"/>
          <w:numId w:val="31"/>
        </w:numPr>
        <w:rPr>
          <w:lang w:val="sl-SI"/>
        </w:rPr>
      </w:pPr>
      <w:r>
        <w:rPr>
          <w:lang w:val="sl-SI"/>
        </w:rPr>
        <w:t>kadrovski</w:t>
      </w:r>
      <w:r w:rsidR="008A6EBD">
        <w:rPr>
          <w:lang w:val="sl-SI"/>
        </w:rPr>
        <w:t xml:space="preserve"> (pomanjkanje kadra in/ali specifičnega znanja ter izkušenj)</w:t>
      </w:r>
      <w:r>
        <w:rPr>
          <w:lang w:val="sl-SI"/>
        </w:rPr>
        <w:t>, finančni</w:t>
      </w:r>
      <w:r w:rsidR="00AB3F67">
        <w:rPr>
          <w:lang w:val="sl-SI"/>
        </w:rPr>
        <w:t xml:space="preserve"> (zagotavljanje lastnih sredstev, financiranje javnih zavodov in neupravičenih stroškov)</w:t>
      </w:r>
      <w:r>
        <w:rPr>
          <w:lang w:val="sl-SI"/>
        </w:rPr>
        <w:t>, organizacijsko tehnični;</w:t>
      </w:r>
    </w:p>
    <w:p w14:paraId="7125465B" w14:textId="05A04705" w:rsidR="008A6EBD" w:rsidRDefault="008A6EBD" w:rsidP="00121C87">
      <w:pPr>
        <w:pStyle w:val="Odstavekseznama"/>
        <w:numPr>
          <w:ilvl w:val="0"/>
          <w:numId w:val="31"/>
        </w:numPr>
        <w:rPr>
          <w:lang w:val="sl-SI"/>
        </w:rPr>
      </w:pPr>
      <w:r>
        <w:rPr>
          <w:lang w:val="sl-SI"/>
        </w:rPr>
        <w:t xml:space="preserve">kompleksnost </w:t>
      </w:r>
      <w:r w:rsidR="00034115">
        <w:rPr>
          <w:lang w:val="sl-SI"/>
        </w:rPr>
        <w:t xml:space="preserve">celotnega </w:t>
      </w:r>
      <w:r>
        <w:rPr>
          <w:lang w:val="sl-SI"/>
        </w:rPr>
        <w:t>sistema</w:t>
      </w:r>
      <w:r w:rsidR="00034115">
        <w:rPr>
          <w:lang w:val="sl-SI"/>
        </w:rPr>
        <w:t xml:space="preserve"> – od potrjevanja, implementacije, poročanja ter uporabe sistema </w:t>
      </w:r>
      <w:proofErr w:type="spellStart"/>
      <w:r w:rsidR="00034115">
        <w:rPr>
          <w:lang w:val="sl-SI"/>
        </w:rPr>
        <w:t>eMA</w:t>
      </w:r>
      <w:proofErr w:type="spellEnd"/>
      <w:r>
        <w:rPr>
          <w:lang w:val="sl-SI"/>
        </w:rPr>
        <w:t>;</w:t>
      </w:r>
    </w:p>
    <w:p w14:paraId="3F125680" w14:textId="04135E04" w:rsidR="009D0E29" w:rsidRDefault="009D0E29" w:rsidP="00121C87">
      <w:pPr>
        <w:pStyle w:val="Odstavekseznama"/>
        <w:numPr>
          <w:ilvl w:val="0"/>
          <w:numId w:val="31"/>
        </w:numPr>
        <w:rPr>
          <w:lang w:val="sl-SI"/>
        </w:rPr>
      </w:pPr>
      <w:r>
        <w:rPr>
          <w:lang w:val="sl-SI"/>
        </w:rPr>
        <w:t>dolgotrajni postopki JZP in javnega naročanja</w:t>
      </w:r>
      <w:r w:rsidR="00AB3F67">
        <w:rPr>
          <w:lang w:val="sl-SI"/>
        </w:rPr>
        <w:t>, v zadnjem obdobju pomanjkanje izvajalcev del</w:t>
      </w:r>
      <w:r>
        <w:rPr>
          <w:lang w:val="sl-SI"/>
        </w:rPr>
        <w:t>;</w:t>
      </w:r>
    </w:p>
    <w:p w14:paraId="2C8588F4" w14:textId="0D121109" w:rsidR="009D0E29" w:rsidRDefault="009D0E29" w:rsidP="00121C87">
      <w:pPr>
        <w:pStyle w:val="Odstavekseznama"/>
        <w:numPr>
          <w:ilvl w:val="0"/>
          <w:numId w:val="31"/>
        </w:numPr>
        <w:rPr>
          <w:lang w:val="sl-SI"/>
        </w:rPr>
      </w:pPr>
      <w:r>
        <w:rPr>
          <w:lang w:val="sl-SI"/>
        </w:rPr>
        <w:t>dolgi projektni cikli;</w:t>
      </w:r>
    </w:p>
    <w:p w14:paraId="4BF95AE1" w14:textId="524F17AD" w:rsidR="009D0E29" w:rsidRDefault="00262691" w:rsidP="00121C87">
      <w:pPr>
        <w:pStyle w:val="Odstavekseznama"/>
        <w:numPr>
          <w:ilvl w:val="0"/>
          <w:numId w:val="31"/>
        </w:numPr>
        <w:rPr>
          <w:lang w:val="sl-SI"/>
        </w:rPr>
      </w:pPr>
      <w:r>
        <w:rPr>
          <w:lang w:val="sl-SI"/>
        </w:rPr>
        <w:t>različna kvaliteta projektne dokumentacije</w:t>
      </w:r>
      <w:r w:rsidR="00AB3F67">
        <w:rPr>
          <w:lang w:val="sl-SI"/>
        </w:rPr>
        <w:t xml:space="preserve"> (ni standardizacije)</w:t>
      </w:r>
      <w:r>
        <w:rPr>
          <w:lang w:val="sl-SI"/>
        </w:rPr>
        <w:t>;</w:t>
      </w:r>
    </w:p>
    <w:p w14:paraId="715EF27B" w14:textId="5171FB0B" w:rsidR="00AB3F67" w:rsidRPr="00AB3F67" w:rsidRDefault="00AB3F67" w:rsidP="00AB3F67">
      <w:pPr>
        <w:pStyle w:val="Odstavekseznama"/>
        <w:numPr>
          <w:ilvl w:val="0"/>
          <w:numId w:val="31"/>
        </w:numPr>
        <w:rPr>
          <w:lang w:val="sl-SI"/>
        </w:rPr>
      </w:pPr>
      <w:r>
        <w:rPr>
          <w:lang w:val="sl-SI"/>
        </w:rPr>
        <w:t>zamik del zaradi Covid-19, pomanjkanje materiala.</w:t>
      </w:r>
    </w:p>
    <w:p w14:paraId="794C2F1F" w14:textId="502DDAA8" w:rsidR="00260601" w:rsidRDefault="00260601" w:rsidP="0047407A">
      <w:pPr>
        <w:rPr>
          <w:lang w:val="sl-SI"/>
        </w:rPr>
      </w:pPr>
      <w:r>
        <w:rPr>
          <w:lang w:val="sl-SI"/>
        </w:rPr>
        <w:t>Ko smo upravičence A vprašali, kaj bi v naslednjem programskem obdobju najbolj potrebovali z vidika energetske prenove stavb</w:t>
      </w:r>
      <w:r w:rsidR="0007036F">
        <w:rPr>
          <w:lang w:val="sl-SI"/>
        </w:rPr>
        <w:t xml:space="preserve">, so bili največkrat izbrani </w:t>
      </w:r>
      <w:r w:rsidR="00165A2D">
        <w:rPr>
          <w:lang w:val="sl-SI"/>
        </w:rPr>
        <w:t xml:space="preserve">naslednji </w:t>
      </w:r>
      <w:r w:rsidR="0007036F">
        <w:rPr>
          <w:lang w:val="sl-SI"/>
        </w:rPr>
        <w:t>odgovori:</w:t>
      </w:r>
    </w:p>
    <w:p w14:paraId="6A786338" w14:textId="59871ECB" w:rsidR="0007036F" w:rsidRDefault="0007036F" w:rsidP="0007036F">
      <w:pPr>
        <w:pStyle w:val="Odstavekseznama"/>
        <w:numPr>
          <w:ilvl w:val="0"/>
          <w:numId w:val="38"/>
        </w:numPr>
        <w:rPr>
          <w:lang w:val="sl-SI"/>
        </w:rPr>
      </w:pPr>
      <w:r w:rsidRPr="0007036F">
        <w:rPr>
          <w:lang w:val="sl-SI"/>
        </w:rPr>
        <w:t>Višja vrednost spodbud (večji projekti in večja stopnja sofinanciranja)</w:t>
      </w:r>
      <w:r>
        <w:rPr>
          <w:lang w:val="sl-SI"/>
        </w:rPr>
        <w:t xml:space="preserve"> (izbrano kar 19-krat)</w:t>
      </w:r>
    </w:p>
    <w:p w14:paraId="21568382" w14:textId="40358F4E" w:rsidR="004234A3" w:rsidRDefault="00B036E9" w:rsidP="0007036F">
      <w:pPr>
        <w:pStyle w:val="Odstavekseznama"/>
        <w:numPr>
          <w:ilvl w:val="0"/>
          <w:numId w:val="38"/>
        </w:numPr>
        <w:rPr>
          <w:lang w:val="sl-SI"/>
        </w:rPr>
      </w:pPr>
      <w:r w:rsidRPr="00B036E9">
        <w:rPr>
          <w:lang w:val="sl-SI"/>
        </w:rPr>
        <w:t>Poenostavitev izvajanja projektov (zahtevnost poročanja in spremljanja)</w:t>
      </w:r>
      <w:r>
        <w:rPr>
          <w:lang w:val="sl-SI"/>
        </w:rPr>
        <w:t xml:space="preserve"> (13-krat)</w:t>
      </w:r>
    </w:p>
    <w:p w14:paraId="6CBC9918" w14:textId="79EEBD1A" w:rsidR="001A4340" w:rsidRDefault="001A4340" w:rsidP="0007036F">
      <w:pPr>
        <w:pStyle w:val="Odstavekseznama"/>
        <w:numPr>
          <w:ilvl w:val="0"/>
          <w:numId w:val="38"/>
        </w:numPr>
        <w:rPr>
          <w:lang w:val="sl-SI"/>
        </w:rPr>
      </w:pPr>
      <w:r w:rsidRPr="001A4340">
        <w:rPr>
          <w:lang w:val="sl-SI"/>
        </w:rPr>
        <w:t>Celovite energetske prenove</w:t>
      </w:r>
      <w:r>
        <w:rPr>
          <w:lang w:val="sl-SI"/>
        </w:rPr>
        <w:t xml:space="preserve"> (12-krat)</w:t>
      </w:r>
    </w:p>
    <w:p w14:paraId="32FF8069" w14:textId="77777777" w:rsidR="001071F6" w:rsidRPr="001071F6" w:rsidRDefault="001A4340" w:rsidP="0007036F">
      <w:pPr>
        <w:pStyle w:val="Odstavekseznama"/>
        <w:numPr>
          <w:ilvl w:val="0"/>
          <w:numId w:val="38"/>
        </w:numPr>
        <w:rPr>
          <w:lang w:val="sl-SI"/>
        </w:rPr>
      </w:pPr>
      <w:r>
        <w:rPr>
          <w:lang w:val="sl-SI"/>
        </w:rPr>
        <w:t xml:space="preserve">Delne </w:t>
      </w:r>
      <w:r w:rsidRPr="001A4340">
        <w:rPr>
          <w:lang w:val="sl-SI"/>
        </w:rPr>
        <w:t>energetske prenove</w:t>
      </w:r>
      <w:r>
        <w:rPr>
          <w:lang w:val="sl-SI"/>
        </w:rPr>
        <w:t xml:space="preserve"> (11-krat)</w:t>
      </w:r>
      <w:r w:rsidR="001071F6" w:rsidRPr="001071F6">
        <w:t xml:space="preserve"> </w:t>
      </w:r>
    </w:p>
    <w:p w14:paraId="731CE9CE" w14:textId="1B5000C7" w:rsidR="001A4340" w:rsidRDefault="001071F6" w:rsidP="0007036F">
      <w:pPr>
        <w:pStyle w:val="Odstavekseznama"/>
        <w:numPr>
          <w:ilvl w:val="0"/>
          <w:numId w:val="38"/>
        </w:numPr>
        <w:rPr>
          <w:lang w:val="sl-SI"/>
        </w:rPr>
      </w:pPr>
      <w:r w:rsidRPr="001071F6">
        <w:rPr>
          <w:lang w:val="sl-SI"/>
        </w:rPr>
        <w:t>Pomoč pri pripravi tehnične/projektne dokumentacije</w:t>
      </w:r>
      <w:r>
        <w:rPr>
          <w:lang w:val="sl-SI"/>
        </w:rPr>
        <w:t xml:space="preserve"> (8-krat)</w:t>
      </w:r>
    </w:p>
    <w:p w14:paraId="56FE518C" w14:textId="66224A0E" w:rsidR="001C3CAE" w:rsidRDefault="003A3345" w:rsidP="001071F6">
      <w:pPr>
        <w:pStyle w:val="Odstavekseznama"/>
        <w:numPr>
          <w:ilvl w:val="0"/>
          <w:numId w:val="38"/>
        </w:numPr>
        <w:rPr>
          <w:lang w:val="sl-SI"/>
        </w:rPr>
      </w:pPr>
      <w:r w:rsidRPr="003A3345">
        <w:rPr>
          <w:lang w:val="sl-SI"/>
        </w:rPr>
        <w:t>Daljše obdobje upravičenosti (daljši projekti)</w:t>
      </w:r>
      <w:r>
        <w:rPr>
          <w:lang w:val="sl-SI"/>
        </w:rPr>
        <w:t xml:space="preserve"> (7-krat)</w:t>
      </w:r>
    </w:p>
    <w:p w14:paraId="4B3BE776" w14:textId="34786E66" w:rsidR="001071F6" w:rsidRDefault="007E01D0" w:rsidP="001071F6">
      <w:pPr>
        <w:rPr>
          <w:lang w:val="sl-SI"/>
        </w:rPr>
      </w:pPr>
      <w:r>
        <w:rPr>
          <w:lang w:val="sl-SI"/>
        </w:rPr>
        <w:t xml:space="preserve">Upravičenci B so </w:t>
      </w:r>
      <w:r w:rsidR="000F6A9C">
        <w:rPr>
          <w:lang w:val="sl-SI"/>
        </w:rPr>
        <w:t xml:space="preserve">predlagali </w:t>
      </w:r>
      <w:r>
        <w:rPr>
          <w:lang w:val="sl-SI"/>
        </w:rPr>
        <w:t xml:space="preserve">naslednje: </w:t>
      </w:r>
    </w:p>
    <w:p w14:paraId="2AF4B973" w14:textId="36F80FCF" w:rsidR="007E01D0" w:rsidRPr="007E01D0" w:rsidRDefault="00E12A2C" w:rsidP="006F0E0E">
      <w:pPr>
        <w:pStyle w:val="Odstavekseznama"/>
        <w:numPr>
          <w:ilvl w:val="0"/>
          <w:numId w:val="40"/>
        </w:numPr>
        <w:rPr>
          <w:lang w:val="sl-SI"/>
        </w:rPr>
      </w:pPr>
      <w:r>
        <w:rPr>
          <w:lang w:val="sl-SI"/>
        </w:rPr>
        <w:t xml:space="preserve">Višja vrednost </w:t>
      </w:r>
      <w:r w:rsidR="00EA04BA">
        <w:rPr>
          <w:lang w:val="sl-SI"/>
        </w:rPr>
        <w:t xml:space="preserve">spodbud (večji projekti in večja stopnja sofinanciranja) </w:t>
      </w:r>
    </w:p>
    <w:p w14:paraId="7BDEF802" w14:textId="77777777" w:rsidR="00222139" w:rsidRDefault="00222139" w:rsidP="006F0E0E">
      <w:pPr>
        <w:pStyle w:val="Odstavekseznama"/>
        <w:numPr>
          <w:ilvl w:val="0"/>
          <w:numId w:val="40"/>
        </w:numPr>
        <w:rPr>
          <w:lang w:val="sl-SI"/>
        </w:rPr>
      </w:pPr>
      <w:r>
        <w:rPr>
          <w:lang w:val="sl-SI"/>
        </w:rPr>
        <w:t>Večji obseg integralnih sredstev oziroma zagotovljenega financiranja</w:t>
      </w:r>
    </w:p>
    <w:p w14:paraId="13736365" w14:textId="7D31840E" w:rsidR="00EA04BA" w:rsidRDefault="00EA04BA" w:rsidP="006F0E0E">
      <w:pPr>
        <w:pStyle w:val="Odstavekseznama"/>
        <w:numPr>
          <w:ilvl w:val="0"/>
          <w:numId w:val="40"/>
        </w:numPr>
        <w:rPr>
          <w:lang w:val="sl-SI"/>
        </w:rPr>
      </w:pPr>
      <w:r w:rsidRPr="00B036E9">
        <w:rPr>
          <w:lang w:val="sl-SI"/>
        </w:rPr>
        <w:t>Poenostavitev izvajanja projektov (zahtevnost poročanja in spremljanj</w:t>
      </w:r>
      <w:r w:rsidRPr="00EA04BA">
        <w:rPr>
          <w:lang w:val="sl-SI"/>
        </w:rPr>
        <w:t>a)</w:t>
      </w:r>
      <w:r w:rsidR="007212C6">
        <w:rPr>
          <w:lang w:val="sl-SI"/>
        </w:rPr>
        <w:t>, vključno s poenostavitvijo navodil</w:t>
      </w:r>
    </w:p>
    <w:p w14:paraId="6678E234" w14:textId="5ECC8D98" w:rsidR="00EA04BA" w:rsidRDefault="00EA04BA" w:rsidP="006F0E0E">
      <w:pPr>
        <w:pStyle w:val="Odstavekseznama"/>
        <w:numPr>
          <w:ilvl w:val="0"/>
          <w:numId w:val="40"/>
        </w:numPr>
        <w:rPr>
          <w:lang w:val="sl-SI"/>
        </w:rPr>
      </w:pPr>
      <w:r>
        <w:rPr>
          <w:lang w:val="sl-SI"/>
        </w:rPr>
        <w:t>Daljše obdobje upravičenosti</w:t>
      </w:r>
      <w:r w:rsidR="002D7209">
        <w:rPr>
          <w:lang w:val="sl-SI"/>
        </w:rPr>
        <w:t xml:space="preserve"> oziroma pravočasen začetek izvajanja projektov</w:t>
      </w:r>
      <w:r>
        <w:rPr>
          <w:lang w:val="sl-SI"/>
        </w:rPr>
        <w:t xml:space="preserve"> </w:t>
      </w:r>
      <w:r w:rsidR="007D28D2">
        <w:rPr>
          <w:lang w:val="sl-SI"/>
        </w:rPr>
        <w:t>(</w:t>
      </w:r>
      <w:r>
        <w:rPr>
          <w:lang w:val="sl-SI"/>
        </w:rPr>
        <w:t>zaradi dolg</w:t>
      </w:r>
      <w:r w:rsidR="007D28D2">
        <w:rPr>
          <w:lang w:val="sl-SI"/>
        </w:rPr>
        <w:t>ih proj</w:t>
      </w:r>
      <w:r w:rsidR="00625138">
        <w:rPr>
          <w:lang w:val="sl-SI"/>
        </w:rPr>
        <w:t>e</w:t>
      </w:r>
      <w:r w:rsidR="007D28D2">
        <w:rPr>
          <w:lang w:val="sl-SI"/>
        </w:rPr>
        <w:t>ktnih ciklo</w:t>
      </w:r>
      <w:r w:rsidR="00625138">
        <w:rPr>
          <w:lang w:val="sl-SI"/>
        </w:rPr>
        <w:t>v</w:t>
      </w:r>
      <w:r w:rsidR="007D28D2">
        <w:rPr>
          <w:lang w:val="sl-SI"/>
        </w:rPr>
        <w:t>, JZP podaljša postopke v povprečju še za 2 dodatni leti)</w:t>
      </w:r>
    </w:p>
    <w:p w14:paraId="6FEE6444" w14:textId="5824F39B" w:rsidR="00625138" w:rsidRDefault="00222139" w:rsidP="006F0E0E">
      <w:pPr>
        <w:pStyle w:val="Odstavekseznama"/>
        <w:numPr>
          <w:ilvl w:val="0"/>
          <w:numId w:val="40"/>
        </w:numPr>
        <w:rPr>
          <w:lang w:val="sl-SI"/>
        </w:rPr>
      </w:pPr>
      <w:r>
        <w:rPr>
          <w:lang w:val="sl-SI"/>
        </w:rPr>
        <w:t>Delne energetske prenove</w:t>
      </w:r>
    </w:p>
    <w:p w14:paraId="1CE882F6" w14:textId="712D0AA3" w:rsidR="00222139" w:rsidRDefault="000F6A9C" w:rsidP="006F0E0E">
      <w:pPr>
        <w:pStyle w:val="Odstavekseznama"/>
        <w:numPr>
          <w:ilvl w:val="0"/>
          <w:numId w:val="40"/>
        </w:numPr>
        <w:rPr>
          <w:lang w:val="sl-SI"/>
        </w:rPr>
      </w:pPr>
      <w:r>
        <w:rPr>
          <w:lang w:val="sl-SI"/>
        </w:rPr>
        <w:t>Stabilnost v obsegu investicij in njihovih prioritetah</w:t>
      </w:r>
    </w:p>
    <w:p w14:paraId="17A55900" w14:textId="1B6EAAB7" w:rsidR="000F6A9C" w:rsidRDefault="001753CF" w:rsidP="006F0E0E">
      <w:pPr>
        <w:pStyle w:val="Odstavekseznama"/>
        <w:numPr>
          <w:ilvl w:val="0"/>
          <w:numId w:val="40"/>
        </w:numPr>
        <w:rPr>
          <w:lang w:val="sl-SI"/>
        </w:rPr>
      </w:pPr>
      <w:r>
        <w:rPr>
          <w:lang w:val="sl-SI"/>
        </w:rPr>
        <w:t>Stabilnost v pravilih izvajanja</w:t>
      </w:r>
    </w:p>
    <w:p w14:paraId="03BB238A" w14:textId="4573FEBF" w:rsidR="001753CF" w:rsidRDefault="001753CF" w:rsidP="006F0E0E">
      <w:pPr>
        <w:pStyle w:val="Odstavekseznama"/>
        <w:numPr>
          <w:ilvl w:val="0"/>
          <w:numId w:val="40"/>
        </w:numPr>
        <w:rPr>
          <w:lang w:val="sl-SI"/>
        </w:rPr>
      </w:pPr>
      <w:r>
        <w:rPr>
          <w:lang w:val="sl-SI"/>
        </w:rPr>
        <w:t>Kadrovska okrepitev</w:t>
      </w:r>
    </w:p>
    <w:p w14:paraId="6AA8B28F" w14:textId="1863EB55" w:rsidR="006F0E0E" w:rsidRDefault="006F0E0E" w:rsidP="006F0E0E">
      <w:pPr>
        <w:pStyle w:val="Odstavekseznama"/>
        <w:numPr>
          <w:ilvl w:val="0"/>
          <w:numId w:val="40"/>
        </w:numPr>
        <w:rPr>
          <w:lang w:val="sl-SI"/>
        </w:rPr>
      </w:pPr>
      <w:r>
        <w:rPr>
          <w:lang w:val="sl-SI"/>
        </w:rPr>
        <w:t xml:space="preserve">Boljša opredelitev nalog </w:t>
      </w:r>
    </w:p>
    <w:p w14:paraId="03FD7D4A" w14:textId="0A5494C3" w:rsidR="007212C6" w:rsidRDefault="007212C6" w:rsidP="006F0E0E">
      <w:pPr>
        <w:pStyle w:val="Odstavekseznama"/>
        <w:numPr>
          <w:ilvl w:val="0"/>
          <w:numId w:val="40"/>
        </w:numPr>
        <w:rPr>
          <w:lang w:val="sl-SI"/>
        </w:rPr>
      </w:pPr>
      <w:r>
        <w:rPr>
          <w:lang w:val="sl-SI"/>
        </w:rPr>
        <w:t>Večja fleksibilnost pri višini upravičeni</w:t>
      </w:r>
      <w:r w:rsidR="00F228D4">
        <w:rPr>
          <w:lang w:val="sl-SI"/>
        </w:rPr>
        <w:t>h</w:t>
      </w:r>
      <w:r>
        <w:rPr>
          <w:lang w:val="sl-SI"/>
        </w:rPr>
        <w:t xml:space="preserve"> stroškov po priročniku (možnost povečanja dodeljenih sredstev zaradi npr. višjih cen </w:t>
      </w:r>
      <w:r w:rsidR="001A70A2">
        <w:rPr>
          <w:lang w:val="sl-SI"/>
        </w:rPr>
        <w:t>na trgu</w:t>
      </w:r>
      <w:r>
        <w:rPr>
          <w:lang w:val="sl-SI"/>
        </w:rPr>
        <w:t>)</w:t>
      </w:r>
    </w:p>
    <w:p w14:paraId="42416216" w14:textId="7AB8BA69" w:rsidR="0047407A" w:rsidRDefault="0047407A" w:rsidP="0047407A">
      <w:pPr>
        <w:rPr>
          <w:lang w:val="sl-SI"/>
        </w:rPr>
      </w:pPr>
      <w:r>
        <w:rPr>
          <w:noProof/>
          <w:lang w:val="sl-SI"/>
        </w:rPr>
        <w:drawing>
          <wp:anchor distT="0" distB="0" distL="114300" distR="114300" simplePos="0" relativeHeight="251658269" behindDoc="1" locked="0" layoutInCell="1" allowOverlap="1" wp14:anchorId="65735B49" wp14:editId="1581E2CD">
            <wp:simplePos x="0" y="0"/>
            <wp:positionH relativeFrom="column">
              <wp:posOffset>-457200</wp:posOffset>
            </wp:positionH>
            <wp:positionV relativeFrom="paragraph">
              <wp:posOffset>163830</wp:posOffset>
            </wp:positionV>
            <wp:extent cx="324000" cy="324000"/>
            <wp:effectExtent l="0" t="0" r="0" b="0"/>
            <wp:wrapTight wrapText="bothSides">
              <wp:wrapPolygon edited="0">
                <wp:start x="8471" y="847"/>
                <wp:lineTo x="4235" y="4235"/>
                <wp:lineTo x="1694" y="10165"/>
                <wp:lineTo x="3388" y="16094"/>
                <wp:lineTo x="8471" y="20329"/>
                <wp:lineTo x="12706" y="20329"/>
                <wp:lineTo x="17788" y="16094"/>
                <wp:lineTo x="20329" y="10165"/>
                <wp:lineTo x="17788" y="5082"/>
                <wp:lineTo x="12706" y="847"/>
                <wp:lineTo x="8471" y="847"/>
              </wp:wrapPolygon>
            </wp:wrapTight>
            <wp:docPr id="35" name="Grafika 35"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p comp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615CAEBF" w14:textId="77777777" w:rsidR="0047407A" w:rsidRDefault="0047407A" w:rsidP="0047407A">
      <w:pPr>
        <w:pStyle w:val="Naslov3"/>
      </w:pPr>
      <w:bookmarkStart w:id="290" w:name="_Toc131458215"/>
      <w:bookmarkStart w:id="291" w:name="_Toc136287590"/>
      <w:r>
        <w:t>Priporočila</w:t>
      </w:r>
      <w:bookmarkEnd w:id="290"/>
      <w:bookmarkEnd w:id="291"/>
    </w:p>
    <w:p w14:paraId="26C048A6" w14:textId="471DD070" w:rsidR="00F228D4" w:rsidRDefault="000B58F4" w:rsidP="0047407A">
      <w:pPr>
        <w:rPr>
          <w:lang w:val="sl-SI"/>
        </w:rPr>
      </w:pPr>
      <w:r>
        <w:rPr>
          <w:lang w:val="sl-SI"/>
        </w:rPr>
        <w:t>Upoštevajoč vse zgoraj zapisane ugotovitve, priporočamo, da se nov cikel projektov iz nove finančne perspektive začne v najkrajšem možnem času</w:t>
      </w:r>
      <w:r w:rsidR="00CE765F">
        <w:rPr>
          <w:lang w:val="sl-SI"/>
        </w:rPr>
        <w:t xml:space="preserve">. Priporočamo, </w:t>
      </w:r>
      <w:r>
        <w:rPr>
          <w:lang w:val="sl-SI"/>
        </w:rPr>
        <w:t>da se čim prej posodobi navodila in priročnik</w:t>
      </w:r>
      <w:r w:rsidR="00471F38">
        <w:rPr>
          <w:lang w:val="sl-SI"/>
        </w:rPr>
        <w:t xml:space="preserve">e, ki so bili </w:t>
      </w:r>
      <w:r>
        <w:rPr>
          <w:lang w:val="sl-SI"/>
        </w:rPr>
        <w:t>pripravljeni že v preteklem obdobju</w:t>
      </w:r>
      <w:r w:rsidR="00191CA8">
        <w:rPr>
          <w:lang w:val="sl-SI"/>
        </w:rPr>
        <w:t xml:space="preserve"> ter da se slednji do konca obdobja </w:t>
      </w:r>
      <w:r w:rsidR="003419B7">
        <w:rPr>
          <w:lang w:val="sl-SI"/>
        </w:rPr>
        <w:t xml:space="preserve">čim manj </w:t>
      </w:r>
      <w:r w:rsidR="00191CA8">
        <w:rPr>
          <w:lang w:val="sl-SI"/>
        </w:rPr>
        <w:t>spreminjajo.</w:t>
      </w:r>
      <w:r w:rsidR="0075628B">
        <w:rPr>
          <w:lang w:val="sl-SI"/>
        </w:rPr>
        <w:t xml:space="preserve"> </w:t>
      </w:r>
      <w:r w:rsidR="006B3DE9">
        <w:rPr>
          <w:lang w:val="sl-SI"/>
        </w:rPr>
        <w:t xml:space="preserve">Priporočamo, da </w:t>
      </w:r>
      <w:r>
        <w:rPr>
          <w:lang w:val="sl-SI"/>
        </w:rPr>
        <w:t>se poveča stopnja sofinanciranja</w:t>
      </w:r>
      <w:r w:rsidR="000D4A95">
        <w:rPr>
          <w:lang w:val="sl-SI"/>
        </w:rPr>
        <w:t>,</w:t>
      </w:r>
      <w:r w:rsidR="00471F38">
        <w:rPr>
          <w:lang w:val="sl-SI"/>
        </w:rPr>
        <w:t xml:space="preserve"> </w:t>
      </w:r>
      <w:r w:rsidR="000D4A95">
        <w:rPr>
          <w:lang w:val="sl-SI"/>
        </w:rPr>
        <w:t>s čimer se bo razbremenila zahteva po</w:t>
      </w:r>
      <w:r w:rsidR="006B3DE9">
        <w:rPr>
          <w:lang w:val="sl-SI"/>
        </w:rPr>
        <w:t xml:space="preserve"> zagotavljanju</w:t>
      </w:r>
      <w:r w:rsidR="000D4A95">
        <w:rPr>
          <w:lang w:val="sl-SI"/>
        </w:rPr>
        <w:t xml:space="preserve"> lastnih sredstvih oziroma bodo s tem sproščena sredstva za izvedbo več energetskih prenov. </w:t>
      </w:r>
      <w:r w:rsidR="00C66B40">
        <w:rPr>
          <w:lang w:val="sl-SI"/>
        </w:rPr>
        <w:t xml:space="preserve">Priporočamo, da </w:t>
      </w:r>
      <w:r w:rsidR="000D4A95">
        <w:rPr>
          <w:lang w:val="sl-SI"/>
        </w:rPr>
        <w:t xml:space="preserve">se </w:t>
      </w:r>
      <w:r w:rsidR="00471F38">
        <w:rPr>
          <w:lang w:val="sl-SI"/>
        </w:rPr>
        <w:t xml:space="preserve">ustvari večja fleksibilnost v samih finančnih </w:t>
      </w:r>
      <w:r w:rsidR="000D4A95">
        <w:rPr>
          <w:lang w:val="sl-SI"/>
        </w:rPr>
        <w:t>načrtih operacij</w:t>
      </w:r>
      <w:r w:rsidR="00BC319D">
        <w:rPr>
          <w:lang w:val="sl-SI"/>
        </w:rPr>
        <w:t>,</w:t>
      </w:r>
      <w:r w:rsidR="000D4A95">
        <w:rPr>
          <w:lang w:val="sl-SI"/>
        </w:rPr>
        <w:t xml:space="preserve"> </w:t>
      </w:r>
      <w:r w:rsidR="00471F38">
        <w:rPr>
          <w:lang w:val="sl-SI"/>
        </w:rPr>
        <w:t xml:space="preserve">ob upoštevanju </w:t>
      </w:r>
      <w:r w:rsidR="00BC319D">
        <w:rPr>
          <w:lang w:val="sl-SI"/>
        </w:rPr>
        <w:t xml:space="preserve">hitre </w:t>
      </w:r>
      <w:r w:rsidR="000D4A95">
        <w:rPr>
          <w:lang w:val="sl-SI"/>
        </w:rPr>
        <w:t>rasti cen</w:t>
      </w:r>
      <w:r w:rsidR="00BC319D">
        <w:rPr>
          <w:lang w:val="sl-SI"/>
        </w:rPr>
        <w:t xml:space="preserve"> in nestabilnosti na globalnih trgih. Upravičenci v zadnjem </w:t>
      </w:r>
      <w:r w:rsidR="00781D85">
        <w:rPr>
          <w:lang w:val="sl-SI"/>
        </w:rPr>
        <w:t xml:space="preserve">letu </w:t>
      </w:r>
      <w:r w:rsidR="007D0249">
        <w:rPr>
          <w:lang w:val="sl-SI"/>
        </w:rPr>
        <w:t xml:space="preserve">ugotavljajo, da je izvedba javnih naročil za gradbena dela pogosto neuspešna, po eni strani zaradi hitre rasti </w:t>
      </w:r>
      <w:r w:rsidR="007D0249">
        <w:rPr>
          <w:lang w:val="sl-SI"/>
        </w:rPr>
        <w:lastRenderedPageBreak/>
        <w:t>cen in po drugi strani zaradi pomanjkanja izvajalcev</w:t>
      </w:r>
      <w:r w:rsidR="001F4DB1">
        <w:rPr>
          <w:lang w:val="sl-SI"/>
        </w:rPr>
        <w:t xml:space="preserve">, kar povzroča še dodaten pritisk na rast cen. </w:t>
      </w:r>
      <w:r w:rsidR="005E3DA4">
        <w:rPr>
          <w:lang w:val="sl-SI"/>
        </w:rPr>
        <w:t xml:space="preserve">Predlagamo, da projektna pisarna za energetske prenove stavb vzpostavi oziroma organizira </w:t>
      </w:r>
      <w:r w:rsidR="00FA0C9C">
        <w:rPr>
          <w:lang w:val="sl-SI"/>
        </w:rPr>
        <w:t xml:space="preserve">redna </w:t>
      </w:r>
      <w:r w:rsidR="005E3DA4">
        <w:rPr>
          <w:lang w:val="sl-SI"/>
        </w:rPr>
        <w:t xml:space="preserve">strokovna srečanja za vse upravičence z </w:t>
      </w:r>
      <w:r w:rsidR="00FA0C9C">
        <w:rPr>
          <w:lang w:val="sl-SI"/>
        </w:rPr>
        <w:t xml:space="preserve">namenom izmenjave znanj in izkušenj. </w:t>
      </w:r>
    </w:p>
    <w:p w14:paraId="537C1D0A" w14:textId="77777777" w:rsidR="0047407A" w:rsidRDefault="0047407A" w:rsidP="0047407A">
      <w:pPr>
        <w:rPr>
          <w:lang w:val="sl-SI"/>
        </w:rPr>
      </w:pPr>
      <w:r>
        <w:rPr>
          <w:noProof/>
          <w:lang w:val="sl-SI"/>
        </w:rPr>
        <w:drawing>
          <wp:anchor distT="0" distB="0" distL="114300" distR="114300" simplePos="0" relativeHeight="251658268" behindDoc="1" locked="0" layoutInCell="1" allowOverlap="1" wp14:anchorId="32E69FCD" wp14:editId="548D4055">
            <wp:simplePos x="0" y="0"/>
            <wp:positionH relativeFrom="column">
              <wp:posOffset>-460375</wp:posOffset>
            </wp:positionH>
            <wp:positionV relativeFrom="paragraph">
              <wp:posOffset>201295</wp:posOffset>
            </wp:positionV>
            <wp:extent cx="324000" cy="324000"/>
            <wp:effectExtent l="0" t="0" r="0" b="6350"/>
            <wp:wrapTight wrapText="bothSides">
              <wp:wrapPolygon edited="0">
                <wp:start x="15247" y="0"/>
                <wp:lineTo x="5929" y="2541"/>
                <wp:lineTo x="0" y="7624"/>
                <wp:lineTo x="847" y="15247"/>
                <wp:lineTo x="5082" y="19482"/>
                <wp:lineTo x="5929" y="21176"/>
                <wp:lineTo x="14400" y="21176"/>
                <wp:lineTo x="15247" y="19482"/>
                <wp:lineTo x="19482" y="15247"/>
                <wp:lineTo x="20329" y="4235"/>
                <wp:lineTo x="18635" y="0"/>
                <wp:lineTo x="15247" y="0"/>
              </wp:wrapPolygon>
            </wp:wrapTight>
            <wp:docPr id="36" name="Grafika 36"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ullsey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5B72F487" w14:textId="77777777" w:rsidR="0047407A" w:rsidRDefault="0047407A" w:rsidP="0047407A">
      <w:pPr>
        <w:pStyle w:val="Naslov3"/>
      </w:pPr>
      <w:bookmarkStart w:id="292" w:name="_Toc131458216"/>
      <w:bookmarkStart w:id="293" w:name="_Toc136287591"/>
      <w:r>
        <w:t>Izzivi in omejitve</w:t>
      </w:r>
      <w:bookmarkEnd w:id="292"/>
      <w:bookmarkEnd w:id="293"/>
      <w:r>
        <w:t xml:space="preserve"> </w:t>
      </w:r>
    </w:p>
    <w:p w14:paraId="69E6DB5A" w14:textId="77777777" w:rsidR="0075628B" w:rsidRDefault="0075628B" w:rsidP="0075628B">
      <w:pPr>
        <w:rPr>
          <w:lang w:val="sl-SI"/>
        </w:rPr>
      </w:pPr>
      <w:r>
        <w:rPr>
          <w:lang w:val="sl-SI"/>
        </w:rPr>
        <w:t>Odgovor smo pripravili na podlagi do sedaj zbranih podatkov. V kolikor bomo s strani upravičencev prejeli še dodatne odgovore, jih bomo naknadno vključili v končno poročilo.</w:t>
      </w:r>
    </w:p>
    <w:p w14:paraId="4BD47427" w14:textId="77777777" w:rsidR="0075628B" w:rsidRDefault="0075628B" w:rsidP="0075628B">
      <w:pPr>
        <w:rPr>
          <w:lang w:val="sl-SI"/>
        </w:rPr>
      </w:pPr>
    </w:p>
    <w:p w14:paraId="7C945EE4" w14:textId="77777777" w:rsidR="0075628B" w:rsidRPr="0011547F" w:rsidRDefault="0075628B" w:rsidP="0075628B">
      <w:pPr>
        <w:rPr>
          <w:lang w:val="sl-SI"/>
        </w:rPr>
      </w:pPr>
    </w:p>
    <w:p w14:paraId="2FD54AE0" w14:textId="77777777" w:rsidR="004F1B6F" w:rsidRPr="0075628B" w:rsidRDefault="004F1B6F" w:rsidP="004F1B6F">
      <w:pPr>
        <w:pStyle w:val="Naslov2"/>
        <w:rPr>
          <w:b/>
          <w:bCs/>
          <w:lang w:val="sl-SI"/>
        </w:rPr>
      </w:pPr>
      <w:bookmarkStart w:id="294" w:name="_Toc136287592"/>
      <w:r w:rsidRPr="0075628B">
        <w:rPr>
          <w:b/>
          <w:bCs/>
          <w:lang w:val="sl-SI"/>
        </w:rPr>
        <w:t xml:space="preserve">Kako se je uveljavilo javno-zasebno partnerstvo po principu energetskega </w:t>
      </w:r>
      <w:proofErr w:type="spellStart"/>
      <w:r w:rsidRPr="0075628B">
        <w:rPr>
          <w:b/>
          <w:bCs/>
          <w:lang w:val="sl-SI"/>
        </w:rPr>
        <w:t>pogodbeništva</w:t>
      </w:r>
      <w:proofErr w:type="spellEnd"/>
      <w:r w:rsidRPr="0075628B">
        <w:rPr>
          <w:b/>
          <w:bCs/>
          <w:lang w:val="sl-SI"/>
        </w:rPr>
        <w:t xml:space="preserve">: kakšen je delež operacij izvedenih v skladu z ZJZP v obdobju 2016 do 2019 in kakšni so razlogi za (ne)izvedbo operacij kot javno-zasebno partnerstvo po principu energetskega </w:t>
      </w:r>
      <w:proofErr w:type="spellStart"/>
      <w:r w:rsidRPr="0075628B">
        <w:rPr>
          <w:b/>
          <w:bCs/>
          <w:lang w:val="sl-SI"/>
        </w:rPr>
        <w:t>pogodbeništva</w:t>
      </w:r>
      <w:proofErr w:type="spellEnd"/>
      <w:r w:rsidRPr="0075628B">
        <w:rPr>
          <w:b/>
          <w:bCs/>
          <w:lang w:val="sl-SI"/>
        </w:rPr>
        <w:t xml:space="preserve"> za A in B?</w:t>
      </w:r>
      <w:bookmarkEnd w:id="294"/>
    </w:p>
    <w:p w14:paraId="482DDB73" w14:textId="77777777" w:rsidR="004F1B6F" w:rsidRDefault="004F1B6F" w:rsidP="004F1B6F">
      <w:pPr>
        <w:rPr>
          <w:lang w:val="sl-SI"/>
        </w:rPr>
      </w:pPr>
    </w:p>
    <w:p w14:paraId="0B618244" w14:textId="77777777" w:rsidR="0047407A" w:rsidRDefault="0047407A" w:rsidP="0047407A">
      <w:pPr>
        <w:rPr>
          <w:lang w:val="sl-SI"/>
        </w:rPr>
      </w:pPr>
    </w:p>
    <w:p w14:paraId="36CF31D0" w14:textId="77777777" w:rsidR="0047407A" w:rsidRPr="00794E6E" w:rsidRDefault="0047407A" w:rsidP="0047407A">
      <w:pPr>
        <w:pStyle w:val="Naslov3"/>
      </w:pPr>
      <w:bookmarkStart w:id="295" w:name="_Toc131458218"/>
      <w:bookmarkStart w:id="296" w:name="_Toc136287593"/>
      <w:r>
        <w:rPr>
          <w:noProof/>
        </w:rPr>
        <w:drawing>
          <wp:anchor distT="0" distB="0" distL="114300" distR="114300" simplePos="0" relativeHeight="251658270" behindDoc="1" locked="0" layoutInCell="1" allowOverlap="1" wp14:anchorId="3A244A7E" wp14:editId="1D4A9FF0">
            <wp:simplePos x="0" y="0"/>
            <wp:positionH relativeFrom="column">
              <wp:posOffset>-451485</wp:posOffset>
            </wp:positionH>
            <wp:positionV relativeFrom="paragraph">
              <wp:posOffset>30429</wp:posOffset>
            </wp:positionV>
            <wp:extent cx="324000" cy="324000"/>
            <wp:effectExtent l="0" t="0" r="6350" b="0"/>
            <wp:wrapTight wrapText="bothSides">
              <wp:wrapPolygon edited="0">
                <wp:start x="1694" y="847"/>
                <wp:lineTo x="847" y="6776"/>
                <wp:lineTo x="847" y="16094"/>
                <wp:lineTo x="2541" y="20329"/>
                <wp:lineTo x="19482" y="20329"/>
                <wp:lineTo x="21176" y="8471"/>
                <wp:lineTo x="19482" y="3388"/>
                <wp:lineTo x="16094" y="847"/>
                <wp:lineTo x="1694" y="847"/>
              </wp:wrapPolygon>
            </wp:wrapTight>
            <wp:docPr id="37" name="Grafika 37" descr="Tic Tac To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ic Tac Toe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r w:rsidRPr="00794E6E">
        <w:t>Pristop in metodološka orodja</w:t>
      </w:r>
      <w:bookmarkEnd w:id="295"/>
      <w:bookmarkEnd w:id="296"/>
    </w:p>
    <w:p w14:paraId="7A6FADD4" w14:textId="77777777" w:rsidR="0075628B" w:rsidRDefault="0075628B" w:rsidP="0075628B">
      <w:pPr>
        <w:rPr>
          <w:lang w:val="sl-SI"/>
        </w:rPr>
      </w:pPr>
      <w:r w:rsidRPr="00E96BFA">
        <w:rPr>
          <w:lang w:val="sl-SI"/>
        </w:rPr>
        <w:t>Odgovor na navedeno vprašanje s</w:t>
      </w:r>
      <w:r>
        <w:rPr>
          <w:lang w:val="sl-SI"/>
        </w:rPr>
        <w:t xml:space="preserve">mo </w:t>
      </w:r>
      <w:r w:rsidRPr="00E96BFA">
        <w:rPr>
          <w:lang w:val="sl-SI"/>
        </w:rPr>
        <w:t>pridob</w:t>
      </w:r>
      <w:r>
        <w:rPr>
          <w:lang w:val="sl-SI"/>
        </w:rPr>
        <w:t xml:space="preserve">ili z </w:t>
      </w:r>
      <w:r w:rsidRPr="00E96BFA">
        <w:rPr>
          <w:lang w:val="sl-SI"/>
        </w:rPr>
        <w:t xml:space="preserve">uporabo </w:t>
      </w:r>
      <w:r>
        <w:rPr>
          <w:lang w:val="sl-SI"/>
        </w:rPr>
        <w:t xml:space="preserve">naslednjih metodoloških orodij: </w:t>
      </w:r>
      <w:r w:rsidRPr="0058617C">
        <w:rPr>
          <w:lang w:val="sl-SI"/>
        </w:rPr>
        <w:t>»analiza dokumentacije«</w:t>
      </w:r>
      <w:r>
        <w:rPr>
          <w:lang w:val="sl-SI"/>
        </w:rPr>
        <w:t xml:space="preserve"> (analiza vlog in operacij), </w:t>
      </w:r>
      <w:r w:rsidRPr="00E96BFA">
        <w:rPr>
          <w:lang w:val="sl-SI"/>
        </w:rPr>
        <w:t>»an</w:t>
      </w:r>
      <w:r>
        <w:rPr>
          <w:lang w:val="sl-SI"/>
        </w:rPr>
        <w:t xml:space="preserve">keta« in »strukturiran intervju«. </w:t>
      </w:r>
    </w:p>
    <w:p w14:paraId="0E1D9459" w14:textId="77777777" w:rsidR="0047407A" w:rsidRDefault="0047407A" w:rsidP="0047407A">
      <w:pPr>
        <w:rPr>
          <w:lang w:val="hr-HR"/>
        </w:rPr>
      </w:pPr>
      <w:r>
        <w:rPr>
          <w:noProof/>
          <w:lang w:val="sl-SI"/>
        </w:rPr>
        <w:drawing>
          <wp:anchor distT="0" distB="0" distL="114300" distR="114300" simplePos="0" relativeHeight="251658271" behindDoc="1" locked="0" layoutInCell="1" allowOverlap="1" wp14:anchorId="52E67DB2" wp14:editId="6F7108C0">
            <wp:simplePos x="0" y="0"/>
            <wp:positionH relativeFrom="column">
              <wp:posOffset>-457835</wp:posOffset>
            </wp:positionH>
            <wp:positionV relativeFrom="paragraph">
              <wp:posOffset>231775</wp:posOffset>
            </wp:positionV>
            <wp:extent cx="323850" cy="323850"/>
            <wp:effectExtent l="0" t="0" r="0" b="0"/>
            <wp:wrapTight wrapText="bothSides">
              <wp:wrapPolygon edited="0">
                <wp:start x="2541" y="847"/>
                <wp:lineTo x="2541" y="18635"/>
                <wp:lineTo x="3388" y="20329"/>
                <wp:lineTo x="19482" y="20329"/>
                <wp:lineTo x="19482" y="847"/>
                <wp:lineTo x="2541" y="847"/>
              </wp:wrapPolygon>
            </wp:wrapTight>
            <wp:docPr id="38" name="Grafika 38" descr="Play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layboo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p w14:paraId="1FD0D7A0" w14:textId="77777777" w:rsidR="0047407A" w:rsidRDefault="0047407A" w:rsidP="0047407A">
      <w:pPr>
        <w:pStyle w:val="Naslov3"/>
      </w:pPr>
      <w:bookmarkStart w:id="297" w:name="_Toc131458219"/>
      <w:bookmarkStart w:id="298" w:name="_Toc136287594"/>
      <w:r>
        <w:t>Ključne ugotovitve in odgovor na vprašanje vrednotenja</w:t>
      </w:r>
      <w:bookmarkEnd w:id="297"/>
      <w:bookmarkEnd w:id="298"/>
      <w:r>
        <w:t xml:space="preserve"> </w:t>
      </w:r>
    </w:p>
    <w:p w14:paraId="4F6253A5" w14:textId="77777777" w:rsidR="00BE3549" w:rsidRDefault="00FA3410" w:rsidP="00FA3410">
      <w:pPr>
        <w:rPr>
          <w:b/>
          <w:bCs/>
          <w:lang w:val="sl-SI"/>
        </w:rPr>
      </w:pPr>
      <w:r>
        <w:rPr>
          <w:lang w:val="sl-SI"/>
        </w:rPr>
        <w:t xml:space="preserve">Na </w:t>
      </w:r>
      <w:r w:rsidRPr="00AC3840">
        <w:rPr>
          <w:b/>
          <w:bCs/>
          <w:lang w:val="sl-SI"/>
        </w:rPr>
        <w:t>razpise JOB</w:t>
      </w:r>
      <w:r>
        <w:rPr>
          <w:lang w:val="sl-SI"/>
        </w:rPr>
        <w:t xml:space="preserve"> se je prijavilo </w:t>
      </w:r>
      <w:r w:rsidRPr="00AD45D6">
        <w:rPr>
          <w:lang w:val="sl-SI"/>
        </w:rPr>
        <w:t>70 občin z 98 operacijami/projekti</w:t>
      </w:r>
      <w:r>
        <w:rPr>
          <w:lang w:val="sl-SI"/>
        </w:rPr>
        <w:t xml:space="preserve"> (izključili smo ukinjene operacije). </w:t>
      </w:r>
      <w:r w:rsidR="00AD45D6">
        <w:rPr>
          <w:lang w:val="sl-SI"/>
        </w:rPr>
        <w:t xml:space="preserve">Od </w:t>
      </w:r>
      <w:r w:rsidR="007B6848">
        <w:rPr>
          <w:lang w:val="sl-SI"/>
        </w:rPr>
        <w:t>teh jih je bilo kar 3</w:t>
      </w:r>
      <w:r w:rsidR="00AD45D6">
        <w:rPr>
          <w:lang w:val="sl-SI"/>
        </w:rPr>
        <w:t xml:space="preserve">8 </w:t>
      </w:r>
      <w:r w:rsidR="00325B2C">
        <w:rPr>
          <w:lang w:val="sl-SI"/>
        </w:rPr>
        <w:t xml:space="preserve">izvedenih po sistemu javno-zasebnega partnerstva po principu energetskega </w:t>
      </w:r>
      <w:proofErr w:type="spellStart"/>
      <w:r w:rsidR="00325B2C">
        <w:rPr>
          <w:lang w:val="sl-SI"/>
        </w:rPr>
        <w:t>pogodbeništva</w:t>
      </w:r>
      <w:proofErr w:type="spellEnd"/>
      <w:r w:rsidR="00325B2C">
        <w:rPr>
          <w:lang w:val="sl-SI"/>
        </w:rPr>
        <w:t xml:space="preserve">. Slednje </w:t>
      </w:r>
      <w:r w:rsidR="00BE3549">
        <w:rPr>
          <w:lang w:val="sl-SI"/>
        </w:rPr>
        <w:t xml:space="preserve">predstavlja kar </w:t>
      </w:r>
      <w:r w:rsidRPr="00077B7C">
        <w:rPr>
          <w:b/>
          <w:bCs/>
          <w:lang w:val="sl-SI"/>
        </w:rPr>
        <w:t>3</w:t>
      </w:r>
      <w:r w:rsidR="00BE3549">
        <w:rPr>
          <w:b/>
          <w:bCs/>
          <w:lang w:val="sl-SI"/>
        </w:rPr>
        <w:t>9</w:t>
      </w:r>
      <w:r w:rsidRPr="00077B7C">
        <w:rPr>
          <w:b/>
          <w:bCs/>
          <w:lang w:val="sl-SI"/>
        </w:rPr>
        <w:t>% vseh operacij</w:t>
      </w:r>
      <w:r w:rsidR="00BE3549">
        <w:rPr>
          <w:b/>
          <w:bCs/>
          <w:lang w:val="sl-SI"/>
        </w:rPr>
        <w:t>.</w:t>
      </w:r>
    </w:p>
    <w:p w14:paraId="3A22E1D1" w14:textId="5664BF7A" w:rsidR="00BF1D23" w:rsidRDefault="00371253" w:rsidP="00FA3410">
      <w:pPr>
        <w:rPr>
          <w:lang w:val="sl-SI"/>
        </w:rPr>
      </w:pPr>
      <w:r w:rsidRPr="00371253">
        <w:rPr>
          <w:lang w:val="sl-SI"/>
        </w:rPr>
        <w:t xml:space="preserve">Pri </w:t>
      </w:r>
      <w:r>
        <w:rPr>
          <w:b/>
          <w:bCs/>
          <w:lang w:val="sl-SI"/>
        </w:rPr>
        <w:t xml:space="preserve">Upravičencih A </w:t>
      </w:r>
      <w:r w:rsidRPr="00371253">
        <w:rPr>
          <w:lang w:val="sl-SI"/>
        </w:rPr>
        <w:t xml:space="preserve">smo </w:t>
      </w:r>
      <w:r>
        <w:rPr>
          <w:lang w:val="sl-SI"/>
        </w:rPr>
        <w:t xml:space="preserve">z anketo preverjali, </w:t>
      </w:r>
      <w:r w:rsidR="005E1A62">
        <w:rPr>
          <w:lang w:val="sl-SI"/>
        </w:rPr>
        <w:t xml:space="preserve">kateri so ključni predpogoji za JZP in </w:t>
      </w:r>
      <w:r>
        <w:rPr>
          <w:lang w:val="sl-SI"/>
        </w:rPr>
        <w:t>kakšne so bile njihove izkušnje pri izvedbi JZP</w:t>
      </w:r>
      <w:r w:rsidR="005E1A62">
        <w:rPr>
          <w:lang w:val="sl-SI"/>
        </w:rPr>
        <w:t xml:space="preserve">. </w:t>
      </w:r>
      <w:r w:rsidR="003B1099">
        <w:rPr>
          <w:lang w:val="sl-SI"/>
        </w:rPr>
        <w:t>Iz prejetih 27 ustreznih odgovorov je kar 52% vseh, ki so nam odgovorili</w:t>
      </w:r>
      <w:r w:rsidR="0074525F">
        <w:rPr>
          <w:lang w:val="sl-SI"/>
        </w:rPr>
        <w:t xml:space="preserve"> na anketo</w:t>
      </w:r>
      <w:r w:rsidR="003B1099">
        <w:rPr>
          <w:lang w:val="sl-SI"/>
        </w:rPr>
        <w:t xml:space="preserve">, izvedlo </w:t>
      </w:r>
      <w:r w:rsidR="00735DF9">
        <w:rPr>
          <w:lang w:val="sl-SI"/>
        </w:rPr>
        <w:t>prenove po sistemu JZP. Ključni predpogoji, ki so jih upravičenci A</w:t>
      </w:r>
      <w:r w:rsidR="0074525F">
        <w:rPr>
          <w:lang w:val="sl-SI"/>
        </w:rPr>
        <w:t>, ki so izvajali JZP,</w:t>
      </w:r>
      <w:r w:rsidR="00735DF9">
        <w:rPr>
          <w:lang w:val="sl-SI"/>
        </w:rPr>
        <w:t xml:space="preserve"> navedli, so bili: </w:t>
      </w:r>
      <w:r w:rsidR="003F3F48">
        <w:rPr>
          <w:lang w:val="sl-SI"/>
        </w:rPr>
        <w:t xml:space="preserve">izkazan interes zasebnega partnerja, zadostni prihranki, </w:t>
      </w:r>
      <w:r w:rsidR="00A36CA8">
        <w:rPr>
          <w:lang w:val="sl-SI"/>
        </w:rPr>
        <w:t>upravičenost izvedbe, transparenten postopek, prenos tveganj</w:t>
      </w:r>
      <w:r w:rsidR="000A4D64">
        <w:rPr>
          <w:lang w:val="sl-SI"/>
        </w:rPr>
        <w:t xml:space="preserve"> in finančnih bremen investicije, strokovna usposobljenost vseh deležnikov.</w:t>
      </w:r>
      <w:r w:rsidR="005E1A62">
        <w:rPr>
          <w:lang w:val="sl-SI"/>
        </w:rPr>
        <w:t xml:space="preserve"> </w:t>
      </w:r>
      <w:r w:rsidR="000A4D64">
        <w:rPr>
          <w:lang w:val="sl-SI"/>
        </w:rPr>
        <w:t xml:space="preserve">Izkušnje so bile </w:t>
      </w:r>
      <w:r w:rsidR="00C6544F">
        <w:rPr>
          <w:lang w:val="sl-SI"/>
        </w:rPr>
        <w:t xml:space="preserve">v več kot </w:t>
      </w:r>
      <w:r w:rsidR="00B51DF4">
        <w:rPr>
          <w:lang w:val="sl-SI"/>
        </w:rPr>
        <w:t>8</w:t>
      </w:r>
      <w:r w:rsidR="00C6544F">
        <w:rPr>
          <w:lang w:val="sl-SI"/>
        </w:rPr>
        <w:t>0% pozitivne</w:t>
      </w:r>
      <w:r w:rsidR="00B51DF4">
        <w:rPr>
          <w:lang w:val="sl-SI"/>
        </w:rPr>
        <w:t xml:space="preserve"> oziroma »dobre«</w:t>
      </w:r>
      <w:r w:rsidR="00C6544F">
        <w:rPr>
          <w:lang w:val="sl-SI"/>
        </w:rPr>
        <w:t xml:space="preserve">, </w:t>
      </w:r>
      <w:r w:rsidR="00EF176B">
        <w:rPr>
          <w:lang w:val="sl-SI"/>
        </w:rPr>
        <w:t xml:space="preserve">saj je zasebni partner prevzel večino operativnega dela in vzdrževanje po prenovi, </w:t>
      </w:r>
      <w:r w:rsidR="00312F98">
        <w:rPr>
          <w:lang w:val="sl-SI"/>
        </w:rPr>
        <w:t>zagotovil vir financiranj</w:t>
      </w:r>
      <w:r w:rsidR="00113E7B">
        <w:rPr>
          <w:lang w:val="sl-SI"/>
        </w:rPr>
        <w:t>a. Nekaj upravičencev je navedlo, da s</w:t>
      </w:r>
      <w:r w:rsidR="00312F98">
        <w:rPr>
          <w:lang w:val="sl-SI"/>
        </w:rPr>
        <w:t xml:space="preserve">o bil pogajanja težka, </w:t>
      </w:r>
      <w:r w:rsidR="00113E7B">
        <w:rPr>
          <w:lang w:val="sl-SI"/>
        </w:rPr>
        <w:t xml:space="preserve">da so </w:t>
      </w:r>
      <w:r w:rsidR="00312F98">
        <w:rPr>
          <w:lang w:val="sl-SI"/>
        </w:rPr>
        <w:t>zahtevala veliko usklajevanj</w:t>
      </w:r>
      <w:r w:rsidR="00E44230">
        <w:rPr>
          <w:lang w:val="sl-SI"/>
        </w:rPr>
        <w:t>, da izkušnje niso dobre, da je celotna investicija postala predraga</w:t>
      </w:r>
      <w:r w:rsidR="00BF1D23">
        <w:rPr>
          <w:lang w:val="sl-SI"/>
        </w:rPr>
        <w:t xml:space="preserve">. </w:t>
      </w:r>
      <w:r w:rsidR="000975E7">
        <w:rPr>
          <w:lang w:val="sl-SI"/>
        </w:rPr>
        <w:t xml:space="preserve">Zasebnih partnerjev je bilo vsega skupaj </w:t>
      </w:r>
      <w:r w:rsidR="008A372F">
        <w:rPr>
          <w:lang w:val="sl-SI"/>
        </w:rPr>
        <w:t xml:space="preserve">6, pri čemer </w:t>
      </w:r>
      <w:r w:rsidR="004963E3">
        <w:rPr>
          <w:lang w:val="sl-SI"/>
        </w:rPr>
        <w:t xml:space="preserve">je Petrol sodeloval pri kar 80% vseh JZP. </w:t>
      </w:r>
      <w:r w:rsidR="00A525A7">
        <w:rPr>
          <w:lang w:val="sl-SI"/>
        </w:rPr>
        <w:t>Upravičenci A, ki operacij niso izvedli</w:t>
      </w:r>
      <w:r w:rsidR="00696C69">
        <w:rPr>
          <w:lang w:val="sl-SI"/>
        </w:rPr>
        <w:t xml:space="preserve"> po JZP</w:t>
      </w:r>
      <w:r w:rsidR="00A525A7">
        <w:rPr>
          <w:lang w:val="sl-SI"/>
        </w:rPr>
        <w:t xml:space="preserve">, so zapisali, da je najpogostejši razlog za </w:t>
      </w:r>
      <w:proofErr w:type="spellStart"/>
      <w:r w:rsidR="00696C69">
        <w:rPr>
          <w:lang w:val="sl-SI"/>
        </w:rPr>
        <w:t>neizvedbo</w:t>
      </w:r>
      <w:proofErr w:type="spellEnd"/>
      <w:r w:rsidR="00696C69">
        <w:rPr>
          <w:lang w:val="sl-SI"/>
        </w:rPr>
        <w:t xml:space="preserve"> nezainteresiran</w:t>
      </w:r>
      <w:r w:rsidR="0014217F">
        <w:rPr>
          <w:lang w:val="sl-SI"/>
        </w:rPr>
        <w:t xml:space="preserve">ost zasebnikov, premajhna vrednost investicije </w:t>
      </w:r>
      <w:r w:rsidR="00E74AF6">
        <w:rPr>
          <w:lang w:val="sl-SI"/>
        </w:rPr>
        <w:t xml:space="preserve">/ </w:t>
      </w:r>
      <w:r w:rsidR="0014217F">
        <w:rPr>
          <w:lang w:val="sl-SI"/>
        </w:rPr>
        <w:t>prihrankov.</w:t>
      </w:r>
    </w:p>
    <w:p w14:paraId="44695091" w14:textId="77777777" w:rsidR="00A93F34" w:rsidRDefault="009E6F30" w:rsidP="009E6F30">
      <w:pPr>
        <w:rPr>
          <w:lang w:val="sl-SI"/>
        </w:rPr>
      </w:pPr>
      <w:r w:rsidRPr="009E6F30">
        <w:rPr>
          <w:lang w:val="sl-SI"/>
        </w:rPr>
        <w:t xml:space="preserve">Na </w:t>
      </w:r>
      <w:r w:rsidRPr="001C763F">
        <w:rPr>
          <w:b/>
          <w:bCs/>
          <w:lang w:val="sl-SI"/>
        </w:rPr>
        <w:t>podlagi povabil nosilnega posredniškega organa</w:t>
      </w:r>
      <w:r w:rsidRPr="009E6F30">
        <w:rPr>
          <w:lang w:val="sl-SI"/>
        </w:rPr>
        <w:t xml:space="preserve"> za operacije sofinanciranja energetske prenove javnih stavb ožjega in širšega javnega sektorja </w:t>
      </w:r>
      <w:r w:rsidR="001C763F">
        <w:rPr>
          <w:lang w:val="sl-SI"/>
        </w:rPr>
        <w:t xml:space="preserve">imamo v analizi skupaj 45 operacij. Od teh je bilo </w:t>
      </w:r>
      <w:r w:rsidR="00B216F5">
        <w:rPr>
          <w:lang w:val="sl-SI"/>
        </w:rPr>
        <w:t xml:space="preserve">13 izvedenih po sistemu javno-zasebnega partnerstva po principu energetskega </w:t>
      </w:r>
      <w:proofErr w:type="spellStart"/>
      <w:r w:rsidR="00B216F5">
        <w:rPr>
          <w:lang w:val="sl-SI"/>
        </w:rPr>
        <w:t>pogodbeništva</w:t>
      </w:r>
      <w:proofErr w:type="spellEnd"/>
      <w:r w:rsidR="00B216F5">
        <w:rPr>
          <w:lang w:val="sl-SI"/>
        </w:rPr>
        <w:t xml:space="preserve">. Slednje predstavlja </w:t>
      </w:r>
      <w:r w:rsidR="00EF46A3" w:rsidRPr="00EF46A3">
        <w:rPr>
          <w:b/>
          <w:bCs/>
          <w:lang w:val="sl-SI"/>
        </w:rPr>
        <w:t>2</w:t>
      </w:r>
      <w:r w:rsidR="00B216F5">
        <w:rPr>
          <w:b/>
          <w:bCs/>
          <w:lang w:val="sl-SI"/>
        </w:rPr>
        <w:t>9</w:t>
      </w:r>
      <w:r w:rsidR="00B216F5" w:rsidRPr="00077B7C">
        <w:rPr>
          <w:b/>
          <w:bCs/>
          <w:lang w:val="sl-SI"/>
        </w:rPr>
        <w:t>% vseh operacij</w:t>
      </w:r>
      <w:r w:rsidR="00B216F5">
        <w:rPr>
          <w:b/>
          <w:bCs/>
          <w:lang w:val="sl-SI"/>
        </w:rPr>
        <w:t>.</w:t>
      </w:r>
      <w:r w:rsidR="00EF46A3">
        <w:rPr>
          <w:b/>
          <w:bCs/>
          <w:lang w:val="sl-SI"/>
        </w:rPr>
        <w:t xml:space="preserve"> </w:t>
      </w:r>
      <w:r w:rsidR="00EF46A3" w:rsidRPr="00EF46A3">
        <w:rPr>
          <w:lang w:val="sl-SI"/>
        </w:rPr>
        <w:t>Pri tem velja iz</w:t>
      </w:r>
      <w:r w:rsidR="00EF46A3">
        <w:rPr>
          <w:lang w:val="sl-SI"/>
        </w:rPr>
        <w:t>po</w:t>
      </w:r>
      <w:r w:rsidR="00EF46A3" w:rsidRPr="00EF46A3">
        <w:rPr>
          <w:lang w:val="sl-SI"/>
        </w:rPr>
        <w:t>s</w:t>
      </w:r>
      <w:r w:rsidR="00EF46A3">
        <w:rPr>
          <w:lang w:val="sl-SI"/>
        </w:rPr>
        <w:t>taviti, da so bili to 3 piloti</w:t>
      </w:r>
      <w:r w:rsidR="00865189">
        <w:rPr>
          <w:lang w:val="sl-SI"/>
        </w:rPr>
        <w:t xml:space="preserve"> (</w:t>
      </w:r>
      <w:r w:rsidR="007318E3">
        <w:rPr>
          <w:lang w:val="sl-SI"/>
        </w:rPr>
        <w:t>2 iz ožjega javnega sektorja)</w:t>
      </w:r>
      <w:r w:rsidR="00515B94">
        <w:rPr>
          <w:lang w:val="sl-SI"/>
        </w:rPr>
        <w:t>, 1 projekt ožjega javnega sektorja, vsi ostali projekti pa so bili izvedeni v širšem javnem sektorju.</w:t>
      </w:r>
      <w:r w:rsidR="007318E3">
        <w:rPr>
          <w:lang w:val="sl-SI"/>
        </w:rPr>
        <w:t xml:space="preserve"> V ožjem javnem sektorju so bili torej izvedeni 3 projekti </w:t>
      </w:r>
      <w:r w:rsidR="00994900">
        <w:rPr>
          <w:lang w:val="sl-SI"/>
        </w:rPr>
        <w:t>po sistemu javno-zasebnega partnerstva</w:t>
      </w:r>
      <w:r w:rsidR="0079780F">
        <w:rPr>
          <w:lang w:val="sl-SI"/>
        </w:rPr>
        <w:t>, kar predstavlja 30% vseh projektov ožjega javnega sektorja</w:t>
      </w:r>
      <w:r w:rsidR="00994900">
        <w:rPr>
          <w:lang w:val="sl-SI"/>
        </w:rPr>
        <w:t xml:space="preserve">. </w:t>
      </w:r>
      <w:r w:rsidR="007318E3">
        <w:rPr>
          <w:lang w:val="sl-SI"/>
        </w:rPr>
        <w:t xml:space="preserve"> </w:t>
      </w:r>
    </w:p>
    <w:p w14:paraId="2232CFF3" w14:textId="73B46880" w:rsidR="009C0028" w:rsidRDefault="00A93F34" w:rsidP="0047407A">
      <w:pPr>
        <w:rPr>
          <w:lang w:val="sl-SI"/>
        </w:rPr>
      </w:pPr>
      <w:r>
        <w:rPr>
          <w:lang w:val="sl-SI"/>
        </w:rPr>
        <w:t>Tudi pri Upravičencih B smo preverjali, ka</w:t>
      </w:r>
      <w:r w:rsidR="00012377">
        <w:rPr>
          <w:lang w:val="sl-SI"/>
        </w:rPr>
        <w:t xml:space="preserve">teri so ključni predpogoji za JZP in kakšne so bile njihove izkušnje. </w:t>
      </w:r>
      <w:r w:rsidR="00A1424C">
        <w:rPr>
          <w:lang w:val="sl-SI"/>
        </w:rPr>
        <w:t>Kot ključne predpogoje za dobro izvedbo JZP so navedli dobr</w:t>
      </w:r>
      <w:r w:rsidR="00536447">
        <w:rPr>
          <w:lang w:val="sl-SI"/>
        </w:rPr>
        <w:t xml:space="preserve">e evidence, </w:t>
      </w:r>
      <w:r w:rsidR="00996826">
        <w:rPr>
          <w:lang w:val="sl-SI"/>
        </w:rPr>
        <w:t xml:space="preserve">podrobne </w:t>
      </w:r>
      <w:r w:rsidR="00536447">
        <w:rPr>
          <w:lang w:val="sl-SI"/>
        </w:rPr>
        <w:t>podatki o stavbah</w:t>
      </w:r>
      <w:r w:rsidR="00C072D5">
        <w:rPr>
          <w:lang w:val="sl-SI"/>
        </w:rPr>
        <w:t>, ki so predpogoj za pogajanja</w:t>
      </w:r>
      <w:r w:rsidR="00536447">
        <w:rPr>
          <w:lang w:val="sl-SI"/>
        </w:rPr>
        <w:t xml:space="preserve">, pravna in strokovna </w:t>
      </w:r>
      <w:r w:rsidR="00996826">
        <w:rPr>
          <w:lang w:val="sl-SI"/>
        </w:rPr>
        <w:lastRenderedPageBreak/>
        <w:t xml:space="preserve">znanja in </w:t>
      </w:r>
      <w:r w:rsidR="00D611F0">
        <w:rPr>
          <w:lang w:val="sl-SI"/>
        </w:rPr>
        <w:t xml:space="preserve">tehnična </w:t>
      </w:r>
      <w:r w:rsidR="00536447">
        <w:rPr>
          <w:lang w:val="sl-SI"/>
        </w:rPr>
        <w:t xml:space="preserve">podpora, </w:t>
      </w:r>
      <w:r w:rsidR="00F37D88">
        <w:rPr>
          <w:lang w:val="sl-SI"/>
        </w:rPr>
        <w:t xml:space="preserve">pravilna </w:t>
      </w:r>
      <w:r w:rsidR="00996826">
        <w:rPr>
          <w:lang w:val="sl-SI"/>
        </w:rPr>
        <w:t>razporeditev tveganj</w:t>
      </w:r>
      <w:r w:rsidR="00D611F0">
        <w:rPr>
          <w:lang w:val="sl-SI"/>
        </w:rPr>
        <w:t>, spremljanje izvedbe (dodaten nadzor izvedbe)</w:t>
      </w:r>
      <w:r w:rsidR="00F37D88">
        <w:rPr>
          <w:lang w:val="sl-SI"/>
        </w:rPr>
        <w:t xml:space="preserve">. </w:t>
      </w:r>
      <w:r w:rsidR="00894EC9">
        <w:rPr>
          <w:lang w:val="sl-SI"/>
        </w:rPr>
        <w:t>Izkušnje</w:t>
      </w:r>
      <w:r w:rsidR="00763F25">
        <w:rPr>
          <w:lang w:val="sl-SI"/>
        </w:rPr>
        <w:t xml:space="preserve"> so</w:t>
      </w:r>
      <w:r w:rsidR="00894EC9">
        <w:rPr>
          <w:lang w:val="sl-SI"/>
        </w:rPr>
        <w:t xml:space="preserve"> bile</w:t>
      </w:r>
      <w:r w:rsidR="004D2F63">
        <w:rPr>
          <w:lang w:val="sl-SI"/>
        </w:rPr>
        <w:t xml:space="preserve"> tako dobre kot slabe. Dobre </w:t>
      </w:r>
      <w:r w:rsidR="009C0028">
        <w:rPr>
          <w:lang w:val="sl-SI"/>
        </w:rPr>
        <w:t xml:space="preserve">izkušnje </w:t>
      </w:r>
      <w:r w:rsidR="00894EC9">
        <w:rPr>
          <w:lang w:val="sl-SI"/>
        </w:rPr>
        <w:t xml:space="preserve">predvsem z vidika izvedbe </w:t>
      </w:r>
      <w:r w:rsidR="00763F25">
        <w:rPr>
          <w:lang w:val="sl-SI"/>
        </w:rPr>
        <w:t xml:space="preserve">same </w:t>
      </w:r>
      <w:r w:rsidR="00894EC9">
        <w:rPr>
          <w:lang w:val="sl-SI"/>
        </w:rPr>
        <w:t xml:space="preserve">investicije, saj ima zasebni partner interes, da se </w:t>
      </w:r>
      <w:r w:rsidR="00763F25">
        <w:rPr>
          <w:lang w:val="sl-SI"/>
        </w:rPr>
        <w:t>ta</w:t>
      </w:r>
      <w:r w:rsidR="00894EC9">
        <w:rPr>
          <w:lang w:val="sl-SI"/>
        </w:rPr>
        <w:t xml:space="preserve"> zaključi čim prej.</w:t>
      </w:r>
      <w:r w:rsidR="004D2F63">
        <w:rPr>
          <w:lang w:val="sl-SI"/>
        </w:rPr>
        <w:t xml:space="preserve"> </w:t>
      </w:r>
      <w:r w:rsidR="009C0028">
        <w:rPr>
          <w:lang w:val="sl-SI"/>
        </w:rPr>
        <w:t>D</w:t>
      </w:r>
      <w:r w:rsidR="0077790A">
        <w:rPr>
          <w:lang w:val="sl-SI"/>
        </w:rPr>
        <w:t xml:space="preserve">obre izkušnje </w:t>
      </w:r>
      <w:r w:rsidR="009C0028">
        <w:rPr>
          <w:lang w:val="sl-SI"/>
        </w:rPr>
        <w:t xml:space="preserve">imajo </w:t>
      </w:r>
      <w:r w:rsidR="00E953DC">
        <w:rPr>
          <w:lang w:val="sl-SI"/>
        </w:rPr>
        <w:t xml:space="preserve">tudi s tistimi projekti, ki so se začeli pred inflacijo. Tveganja, tudi finančna, je namreč nase prevzel zasebnik. </w:t>
      </w:r>
    </w:p>
    <w:p w14:paraId="29ECDEEE" w14:textId="611ACA64" w:rsidR="0047407A" w:rsidRDefault="004D2F63" w:rsidP="0047407A">
      <w:pPr>
        <w:rPr>
          <w:lang w:val="sl-SI"/>
        </w:rPr>
      </w:pPr>
      <w:r>
        <w:rPr>
          <w:lang w:val="sl-SI"/>
        </w:rPr>
        <w:t xml:space="preserve">Slabe </w:t>
      </w:r>
      <w:r w:rsidR="00E953DC">
        <w:rPr>
          <w:lang w:val="sl-SI"/>
        </w:rPr>
        <w:t xml:space="preserve">izkušnje </w:t>
      </w:r>
      <w:r w:rsidR="009C0028">
        <w:rPr>
          <w:lang w:val="sl-SI"/>
        </w:rPr>
        <w:t xml:space="preserve">so predvsem povezane s </w:t>
      </w:r>
      <w:r>
        <w:rPr>
          <w:lang w:val="sl-SI"/>
        </w:rPr>
        <w:t>časovno zahtevn</w:t>
      </w:r>
      <w:r w:rsidR="009C0028">
        <w:rPr>
          <w:lang w:val="sl-SI"/>
        </w:rPr>
        <w:t xml:space="preserve">im </w:t>
      </w:r>
      <w:r>
        <w:rPr>
          <w:lang w:val="sl-SI"/>
        </w:rPr>
        <w:t>postopk</w:t>
      </w:r>
      <w:r w:rsidR="009C0028">
        <w:rPr>
          <w:lang w:val="sl-SI"/>
        </w:rPr>
        <w:t>om</w:t>
      </w:r>
      <w:r>
        <w:rPr>
          <w:lang w:val="sl-SI"/>
        </w:rPr>
        <w:t xml:space="preserve">, ki v povprečju doda še vsaj dve leti k celotnemu </w:t>
      </w:r>
      <w:r w:rsidR="002640BB">
        <w:rPr>
          <w:lang w:val="sl-SI"/>
        </w:rPr>
        <w:t>investicijskemu ciklu</w:t>
      </w:r>
      <w:r>
        <w:rPr>
          <w:lang w:val="sl-SI"/>
        </w:rPr>
        <w:t xml:space="preserve">. Na eni operaciji je trajalo </w:t>
      </w:r>
      <w:r w:rsidR="002640BB">
        <w:rPr>
          <w:lang w:val="sl-SI"/>
        </w:rPr>
        <w:t xml:space="preserve">celo </w:t>
      </w:r>
      <w:r>
        <w:rPr>
          <w:lang w:val="sl-SI"/>
        </w:rPr>
        <w:t xml:space="preserve">5 let, da so prišli do podpisa pogodbe z zasebnim partnerjem. </w:t>
      </w:r>
      <w:r w:rsidR="00E953DC">
        <w:rPr>
          <w:lang w:val="sl-SI"/>
        </w:rPr>
        <w:t>Pogrešali so navodila, usmeritve</w:t>
      </w:r>
      <w:r w:rsidR="00267174">
        <w:rPr>
          <w:lang w:val="sl-SI"/>
        </w:rPr>
        <w:t xml:space="preserve">, strokovno podporo. </w:t>
      </w:r>
      <w:r w:rsidR="00DB7E79">
        <w:rPr>
          <w:lang w:val="sl-SI"/>
        </w:rPr>
        <w:t xml:space="preserve">Izvedba JZP </w:t>
      </w:r>
      <w:r w:rsidR="002640BB">
        <w:rPr>
          <w:lang w:val="sl-SI"/>
        </w:rPr>
        <w:t xml:space="preserve">je </w:t>
      </w:r>
      <w:r w:rsidR="00DB7E79">
        <w:rPr>
          <w:lang w:val="sl-SI"/>
        </w:rPr>
        <w:t>obremen</w:t>
      </w:r>
      <w:r w:rsidR="002640BB">
        <w:rPr>
          <w:lang w:val="sl-SI"/>
        </w:rPr>
        <w:t xml:space="preserve">ila </w:t>
      </w:r>
      <w:r w:rsidR="00DB7E79">
        <w:rPr>
          <w:lang w:val="sl-SI"/>
        </w:rPr>
        <w:t xml:space="preserve">notranje resurse brez realnega izplena. Z vidika obsega dela je stroškovno </w:t>
      </w:r>
      <w:r w:rsidR="00AA7C79">
        <w:rPr>
          <w:lang w:val="sl-SI"/>
        </w:rPr>
        <w:t xml:space="preserve">to </w:t>
      </w:r>
      <w:r w:rsidR="00DB7E79">
        <w:rPr>
          <w:lang w:val="sl-SI"/>
        </w:rPr>
        <w:t xml:space="preserve">zelo neučinkovit postopek. </w:t>
      </w:r>
      <w:r w:rsidR="00AA7C79">
        <w:rPr>
          <w:lang w:val="sl-SI"/>
        </w:rPr>
        <w:t xml:space="preserve">Upravičenci so dodatno izpostavili, da sistem </w:t>
      </w:r>
      <w:r w:rsidR="00DB7E79">
        <w:rPr>
          <w:lang w:val="sl-SI"/>
        </w:rPr>
        <w:t>JZP uporabljajo večino</w:t>
      </w:r>
      <w:r w:rsidR="00AA7C79">
        <w:rPr>
          <w:lang w:val="sl-SI"/>
        </w:rPr>
        <w:t>ma</w:t>
      </w:r>
      <w:r w:rsidR="00DB7E79">
        <w:rPr>
          <w:lang w:val="sl-SI"/>
        </w:rPr>
        <w:t xml:space="preserve"> za delne energetske prenove, s katerimi </w:t>
      </w:r>
      <w:r w:rsidR="00AA7C79">
        <w:rPr>
          <w:lang w:val="sl-SI"/>
        </w:rPr>
        <w:t xml:space="preserve">pa </w:t>
      </w:r>
      <w:r w:rsidR="00DB7E79">
        <w:rPr>
          <w:lang w:val="sl-SI"/>
        </w:rPr>
        <w:t>niso mogli kandidirati na predmetna povabila nosilnega posredniškega organa.</w:t>
      </w:r>
    </w:p>
    <w:p w14:paraId="75899C27" w14:textId="09E461DA" w:rsidR="00994116" w:rsidRDefault="00994116" w:rsidP="0047407A">
      <w:pPr>
        <w:rPr>
          <w:lang w:val="sl-SI"/>
        </w:rPr>
      </w:pPr>
      <w:r>
        <w:rPr>
          <w:lang w:val="sl-SI"/>
        </w:rPr>
        <w:t xml:space="preserve">Razlogi za </w:t>
      </w:r>
      <w:proofErr w:type="spellStart"/>
      <w:r>
        <w:rPr>
          <w:lang w:val="sl-SI"/>
        </w:rPr>
        <w:t>neizvedbo</w:t>
      </w:r>
      <w:proofErr w:type="spellEnd"/>
      <w:r>
        <w:rPr>
          <w:lang w:val="sl-SI"/>
        </w:rPr>
        <w:t xml:space="preserve"> so bili tudi pri upravičencih B </w:t>
      </w:r>
      <w:r w:rsidR="0006635A">
        <w:rPr>
          <w:lang w:val="sl-SI"/>
        </w:rPr>
        <w:t xml:space="preserve">v glavnem </w:t>
      </w:r>
      <w:r>
        <w:rPr>
          <w:lang w:val="sl-SI"/>
        </w:rPr>
        <w:t>povezani z odsotnostjo interesa zasebnega partnerja</w:t>
      </w:r>
      <w:r w:rsidR="00CA39B3">
        <w:rPr>
          <w:lang w:val="sl-SI"/>
        </w:rPr>
        <w:t>.</w:t>
      </w:r>
    </w:p>
    <w:p w14:paraId="28A8226E" w14:textId="7D41837E" w:rsidR="0027403D" w:rsidRDefault="0027403D" w:rsidP="0047407A">
      <w:pPr>
        <w:rPr>
          <w:lang w:val="sl-SI"/>
        </w:rPr>
      </w:pPr>
      <w:r>
        <w:rPr>
          <w:lang w:val="sl-SI"/>
        </w:rPr>
        <w:t xml:space="preserve">Skupaj je bilo kar </w:t>
      </w:r>
      <w:r w:rsidRPr="0027403D">
        <w:rPr>
          <w:b/>
          <w:bCs/>
          <w:lang w:val="sl-SI"/>
        </w:rPr>
        <w:t>36% vseh operacij</w:t>
      </w:r>
      <w:r>
        <w:rPr>
          <w:lang w:val="sl-SI"/>
        </w:rPr>
        <w:t xml:space="preserve"> izvedenih po sistemu JZP</w:t>
      </w:r>
      <w:r w:rsidR="0073656B">
        <w:rPr>
          <w:lang w:val="sl-SI"/>
        </w:rPr>
        <w:t>, zato lahko trdimo, da so t</w:t>
      </w:r>
      <w:r w:rsidR="003B2105">
        <w:rPr>
          <w:lang w:val="sl-SI"/>
        </w:rPr>
        <w:t>e naložbe pomembno pripomogle k njegovi uveljavitvi</w:t>
      </w:r>
      <w:r w:rsidR="0073656B">
        <w:rPr>
          <w:lang w:val="sl-SI"/>
        </w:rPr>
        <w:t>.</w:t>
      </w:r>
      <w:r w:rsidR="003B2105">
        <w:rPr>
          <w:lang w:val="sl-SI"/>
        </w:rPr>
        <w:t xml:space="preserve"> Po drugi strani pa kar </w:t>
      </w:r>
      <w:r w:rsidR="00AA1AE0">
        <w:rPr>
          <w:lang w:val="sl-SI"/>
        </w:rPr>
        <w:t xml:space="preserve">64% vseh operacij ni našlo zasebnega partnerja, kar lahko pomeni, da je trg </w:t>
      </w:r>
      <w:r w:rsidR="004434CB">
        <w:rPr>
          <w:lang w:val="sl-SI"/>
        </w:rPr>
        <w:t xml:space="preserve">premalo razvit (kar posredno potrjuje število zasebnih partnerjev) ter </w:t>
      </w:r>
      <w:r w:rsidR="00AA1AE0">
        <w:rPr>
          <w:lang w:val="sl-SI"/>
        </w:rPr>
        <w:t>da so bile celovite energetske prenove</w:t>
      </w:r>
      <w:r w:rsidR="004434CB">
        <w:rPr>
          <w:lang w:val="sl-SI"/>
        </w:rPr>
        <w:t xml:space="preserve"> z vidika velikosti investicije in prihrankov za zasebne partnerje nezanimive</w:t>
      </w:r>
      <w:r w:rsidR="004434CB" w:rsidRPr="004434CB">
        <w:rPr>
          <w:lang w:val="sl-SI"/>
        </w:rPr>
        <w:t xml:space="preserve"> </w:t>
      </w:r>
      <w:r w:rsidR="004434CB">
        <w:rPr>
          <w:lang w:val="sl-SI"/>
        </w:rPr>
        <w:t>tudi zaradi svoje razdrobljenosti. Razmisliti bi bilo</w:t>
      </w:r>
      <w:r w:rsidR="00A27BA2">
        <w:rPr>
          <w:lang w:val="sl-SI"/>
        </w:rPr>
        <w:t xml:space="preserve"> zato</w:t>
      </w:r>
      <w:r w:rsidR="004434CB">
        <w:rPr>
          <w:lang w:val="sl-SI"/>
        </w:rPr>
        <w:t xml:space="preserve"> potrebno</w:t>
      </w:r>
      <w:r w:rsidR="00DE638E">
        <w:rPr>
          <w:lang w:val="sl-SI"/>
        </w:rPr>
        <w:t xml:space="preserve"> </w:t>
      </w:r>
      <w:r w:rsidR="004434CB">
        <w:rPr>
          <w:lang w:val="sl-SI"/>
        </w:rPr>
        <w:t>o združevanju</w:t>
      </w:r>
      <w:r w:rsidR="00DE638E">
        <w:rPr>
          <w:lang w:val="sl-SI"/>
        </w:rPr>
        <w:t xml:space="preserve"> projektov</w:t>
      </w:r>
      <w:r w:rsidR="004434CB">
        <w:rPr>
          <w:lang w:val="sl-SI"/>
        </w:rPr>
        <w:t xml:space="preserve"> </w:t>
      </w:r>
      <w:r w:rsidR="00DE638E">
        <w:rPr>
          <w:lang w:val="sl-SI"/>
        </w:rPr>
        <w:t xml:space="preserve">celovitih </w:t>
      </w:r>
      <w:r w:rsidR="004434CB">
        <w:rPr>
          <w:lang w:val="sl-SI"/>
        </w:rPr>
        <w:t xml:space="preserve">energetskih </w:t>
      </w:r>
      <w:r w:rsidR="00087611">
        <w:rPr>
          <w:lang w:val="sl-SI"/>
        </w:rPr>
        <w:t>prenov</w:t>
      </w:r>
      <w:r w:rsidR="00A27BA2">
        <w:rPr>
          <w:lang w:val="sl-SI"/>
        </w:rPr>
        <w:t>.</w:t>
      </w:r>
      <w:r w:rsidR="0094034A">
        <w:rPr>
          <w:lang w:val="sl-SI"/>
        </w:rPr>
        <w:t xml:space="preserve"> Slednje potrdi tudi analiza o </w:t>
      </w:r>
      <w:r w:rsidR="00D6676B">
        <w:rPr>
          <w:lang w:val="sl-SI"/>
        </w:rPr>
        <w:t>n</w:t>
      </w:r>
      <w:r w:rsidR="00D6676B" w:rsidRPr="00D6676B">
        <w:rPr>
          <w:lang w:val="sl-SI"/>
        </w:rPr>
        <w:t>ačrtovan</w:t>
      </w:r>
      <w:r w:rsidR="00D6676B">
        <w:rPr>
          <w:lang w:val="sl-SI"/>
        </w:rPr>
        <w:t>em</w:t>
      </w:r>
      <w:r w:rsidR="00D6676B" w:rsidRPr="00D6676B">
        <w:rPr>
          <w:lang w:val="sl-SI"/>
        </w:rPr>
        <w:t xml:space="preserve"> obseg prenov v m2</w:t>
      </w:r>
      <w:r w:rsidR="00D6676B">
        <w:rPr>
          <w:lang w:val="sl-SI"/>
        </w:rPr>
        <w:t xml:space="preserve">, kjer je od vsega načrtovanega kar </w:t>
      </w:r>
      <w:r w:rsidR="00B60C4F" w:rsidRPr="004D55BB">
        <w:rPr>
          <w:b/>
          <w:bCs/>
          <w:lang w:val="sl-SI"/>
        </w:rPr>
        <w:t xml:space="preserve">45% načrtovanih obnov </w:t>
      </w:r>
      <w:r w:rsidR="002062F0" w:rsidRPr="004D55BB">
        <w:rPr>
          <w:b/>
          <w:bCs/>
          <w:lang w:val="sl-SI"/>
        </w:rPr>
        <w:t>v m2 izvedenih na podlagi JZP</w:t>
      </w:r>
      <w:r w:rsidR="002062F0">
        <w:rPr>
          <w:lang w:val="sl-SI"/>
        </w:rPr>
        <w:t>.</w:t>
      </w:r>
      <w:r w:rsidR="00962935">
        <w:rPr>
          <w:lang w:val="sl-SI"/>
        </w:rPr>
        <w:t xml:space="preserve"> </w:t>
      </w:r>
    </w:p>
    <w:p w14:paraId="7F312713" w14:textId="1D789352" w:rsidR="0047407A" w:rsidRPr="00AC72A8" w:rsidRDefault="0047407A" w:rsidP="0047407A">
      <w:pPr>
        <w:rPr>
          <w:lang w:val="sl-SI"/>
        </w:rPr>
      </w:pPr>
      <w:r w:rsidRPr="00AC72A8">
        <w:rPr>
          <w:noProof/>
          <w:lang w:val="sl-SI"/>
        </w:rPr>
        <w:drawing>
          <wp:anchor distT="0" distB="0" distL="114300" distR="114300" simplePos="0" relativeHeight="251658273" behindDoc="1" locked="0" layoutInCell="1" allowOverlap="1" wp14:anchorId="5E69ADF3" wp14:editId="17433B64">
            <wp:simplePos x="0" y="0"/>
            <wp:positionH relativeFrom="column">
              <wp:posOffset>-457200</wp:posOffset>
            </wp:positionH>
            <wp:positionV relativeFrom="paragraph">
              <wp:posOffset>163830</wp:posOffset>
            </wp:positionV>
            <wp:extent cx="324000" cy="324000"/>
            <wp:effectExtent l="0" t="0" r="0" b="0"/>
            <wp:wrapTight wrapText="bothSides">
              <wp:wrapPolygon edited="0">
                <wp:start x="8471" y="847"/>
                <wp:lineTo x="4235" y="4235"/>
                <wp:lineTo x="1694" y="10165"/>
                <wp:lineTo x="3388" y="16094"/>
                <wp:lineTo x="8471" y="20329"/>
                <wp:lineTo x="12706" y="20329"/>
                <wp:lineTo x="17788" y="16094"/>
                <wp:lineTo x="20329" y="10165"/>
                <wp:lineTo x="17788" y="5082"/>
                <wp:lineTo x="12706" y="847"/>
                <wp:lineTo x="8471" y="847"/>
              </wp:wrapPolygon>
            </wp:wrapTight>
            <wp:docPr id="39" name="Grafika 39"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p comp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1BB50335" w14:textId="77777777" w:rsidR="0047407A" w:rsidRPr="00AC72A8" w:rsidRDefault="0047407A" w:rsidP="0047407A">
      <w:pPr>
        <w:pStyle w:val="Naslov3"/>
      </w:pPr>
      <w:bookmarkStart w:id="299" w:name="_Toc131458220"/>
      <w:bookmarkStart w:id="300" w:name="_Toc136287595"/>
      <w:r w:rsidRPr="00AC72A8">
        <w:t>Priporočila</w:t>
      </w:r>
      <w:bookmarkEnd w:id="299"/>
      <w:bookmarkEnd w:id="300"/>
    </w:p>
    <w:p w14:paraId="25D8884E" w14:textId="0FD3802A" w:rsidR="00DE638E" w:rsidRPr="00AC72A8" w:rsidRDefault="00DE638E" w:rsidP="00DE638E">
      <w:pPr>
        <w:rPr>
          <w:lang w:val="sl-SI"/>
        </w:rPr>
      </w:pPr>
      <w:r w:rsidRPr="00AC72A8">
        <w:rPr>
          <w:lang w:val="sl-SI"/>
        </w:rPr>
        <w:t xml:space="preserve">Da bi </w:t>
      </w:r>
      <w:r w:rsidR="00EC1A31" w:rsidRPr="00AC72A8">
        <w:rPr>
          <w:lang w:val="sl-SI"/>
        </w:rPr>
        <w:t xml:space="preserve">se JZP lahko </w:t>
      </w:r>
      <w:r w:rsidR="006E1933" w:rsidRPr="00AC72A8">
        <w:rPr>
          <w:lang w:val="sl-SI"/>
        </w:rPr>
        <w:t xml:space="preserve">še </w:t>
      </w:r>
      <w:r w:rsidR="00EC1A31" w:rsidRPr="00AC72A8">
        <w:rPr>
          <w:lang w:val="sl-SI"/>
        </w:rPr>
        <w:t>nadalje uveljavljal</w:t>
      </w:r>
      <w:r w:rsidR="00DC4149" w:rsidRPr="00AC72A8">
        <w:rPr>
          <w:lang w:val="sl-SI"/>
        </w:rPr>
        <w:t>i</w:t>
      </w:r>
      <w:r w:rsidR="00EC1A31" w:rsidRPr="00AC72A8">
        <w:rPr>
          <w:lang w:val="sl-SI"/>
        </w:rPr>
        <w:t xml:space="preserve">, tudi s </w:t>
      </w:r>
      <w:r w:rsidR="00DC4149" w:rsidRPr="00AC72A8">
        <w:rPr>
          <w:lang w:val="sl-SI"/>
        </w:rPr>
        <w:t>podporo EU</w:t>
      </w:r>
      <w:r w:rsidR="00EC1A31" w:rsidRPr="00AC72A8">
        <w:rPr>
          <w:lang w:val="sl-SI"/>
        </w:rPr>
        <w:t xml:space="preserve"> sredstev</w:t>
      </w:r>
      <w:r w:rsidR="00DC4149" w:rsidRPr="00AC72A8">
        <w:rPr>
          <w:lang w:val="sl-SI"/>
        </w:rPr>
        <w:t>,</w:t>
      </w:r>
      <w:r w:rsidR="00EC1A31" w:rsidRPr="00AC72A8">
        <w:rPr>
          <w:lang w:val="sl-SI"/>
        </w:rPr>
        <w:t xml:space="preserve"> bi bilo potrebno razmisliti </w:t>
      </w:r>
      <w:r w:rsidRPr="00AC72A8">
        <w:rPr>
          <w:lang w:val="sl-SI"/>
        </w:rPr>
        <w:t xml:space="preserve">ali o združevanju projektov celovitih energetskih </w:t>
      </w:r>
      <w:r w:rsidR="00EC1A31" w:rsidRPr="00AC72A8">
        <w:rPr>
          <w:lang w:val="sl-SI"/>
        </w:rPr>
        <w:t xml:space="preserve">prenov, s čimer bi investicijsko nezanimivi projekti lahko </w:t>
      </w:r>
      <w:r w:rsidR="006E1933" w:rsidRPr="00AC72A8">
        <w:rPr>
          <w:lang w:val="sl-SI"/>
        </w:rPr>
        <w:t xml:space="preserve">v sklopu več projektov </w:t>
      </w:r>
      <w:r w:rsidR="00EC1A31" w:rsidRPr="00AC72A8">
        <w:rPr>
          <w:lang w:val="sl-SI"/>
        </w:rPr>
        <w:t>postali zanimivi</w:t>
      </w:r>
      <w:r w:rsidR="00BC316D" w:rsidRPr="00AC72A8">
        <w:rPr>
          <w:lang w:val="sl-SI"/>
        </w:rPr>
        <w:t xml:space="preserve">, ali o financiranju tudi delnih energetskih prenov, kar </w:t>
      </w:r>
      <w:r w:rsidR="00D36EBA" w:rsidRPr="00AC72A8">
        <w:rPr>
          <w:lang w:val="sl-SI"/>
        </w:rPr>
        <w:t>bi sicer pospešilo o</w:t>
      </w:r>
      <w:r w:rsidR="00E00882" w:rsidRPr="00AC72A8">
        <w:rPr>
          <w:lang w:val="sl-SI"/>
        </w:rPr>
        <w:t xml:space="preserve">bseg prenov in razbremenilo lastna sredstva upravičencev, vendar pa bi </w:t>
      </w:r>
      <w:r w:rsidR="004D55BB">
        <w:rPr>
          <w:lang w:val="sl-SI"/>
        </w:rPr>
        <w:t xml:space="preserve">po drugi strani </w:t>
      </w:r>
      <w:r w:rsidR="00BC316D" w:rsidRPr="00AC72A8">
        <w:rPr>
          <w:lang w:val="sl-SI"/>
        </w:rPr>
        <w:t xml:space="preserve">privedlo do </w:t>
      </w:r>
      <w:r w:rsidR="006E1933" w:rsidRPr="00AC72A8">
        <w:rPr>
          <w:lang w:val="sl-SI"/>
        </w:rPr>
        <w:t>parcialnih</w:t>
      </w:r>
      <w:r w:rsidR="00D36EBA" w:rsidRPr="00AC72A8">
        <w:rPr>
          <w:lang w:val="sl-SI"/>
        </w:rPr>
        <w:t xml:space="preserve"> rešitev.</w:t>
      </w:r>
    </w:p>
    <w:p w14:paraId="26D79E42" w14:textId="77777777" w:rsidR="0047407A" w:rsidRPr="00AC72A8" w:rsidRDefault="0047407A" w:rsidP="0047407A">
      <w:pPr>
        <w:rPr>
          <w:lang w:val="sl-SI"/>
        </w:rPr>
      </w:pPr>
      <w:r w:rsidRPr="00AC72A8">
        <w:rPr>
          <w:noProof/>
          <w:lang w:val="sl-SI"/>
        </w:rPr>
        <w:drawing>
          <wp:anchor distT="0" distB="0" distL="114300" distR="114300" simplePos="0" relativeHeight="251658272" behindDoc="1" locked="0" layoutInCell="1" allowOverlap="1" wp14:anchorId="094A2554" wp14:editId="7C86AB41">
            <wp:simplePos x="0" y="0"/>
            <wp:positionH relativeFrom="column">
              <wp:posOffset>-460375</wp:posOffset>
            </wp:positionH>
            <wp:positionV relativeFrom="paragraph">
              <wp:posOffset>201295</wp:posOffset>
            </wp:positionV>
            <wp:extent cx="324000" cy="324000"/>
            <wp:effectExtent l="0" t="0" r="0" b="6350"/>
            <wp:wrapTight wrapText="bothSides">
              <wp:wrapPolygon edited="0">
                <wp:start x="15247" y="0"/>
                <wp:lineTo x="5929" y="2541"/>
                <wp:lineTo x="0" y="7624"/>
                <wp:lineTo x="847" y="15247"/>
                <wp:lineTo x="5082" y="19482"/>
                <wp:lineTo x="5929" y="21176"/>
                <wp:lineTo x="14400" y="21176"/>
                <wp:lineTo x="15247" y="19482"/>
                <wp:lineTo x="19482" y="15247"/>
                <wp:lineTo x="20329" y="4235"/>
                <wp:lineTo x="18635" y="0"/>
                <wp:lineTo x="15247" y="0"/>
              </wp:wrapPolygon>
            </wp:wrapTight>
            <wp:docPr id="40" name="Grafika 40"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ullsey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38DF0F96" w14:textId="77777777" w:rsidR="0047407A" w:rsidRPr="00AC72A8" w:rsidRDefault="0047407A" w:rsidP="0047407A">
      <w:pPr>
        <w:pStyle w:val="Naslov3"/>
      </w:pPr>
      <w:bookmarkStart w:id="301" w:name="_Toc131458221"/>
      <w:bookmarkStart w:id="302" w:name="_Toc136287596"/>
      <w:r w:rsidRPr="00AC72A8">
        <w:t>Izzivi in omejitve</w:t>
      </w:r>
      <w:bookmarkEnd w:id="301"/>
      <w:bookmarkEnd w:id="302"/>
      <w:r w:rsidRPr="00AC72A8">
        <w:t xml:space="preserve"> </w:t>
      </w:r>
    </w:p>
    <w:p w14:paraId="6065BD84" w14:textId="3572A4BF" w:rsidR="0047407A" w:rsidRPr="0011547F" w:rsidRDefault="00E00882" w:rsidP="0047407A">
      <w:pPr>
        <w:rPr>
          <w:lang w:val="sl-SI"/>
        </w:rPr>
      </w:pPr>
      <w:r w:rsidRPr="00AC72A8">
        <w:rPr>
          <w:lang w:val="sl-SI"/>
        </w:rPr>
        <w:t>Pri pripravi odgovora nismo imeli izzivov. Omejitev, ki jo velja izpostavit</w:t>
      </w:r>
      <w:r w:rsidR="00781D85" w:rsidRPr="00AC72A8">
        <w:rPr>
          <w:lang w:val="sl-SI"/>
        </w:rPr>
        <w:t>i,</w:t>
      </w:r>
      <w:r w:rsidRPr="00AC72A8">
        <w:rPr>
          <w:lang w:val="sl-SI"/>
        </w:rPr>
        <w:t xml:space="preserve"> je časovni vidik izvedbe samega vrednotenja. </w:t>
      </w:r>
      <w:r w:rsidR="00E67E6B" w:rsidRPr="00AC72A8">
        <w:rPr>
          <w:lang w:val="sl-SI"/>
        </w:rPr>
        <w:t xml:space="preserve">Kratka </w:t>
      </w:r>
      <w:proofErr w:type="spellStart"/>
      <w:r w:rsidR="00E67E6B" w:rsidRPr="00AC72A8">
        <w:rPr>
          <w:lang w:val="sl-SI"/>
        </w:rPr>
        <w:t>časovnica</w:t>
      </w:r>
      <w:proofErr w:type="spellEnd"/>
      <w:r w:rsidR="00E67E6B" w:rsidRPr="00AC72A8">
        <w:rPr>
          <w:lang w:val="sl-SI"/>
        </w:rPr>
        <w:t xml:space="preserve"> nam ni omogočila izvedbe fokusne skupine </w:t>
      </w:r>
      <w:r w:rsidR="00151B03" w:rsidRPr="00AC72A8">
        <w:rPr>
          <w:lang w:val="sl-SI"/>
        </w:rPr>
        <w:t xml:space="preserve">oziroma intervjujev </w:t>
      </w:r>
      <w:r w:rsidR="00E67E6B" w:rsidRPr="00AC72A8">
        <w:rPr>
          <w:lang w:val="sl-SI"/>
        </w:rPr>
        <w:t xml:space="preserve">z zasebnimi partnerji, kar bi </w:t>
      </w:r>
      <w:r w:rsidR="00B005EB" w:rsidRPr="00AC72A8">
        <w:rPr>
          <w:lang w:val="sl-SI"/>
        </w:rPr>
        <w:t xml:space="preserve">nam </w:t>
      </w:r>
      <w:r w:rsidR="00781D85" w:rsidRPr="00AC72A8">
        <w:rPr>
          <w:lang w:val="sl-SI"/>
        </w:rPr>
        <w:t xml:space="preserve">lahko </w:t>
      </w:r>
      <w:r w:rsidR="00B005EB" w:rsidRPr="00AC72A8">
        <w:rPr>
          <w:lang w:val="sl-SI"/>
        </w:rPr>
        <w:t xml:space="preserve">dalo dodaten vpogled v </w:t>
      </w:r>
      <w:r w:rsidR="00E72BC6" w:rsidRPr="00AC72A8">
        <w:rPr>
          <w:lang w:val="sl-SI"/>
        </w:rPr>
        <w:t xml:space="preserve">samo </w:t>
      </w:r>
      <w:r w:rsidR="00B005EB" w:rsidRPr="00AC72A8">
        <w:rPr>
          <w:lang w:val="sl-SI"/>
        </w:rPr>
        <w:t>izvedb</w:t>
      </w:r>
      <w:r w:rsidR="00E72BC6" w:rsidRPr="00AC72A8">
        <w:rPr>
          <w:lang w:val="sl-SI"/>
        </w:rPr>
        <w:t>o obravnavanih</w:t>
      </w:r>
      <w:r w:rsidR="00B005EB" w:rsidRPr="00AC72A8">
        <w:rPr>
          <w:lang w:val="sl-SI"/>
        </w:rPr>
        <w:t xml:space="preserve"> JZP</w:t>
      </w:r>
      <w:r w:rsidR="00DB4066" w:rsidRPr="00AC72A8">
        <w:rPr>
          <w:lang w:val="sl-SI"/>
        </w:rPr>
        <w:t xml:space="preserve">. </w:t>
      </w:r>
      <w:r w:rsidR="00BD6B67" w:rsidRPr="00AC72A8">
        <w:rPr>
          <w:lang w:val="sl-SI"/>
        </w:rPr>
        <w:t>To bi bilo morda s</w:t>
      </w:r>
      <w:r w:rsidR="00B005EB" w:rsidRPr="00AC72A8">
        <w:rPr>
          <w:lang w:val="sl-SI"/>
        </w:rPr>
        <w:t>miselno izvesti pri naslednjem vrednotenju</w:t>
      </w:r>
      <w:r w:rsidR="00B005EB">
        <w:rPr>
          <w:lang w:val="sl-SI"/>
        </w:rPr>
        <w:t xml:space="preserve">. </w:t>
      </w:r>
    </w:p>
    <w:p w14:paraId="171E95B2" w14:textId="77777777" w:rsidR="0047407A" w:rsidRDefault="0047407A" w:rsidP="004F1B6F">
      <w:pPr>
        <w:rPr>
          <w:lang w:val="sl-SI"/>
        </w:rPr>
      </w:pPr>
    </w:p>
    <w:p w14:paraId="21CE568A" w14:textId="77777777" w:rsidR="0094034A" w:rsidRPr="004F1B6F" w:rsidRDefault="0094034A" w:rsidP="004F1B6F">
      <w:pPr>
        <w:rPr>
          <w:lang w:val="sl-SI"/>
        </w:rPr>
      </w:pPr>
    </w:p>
    <w:p w14:paraId="55B30B71" w14:textId="66211BB8" w:rsidR="00FC410D" w:rsidRPr="00267174" w:rsidRDefault="004F1B6F" w:rsidP="004F1B6F">
      <w:pPr>
        <w:pStyle w:val="Naslov2"/>
        <w:rPr>
          <w:b/>
          <w:bCs/>
          <w:lang w:val="sl-SI"/>
        </w:rPr>
      </w:pPr>
      <w:bookmarkStart w:id="303" w:name="_Toc136287597"/>
      <w:r w:rsidRPr="00267174">
        <w:rPr>
          <w:b/>
          <w:bCs/>
          <w:lang w:val="sl-SI"/>
        </w:rPr>
        <w:t>Kakšna je pričakovana trajnost doseženih rezultatov izbranih operacij za A in B?</w:t>
      </w:r>
      <w:bookmarkEnd w:id="303"/>
    </w:p>
    <w:p w14:paraId="070D51E8" w14:textId="77777777" w:rsidR="006B44C0" w:rsidRDefault="006B44C0" w:rsidP="00E2503F">
      <w:pPr>
        <w:rPr>
          <w:lang w:val="sl-SI"/>
        </w:rPr>
      </w:pPr>
    </w:p>
    <w:p w14:paraId="59A587FB" w14:textId="77777777" w:rsidR="0047407A" w:rsidRDefault="0047407A" w:rsidP="0047407A">
      <w:pPr>
        <w:rPr>
          <w:lang w:val="sl-SI"/>
        </w:rPr>
      </w:pPr>
    </w:p>
    <w:p w14:paraId="3E5E7E94" w14:textId="77777777" w:rsidR="0047407A" w:rsidRPr="00794E6E" w:rsidRDefault="0047407A" w:rsidP="0047407A">
      <w:pPr>
        <w:pStyle w:val="Naslov3"/>
      </w:pPr>
      <w:bookmarkStart w:id="304" w:name="_Toc131458223"/>
      <w:bookmarkStart w:id="305" w:name="_Toc136287598"/>
      <w:r>
        <w:rPr>
          <w:noProof/>
        </w:rPr>
        <w:drawing>
          <wp:anchor distT="0" distB="0" distL="114300" distR="114300" simplePos="0" relativeHeight="251658274" behindDoc="1" locked="0" layoutInCell="1" allowOverlap="1" wp14:anchorId="3B0593A0" wp14:editId="5FFD2C6D">
            <wp:simplePos x="0" y="0"/>
            <wp:positionH relativeFrom="column">
              <wp:posOffset>-451485</wp:posOffset>
            </wp:positionH>
            <wp:positionV relativeFrom="paragraph">
              <wp:posOffset>30429</wp:posOffset>
            </wp:positionV>
            <wp:extent cx="324000" cy="324000"/>
            <wp:effectExtent l="0" t="0" r="6350" b="0"/>
            <wp:wrapTight wrapText="bothSides">
              <wp:wrapPolygon edited="0">
                <wp:start x="1694" y="847"/>
                <wp:lineTo x="847" y="6776"/>
                <wp:lineTo x="847" y="16094"/>
                <wp:lineTo x="2541" y="20329"/>
                <wp:lineTo x="19482" y="20329"/>
                <wp:lineTo x="21176" y="8471"/>
                <wp:lineTo x="19482" y="3388"/>
                <wp:lineTo x="16094" y="847"/>
                <wp:lineTo x="1694" y="847"/>
              </wp:wrapPolygon>
            </wp:wrapTight>
            <wp:docPr id="41" name="Grafika 41" descr="Tic Tac To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ic Tac Toe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r w:rsidRPr="00794E6E">
        <w:t>Pristop in metodološka orodja</w:t>
      </w:r>
      <w:bookmarkEnd w:id="304"/>
      <w:bookmarkEnd w:id="305"/>
    </w:p>
    <w:p w14:paraId="48E977F0" w14:textId="77777777" w:rsidR="00F41B75" w:rsidRDefault="00F41B75" w:rsidP="00F41B75">
      <w:pPr>
        <w:rPr>
          <w:lang w:val="sl-SI"/>
        </w:rPr>
      </w:pPr>
      <w:r w:rsidRPr="00E96BFA">
        <w:rPr>
          <w:lang w:val="sl-SI"/>
        </w:rPr>
        <w:t>Odgovor na navedeno vprašanje s</w:t>
      </w:r>
      <w:r>
        <w:rPr>
          <w:lang w:val="sl-SI"/>
        </w:rPr>
        <w:t xml:space="preserve">mo </w:t>
      </w:r>
      <w:r w:rsidRPr="00E96BFA">
        <w:rPr>
          <w:lang w:val="sl-SI"/>
        </w:rPr>
        <w:t>pridob</w:t>
      </w:r>
      <w:r>
        <w:rPr>
          <w:lang w:val="sl-SI"/>
        </w:rPr>
        <w:t xml:space="preserve">ili z </w:t>
      </w:r>
      <w:r w:rsidRPr="00E96BFA">
        <w:rPr>
          <w:lang w:val="sl-SI"/>
        </w:rPr>
        <w:t xml:space="preserve">uporabo </w:t>
      </w:r>
      <w:r>
        <w:rPr>
          <w:lang w:val="sl-SI"/>
        </w:rPr>
        <w:t xml:space="preserve">naslednjih metodoloških orodij: </w:t>
      </w:r>
      <w:r w:rsidRPr="0058617C">
        <w:rPr>
          <w:lang w:val="sl-SI"/>
        </w:rPr>
        <w:t>»analiza dokumentacije«</w:t>
      </w:r>
      <w:r>
        <w:rPr>
          <w:lang w:val="sl-SI"/>
        </w:rPr>
        <w:t xml:space="preserve"> (analiza vlog in operacij), </w:t>
      </w:r>
      <w:r w:rsidRPr="00E96BFA">
        <w:rPr>
          <w:lang w:val="sl-SI"/>
        </w:rPr>
        <w:t>»an</w:t>
      </w:r>
      <w:r>
        <w:rPr>
          <w:lang w:val="sl-SI"/>
        </w:rPr>
        <w:t xml:space="preserve">keta« in »strukturiran intervju«. </w:t>
      </w:r>
    </w:p>
    <w:p w14:paraId="78B54B94" w14:textId="77777777" w:rsidR="004C3586" w:rsidRDefault="004C3586" w:rsidP="00F41B75">
      <w:pPr>
        <w:rPr>
          <w:lang w:val="sl-SI"/>
        </w:rPr>
      </w:pPr>
    </w:p>
    <w:p w14:paraId="1A24DAEE" w14:textId="19956381" w:rsidR="0047407A" w:rsidRDefault="0047407A" w:rsidP="0047407A">
      <w:pPr>
        <w:rPr>
          <w:lang w:val="hr-HR"/>
        </w:rPr>
      </w:pPr>
      <w:r>
        <w:rPr>
          <w:noProof/>
          <w:lang w:val="sl-SI"/>
        </w:rPr>
        <w:lastRenderedPageBreak/>
        <w:drawing>
          <wp:anchor distT="0" distB="0" distL="114300" distR="114300" simplePos="0" relativeHeight="251658275" behindDoc="1" locked="0" layoutInCell="1" allowOverlap="1" wp14:anchorId="0E9E407F" wp14:editId="681CF504">
            <wp:simplePos x="0" y="0"/>
            <wp:positionH relativeFrom="column">
              <wp:posOffset>-457835</wp:posOffset>
            </wp:positionH>
            <wp:positionV relativeFrom="paragraph">
              <wp:posOffset>231775</wp:posOffset>
            </wp:positionV>
            <wp:extent cx="323850" cy="323850"/>
            <wp:effectExtent l="0" t="0" r="0" b="0"/>
            <wp:wrapTight wrapText="bothSides">
              <wp:wrapPolygon edited="0">
                <wp:start x="2541" y="847"/>
                <wp:lineTo x="2541" y="18635"/>
                <wp:lineTo x="3388" y="20329"/>
                <wp:lineTo x="19482" y="20329"/>
                <wp:lineTo x="19482" y="847"/>
                <wp:lineTo x="2541" y="847"/>
              </wp:wrapPolygon>
            </wp:wrapTight>
            <wp:docPr id="42" name="Grafika 42" descr="Play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layboo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p w14:paraId="3ED60C64" w14:textId="77777777" w:rsidR="0047407A" w:rsidRDefault="0047407A" w:rsidP="0047407A">
      <w:pPr>
        <w:pStyle w:val="Naslov3"/>
      </w:pPr>
      <w:bookmarkStart w:id="306" w:name="_Toc131458224"/>
      <w:bookmarkStart w:id="307" w:name="_Toc136287599"/>
      <w:r>
        <w:t>Ključne ugotovitve in odgovor na vprašanje vrednotenja</w:t>
      </w:r>
      <w:bookmarkEnd w:id="306"/>
      <w:bookmarkEnd w:id="307"/>
      <w:r>
        <w:t xml:space="preserve"> </w:t>
      </w:r>
    </w:p>
    <w:p w14:paraId="6DE88FBF" w14:textId="77777777" w:rsidR="00683DEC" w:rsidRDefault="006E7405" w:rsidP="0047407A">
      <w:pPr>
        <w:rPr>
          <w:lang w:val="sl-SI"/>
        </w:rPr>
      </w:pPr>
      <w:r>
        <w:rPr>
          <w:lang w:val="sl-SI"/>
        </w:rPr>
        <w:t xml:space="preserve">Na odgovor, kakšna je pričakovana trajnost doseženih rezultatov izbranih operacij, smo tako od Upravičencev A kot </w:t>
      </w:r>
      <w:r w:rsidR="00B707A9">
        <w:rPr>
          <w:lang w:val="sl-SI"/>
        </w:rPr>
        <w:t>U</w:t>
      </w:r>
      <w:r>
        <w:rPr>
          <w:lang w:val="sl-SI"/>
        </w:rPr>
        <w:t xml:space="preserve">pravičencev B dobili </w:t>
      </w:r>
      <w:r w:rsidR="00B707A9">
        <w:rPr>
          <w:lang w:val="sl-SI"/>
        </w:rPr>
        <w:t>podoben</w:t>
      </w:r>
      <w:r>
        <w:rPr>
          <w:lang w:val="sl-SI"/>
        </w:rPr>
        <w:t xml:space="preserve"> odgovor, in sicer</w:t>
      </w:r>
      <w:r w:rsidR="00DA0760">
        <w:rPr>
          <w:lang w:val="sl-SI"/>
        </w:rPr>
        <w:t xml:space="preserve"> je prevladujoč odgovor, da je trajnost doseženih rezultatov operacij </w:t>
      </w:r>
      <w:r w:rsidR="00B707A9">
        <w:rPr>
          <w:lang w:val="sl-SI"/>
        </w:rPr>
        <w:t>dolgoročna</w:t>
      </w:r>
      <w:r w:rsidR="00DA0760">
        <w:rPr>
          <w:lang w:val="sl-SI"/>
        </w:rPr>
        <w:t xml:space="preserve"> (nad 10 let). Pri </w:t>
      </w:r>
      <w:r w:rsidR="00ED154D">
        <w:rPr>
          <w:lang w:val="sl-SI"/>
        </w:rPr>
        <w:t>U</w:t>
      </w:r>
      <w:r w:rsidR="00DA0760">
        <w:rPr>
          <w:lang w:val="sl-SI"/>
        </w:rPr>
        <w:t xml:space="preserve">pravičencih </w:t>
      </w:r>
      <w:r w:rsidR="00ED154D">
        <w:rPr>
          <w:lang w:val="sl-SI"/>
        </w:rPr>
        <w:t xml:space="preserve">A jih je </w:t>
      </w:r>
      <w:r w:rsidR="00A54F34">
        <w:rPr>
          <w:lang w:val="sl-SI"/>
        </w:rPr>
        <w:t xml:space="preserve">tako odgovorilo </w:t>
      </w:r>
      <w:r w:rsidR="00ED154D">
        <w:rPr>
          <w:lang w:val="sl-SI"/>
        </w:rPr>
        <w:t xml:space="preserve">kar 60%, </w:t>
      </w:r>
      <w:r w:rsidR="00162F14">
        <w:rPr>
          <w:lang w:val="sl-SI"/>
        </w:rPr>
        <w:t xml:space="preserve">30% jih je odgovorilo, da je </w:t>
      </w:r>
      <w:r w:rsidR="00A54F34">
        <w:rPr>
          <w:lang w:val="sl-SI"/>
        </w:rPr>
        <w:t xml:space="preserve">pričakovana trajnost doseženih rezultatov </w:t>
      </w:r>
      <w:r w:rsidR="00162F14">
        <w:rPr>
          <w:lang w:val="sl-SI"/>
        </w:rPr>
        <w:t xml:space="preserve">srednjeročna (med 5 in 10 let), medtem ko jih je 10% odgovorilo, da </w:t>
      </w:r>
      <w:r w:rsidR="000A68BC">
        <w:rPr>
          <w:lang w:val="sl-SI"/>
        </w:rPr>
        <w:t xml:space="preserve">je kratkoročna (do 5 let). </w:t>
      </w:r>
      <w:r w:rsidR="00ED154D">
        <w:rPr>
          <w:lang w:val="sl-SI"/>
        </w:rPr>
        <w:t xml:space="preserve"> </w:t>
      </w:r>
      <w:r w:rsidR="00A54F34">
        <w:rPr>
          <w:lang w:val="sl-SI"/>
        </w:rPr>
        <w:t xml:space="preserve">Upravičenci B so vsi odgovorili, da </w:t>
      </w:r>
      <w:r w:rsidR="002010A9">
        <w:rPr>
          <w:lang w:val="sl-SI"/>
        </w:rPr>
        <w:t xml:space="preserve">je pričakovana trajnost doseženih rezultatov operacij dolgoročna (nad 10 let). </w:t>
      </w:r>
    </w:p>
    <w:p w14:paraId="34A62CA0" w14:textId="721A2AAB" w:rsidR="0047407A" w:rsidRDefault="002010A9" w:rsidP="0047407A">
      <w:pPr>
        <w:rPr>
          <w:lang w:val="sl-SI"/>
        </w:rPr>
      </w:pPr>
      <w:r>
        <w:rPr>
          <w:lang w:val="sl-SI"/>
        </w:rPr>
        <w:t>Slednje s</w:t>
      </w:r>
      <w:r w:rsidR="00683DEC">
        <w:rPr>
          <w:lang w:val="sl-SI"/>
        </w:rPr>
        <w:t>e odraža tudi v odgovor</w:t>
      </w:r>
      <w:r w:rsidR="00305E87">
        <w:rPr>
          <w:lang w:val="sl-SI"/>
        </w:rPr>
        <w:t>ih na vprašanje</w:t>
      </w:r>
      <w:r w:rsidR="00E35B53">
        <w:rPr>
          <w:lang w:val="sl-SI"/>
        </w:rPr>
        <w:t xml:space="preserve">, kako upravičenci ocenjujejo povprečno </w:t>
      </w:r>
      <w:r w:rsidR="001B6702">
        <w:rPr>
          <w:lang w:val="sl-SI"/>
        </w:rPr>
        <w:t xml:space="preserve">življenjsko </w:t>
      </w:r>
      <w:r w:rsidR="00E35B53">
        <w:rPr>
          <w:lang w:val="sl-SI"/>
        </w:rPr>
        <w:t xml:space="preserve">dobo realiziranih prenov v letih. Upravičenci </w:t>
      </w:r>
      <w:r w:rsidR="00AE52AE">
        <w:rPr>
          <w:lang w:val="sl-SI"/>
        </w:rPr>
        <w:t>A</w:t>
      </w:r>
      <w:r w:rsidR="00E35B53">
        <w:rPr>
          <w:lang w:val="sl-SI"/>
        </w:rPr>
        <w:t xml:space="preserve"> v povprečju s kar </w:t>
      </w:r>
      <w:r w:rsidR="00906654">
        <w:rPr>
          <w:lang w:val="sl-SI"/>
        </w:rPr>
        <w:t>15,5 let (minimum 5, maksimum 30)</w:t>
      </w:r>
      <w:r w:rsidR="00AE52AE">
        <w:rPr>
          <w:lang w:val="sl-SI"/>
        </w:rPr>
        <w:t xml:space="preserve">, upravičenci B pa vsi </w:t>
      </w:r>
      <w:r w:rsidR="00F12657">
        <w:rPr>
          <w:lang w:val="sl-SI"/>
        </w:rPr>
        <w:t>med</w:t>
      </w:r>
      <w:r w:rsidR="00AE52AE">
        <w:rPr>
          <w:lang w:val="sl-SI"/>
        </w:rPr>
        <w:t xml:space="preserve"> 10 </w:t>
      </w:r>
      <w:r w:rsidR="00F12657">
        <w:rPr>
          <w:lang w:val="sl-SI"/>
        </w:rPr>
        <w:t xml:space="preserve">in 15 </w:t>
      </w:r>
      <w:r w:rsidR="00AE52AE">
        <w:rPr>
          <w:lang w:val="sl-SI"/>
        </w:rPr>
        <w:t>let.</w:t>
      </w:r>
      <w:r w:rsidR="00F12657">
        <w:rPr>
          <w:lang w:val="sl-SI"/>
        </w:rPr>
        <w:t xml:space="preserve"> Predvsem so izpostavili, da je pozitiv</w:t>
      </w:r>
      <w:r w:rsidR="004225AA">
        <w:rPr>
          <w:lang w:val="sl-SI"/>
        </w:rPr>
        <w:t>en vidik JZP ravno v obveznosti koncesionarja, da vzdržuje in nadomešča vgrajeno opremo</w:t>
      </w:r>
      <w:r w:rsidR="00F041FB">
        <w:rPr>
          <w:lang w:val="sl-SI"/>
        </w:rPr>
        <w:t xml:space="preserve">, kar z vidika upravičencev pomeni, da je trajnost </w:t>
      </w:r>
      <w:r w:rsidR="00A70DEC">
        <w:rPr>
          <w:lang w:val="sl-SI"/>
        </w:rPr>
        <w:t>posamezne opreme podaljšana</w:t>
      </w:r>
      <w:r w:rsidR="00F041FB">
        <w:rPr>
          <w:lang w:val="sl-SI"/>
        </w:rPr>
        <w:t xml:space="preserve">. </w:t>
      </w:r>
      <w:r w:rsidR="004225AA">
        <w:rPr>
          <w:lang w:val="sl-SI"/>
        </w:rPr>
        <w:t xml:space="preserve"> </w:t>
      </w:r>
      <w:r w:rsidR="00AE52AE">
        <w:rPr>
          <w:lang w:val="sl-SI"/>
        </w:rPr>
        <w:t xml:space="preserve"> </w:t>
      </w:r>
    </w:p>
    <w:p w14:paraId="660AB6DC" w14:textId="77777777" w:rsidR="0047407A" w:rsidRDefault="0047407A" w:rsidP="0047407A">
      <w:pPr>
        <w:rPr>
          <w:lang w:val="sl-SI"/>
        </w:rPr>
      </w:pPr>
      <w:r>
        <w:rPr>
          <w:noProof/>
          <w:lang w:val="sl-SI"/>
        </w:rPr>
        <w:drawing>
          <wp:anchor distT="0" distB="0" distL="114300" distR="114300" simplePos="0" relativeHeight="251658277" behindDoc="1" locked="0" layoutInCell="1" allowOverlap="1" wp14:anchorId="39F09317" wp14:editId="5D479DC3">
            <wp:simplePos x="0" y="0"/>
            <wp:positionH relativeFrom="column">
              <wp:posOffset>-457200</wp:posOffset>
            </wp:positionH>
            <wp:positionV relativeFrom="paragraph">
              <wp:posOffset>163830</wp:posOffset>
            </wp:positionV>
            <wp:extent cx="324000" cy="324000"/>
            <wp:effectExtent l="0" t="0" r="0" b="0"/>
            <wp:wrapTight wrapText="bothSides">
              <wp:wrapPolygon edited="0">
                <wp:start x="8471" y="847"/>
                <wp:lineTo x="4235" y="4235"/>
                <wp:lineTo x="1694" y="10165"/>
                <wp:lineTo x="3388" y="16094"/>
                <wp:lineTo x="8471" y="20329"/>
                <wp:lineTo x="12706" y="20329"/>
                <wp:lineTo x="17788" y="16094"/>
                <wp:lineTo x="20329" y="10165"/>
                <wp:lineTo x="17788" y="5082"/>
                <wp:lineTo x="12706" y="847"/>
                <wp:lineTo x="8471" y="847"/>
              </wp:wrapPolygon>
            </wp:wrapTight>
            <wp:docPr id="43" name="Grafika 43"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p comp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441613BA" w14:textId="77777777" w:rsidR="0047407A" w:rsidRDefault="0047407A" w:rsidP="0047407A">
      <w:pPr>
        <w:pStyle w:val="Naslov3"/>
      </w:pPr>
      <w:bookmarkStart w:id="308" w:name="_Toc131458225"/>
      <w:bookmarkStart w:id="309" w:name="_Toc136287600"/>
      <w:r>
        <w:t>Priporočila</w:t>
      </w:r>
      <w:bookmarkEnd w:id="308"/>
      <w:bookmarkEnd w:id="309"/>
    </w:p>
    <w:p w14:paraId="2A4F69A7" w14:textId="77777777" w:rsidR="00BD6B67" w:rsidRDefault="00BD6B67" w:rsidP="00BD6B67">
      <w:pPr>
        <w:rPr>
          <w:lang w:val="sl-SI"/>
        </w:rPr>
      </w:pPr>
      <w:r>
        <w:rPr>
          <w:lang w:val="sl-SI"/>
        </w:rPr>
        <w:t xml:space="preserve">V tem delu ob pripravi osnutka končnega poročila nimamo priporočil. </w:t>
      </w:r>
    </w:p>
    <w:p w14:paraId="72944F7F" w14:textId="77777777" w:rsidR="0047407A" w:rsidRDefault="0047407A" w:rsidP="0047407A">
      <w:pPr>
        <w:rPr>
          <w:lang w:val="sl-SI"/>
        </w:rPr>
      </w:pPr>
      <w:r>
        <w:rPr>
          <w:noProof/>
          <w:lang w:val="sl-SI"/>
        </w:rPr>
        <w:drawing>
          <wp:anchor distT="0" distB="0" distL="114300" distR="114300" simplePos="0" relativeHeight="251658276" behindDoc="1" locked="0" layoutInCell="1" allowOverlap="1" wp14:anchorId="1F7C3BD3" wp14:editId="7C0FDC66">
            <wp:simplePos x="0" y="0"/>
            <wp:positionH relativeFrom="column">
              <wp:posOffset>-460375</wp:posOffset>
            </wp:positionH>
            <wp:positionV relativeFrom="paragraph">
              <wp:posOffset>201295</wp:posOffset>
            </wp:positionV>
            <wp:extent cx="324000" cy="324000"/>
            <wp:effectExtent l="0" t="0" r="0" b="6350"/>
            <wp:wrapTight wrapText="bothSides">
              <wp:wrapPolygon edited="0">
                <wp:start x="15247" y="0"/>
                <wp:lineTo x="5929" y="2541"/>
                <wp:lineTo x="0" y="7624"/>
                <wp:lineTo x="847" y="15247"/>
                <wp:lineTo x="5082" y="19482"/>
                <wp:lineTo x="5929" y="21176"/>
                <wp:lineTo x="14400" y="21176"/>
                <wp:lineTo x="15247" y="19482"/>
                <wp:lineTo x="19482" y="15247"/>
                <wp:lineTo x="20329" y="4235"/>
                <wp:lineTo x="18635" y="0"/>
                <wp:lineTo x="15247" y="0"/>
              </wp:wrapPolygon>
            </wp:wrapTight>
            <wp:docPr id="44" name="Grafika 44"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ullsey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3EBAA3BD" w14:textId="77777777" w:rsidR="0047407A" w:rsidRDefault="0047407A" w:rsidP="0047407A">
      <w:pPr>
        <w:pStyle w:val="Naslov3"/>
      </w:pPr>
      <w:bookmarkStart w:id="310" w:name="_Toc131458226"/>
      <w:bookmarkStart w:id="311" w:name="_Toc136287601"/>
      <w:r>
        <w:t>Izzivi in omejitve</w:t>
      </w:r>
      <w:bookmarkEnd w:id="310"/>
      <w:bookmarkEnd w:id="311"/>
      <w:r>
        <w:t xml:space="preserve"> </w:t>
      </w:r>
    </w:p>
    <w:p w14:paraId="19285305" w14:textId="50AAACC3" w:rsidR="0047407A" w:rsidRDefault="00BD6B67" w:rsidP="0047407A">
      <w:pPr>
        <w:rPr>
          <w:lang w:val="sl-SI"/>
        </w:rPr>
      </w:pPr>
      <w:r>
        <w:rPr>
          <w:lang w:val="sl-SI"/>
        </w:rPr>
        <w:t>Pri pripravi odgovora nismo imeli izzivov kot tudi nobenih omejitev.</w:t>
      </w:r>
    </w:p>
    <w:p w14:paraId="635D77C7" w14:textId="77777777" w:rsidR="006461B2" w:rsidRPr="0011547F" w:rsidRDefault="006461B2" w:rsidP="0047407A">
      <w:pPr>
        <w:rPr>
          <w:lang w:val="sl-SI"/>
        </w:rPr>
      </w:pPr>
    </w:p>
    <w:p w14:paraId="7AAEF487" w14:textId="77777777" w:rsidR="00E2503F" w:rsidRPr="006461B2" w:rsidRDefault="00E2503F" w:rsidP="00E2503F">
      <w:pPr>
        <w:pStyle w:val="Naslov2"/>
        <w:rPr>
          <w:b/>
          <w:bCs/>
          <w:lang w:val="sl-SI"/>
        </w:rPr>
      </w:pPr>
      <w:bookmarkStart w:id="312" w:name="_Toc136287602"/>
      <w:r w:rsidRPr="006461B2">
        <w:rPr>
          <w:b/>
          <w:bCs/>
          <w:lang w:val="sl-SI"/>
        </w:rPr>
        <w:t>Kateri so primeri dobrih praks in koristne pridobljene izkušnje za A in B?</w:t>
      </w:r>
      <w:bookmarkEnd w:id="312"/>
    </w:p>
    <w:p w14:paraId="24E7E910" w14:textId="77777777" w:rsidR="00E2503F" w:rsidRDefault="00E2503F" w:rsidP="00E2503F">
      <w:pPr>
        <w:rPr>
          <w:lang w:val="sl-SI"/>
        </w:rPr>
      </w:pPr>
    </w:p>
    <w:p w14:paraId="6FE4D4C4" w14:textId="77777777" w:rsidR="00E2503F" w:rsidRPr="00794E6E" w:rsidRDefault="00E2503F" w:rsidP="00E2503F">
      <w:pPr>
        <w:pStyle w:val="Naslov3"/>
      </w:pPr>
      <w:bookmarkStart w:id="313" w:name="_Toc131352166"/>
      <w:bookmarkStart w:id="314" w:name="_Toc131458228"/>
      <w:bookmarkStart w:id="315" w:name="_Toc136287603"/>
      <w:r>
        <w:rPr>
          <w:noProof/>
        </w:rPr>
        <w:drawing>
          <wp:anchor distT="0" distB="0" distL="114300" distR="114300" simplePos="0" relativeHeight="251658257" behindDoc="1" locked="0" layoutInCell="1" allowOverlap="1" wp14:anchorId="596FDCF3" wp14:editId="337C3C55">
            <wp:simplePos x="0" y="0"/>
            <wp:positionH relativeFrom="column">
              <wp:posOffset>-451485</wp:posOffset>
            </wp:positionH>
            <wp:positionV relativeFrom="paragraph">
              <wp:posOffset>30429</wp:posOffset>
            </wp:positionV>
            <wp:extent cx="324000" cy="324000"/>
            <wp:effectExtent l="0" t="0" r="6350" b="0"/>
            <wp:wrapTight wrapText="bothSides">
              <wp:wrapPolygon edited="0">
                <wp:start x="1694" y="847"/>
                <wp:lineTo x="847" y="6776"/>
                <wp:lineTo x="847" y="16094"/>
                <wp:lineTo x="2541" y="20329"/>
                <wp:lineTo x="19482" y="20329"/>
                <wp:lineTo x="21176" y="8471"/>
                <wp:lineTo x="19482" y="3388"/>
                <wp:lineTo x="16094" y="847"/>
                <wp:lineTo x="1694" y="847"/>
              </wp:wrapPolygon>
            </wp:wrapTight>
            <wp:docPr id="20" name="Grafika 20" descr="Tic Tac To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Tic Tac Toe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r w:rsidRPr="00794E6E">
        <w:t>Pristop in metodološka orodja</w:t>
      </w:r>
      <w:bookmarkEnd w:id="313"/>
      <w:bookmarkEnd w:id="314"/>
      <w:bookmarkEnd w:id="315"/>
    </w:p>
    <w:p w14:paraId="38C347C2" w14:textId="48883400" w:rsidR="00E2503F" w:rsidRPr="00001474" w:rsidRDefault="006461B2" w:rsidP="00E2503F">
      <w:pPr>
        <w:rPr>
          <w:lang w:val="sl-SI"/>
        </w:rPr>
      </w:pPr>
      <w:r w:rsidRPr="006461B2">
        <w:rPr>
          <w:lang w:val="sl-SI"/>
        </w:rPr>
        <w:t xml:space="preserve">Odgovor na navedeno vprašanje smo </w:t>
      </w:r>
      <w:r>
        <w:rPr>
          <w:lang w:val="sl-SI"/>
        </w:rPr>
        <w:t>pripravili na podlagi m</w:t>
      </w:r>
      <w:r w:rsidRPr="006461B2">
        <w:rPr>
          <w:lang w:val="sl-SI"/>
        </w:rPr>
        <w:t>etodološk</w:t>
      </w:r>
      <w:r>
        <w:rPr>
          <w:lang w:val="sl-SI"/>
        </w:rPr>
        <w:t xml:space="preserve">ega </w:t>
      </w:r>
      <w:r w:rsidRPr="006461B2">
        <w:rPr>
          <w:lang w:val="sl-SI"/>
        </w:rPr>
        <w:t>orodj</w:t>
      </w:r>
      <w:r>
        <w:rPr>
          <w:lang w:val="sl-SI"/>
        </w:rPr>
        <w:t>a</w:t>
      </w:r>
      <w:r w:rsidRPr="006461B2">
        <w:rPr>
          <w:lang w:val="sl-SI"/>
        </w:rPr>
        <w:t xml:space="preserve"> »analiza dokumentacije«</w:t>
      </w:r>
      <w:r w:rsidR="003102F4">
        <w:rPr>
          <w:lang w:val="sl-SI"/>
        </w:rPr>
        <w:t xml:space="preserve">. Pregledali smo </w:t>
      </w:r>
      <w:r w:rsidR="00E2503F">
        <w:rPr>
          <w:lang w:val="sl-SI"/>
        </w:rPr>
        <w:t xml:space="preserve">poročila EK </w:t>
      </w:r>
      <w:r w:rsidR="003102F4">
        <w:rPr>
          <w:lang w:val="sl-SI"/>
        </w:rPr>
        <w:t xml:space="preserve">in posamezne </w:t>
      </w:r>
      <w:r w:rsidR="00E2503F">
        <w:rPr>
          <w:lang w:val="sl-SI"/>
        </w:rPr>
        <w:t xml:space="preserve">strategije </w:t>
      </w:r>
      <w:r w:rsidR="003102F4">
        <w:rPr>
          <w:lang w:val="sl-SI"/>
        </w:rPr>
        <w:t xml:space="preserve">energetske </w:t>
      </w:r>
      <w:r w:rsidR="00E2503F">
        <w:rPr>
          <w:lang w:val="sl-SI"/>
        </w:rPr>
        <w:t xml:space="preserve">prenove stavb </w:t>
      </w:r>
      <w:r w:rsidR="00AC292E">
        <w:rPr>
          <w:lang w:val="sl-SI"/>
        </w:rPr>
        <w:t xml:space="preserve">v </w:t>
      </w:r>
      <w:r w:rsidR="00E2503F">
        <w:rPr>
          <w:lang w:val="sl-SI"/>
        </w:rPr>
        <w:t>držav</w:t>
      </w:r>
      <w:r w:rsidR="00AC292E">
        <w:rPr>
          <w:lang w:val="sl-SI"/>
        </w:rPr>
        <w:t>ah</w:t>
      </w:r>
      <w:r w:rsidR="00E2503F">
        <w:rPr>
          <w:lang w:val="sl-SI"/>
        </w:rPr>
        <w:t xml:space="preserve">, ki so </w:t>
      </w:r>
      <w:r w:rsidR="003102F4">
        <w:rPr>
          <w:lang w:val="sl-SI"/>
        </w:rPr>
        <w:t xml:space="preserve">bile </w:t>
      </w:r>
      <w:r w:rsidR="00E2503F">
        <w:rPr>
          <w:lang w:val="sl-SI"/>
        </w:rPr>
        <w:t>identificirane kot dobr</w:t>
      </w:r>
      <w:r w:rsidR="00AC292E">
        <w:rPr>
          <w:lang w:val="sl-SI"/>
        </w:rPr>
        <w:t xml:space="preserve">e </w:t>
      </w:r>
      <w:r w:rsidR="00E2503F">
        <w:rPr>
          <w:lang w:val="sl-SI"/>
        </w:rPr>
        <w:t>praks</w:t>
      </w:r>
      <w:r w:rsidR="00AC292E">
        <w:rPr>
          <w:lang w:val="sl-SI"/>
        </w:rPr>
        <w:t>e</w:t>
      </w:r>
      <w:r w:rsidR="00E2503F">
        <w:rPr>
          <w:lang w:val="sl-SI"/>
        </w:rPr>
        <w:t xml:space="preserve">. Povzetek </w:t>
      </w:r>
      <w:r w:rsidR="003102F4">
        <w:rPr>
          <w:lang w:val="sl-SI"/>
        </w:rPr>
        <w:t xml:space="preserve">analize je predstavljen v nadaljevanju. </w:t>
      </w:r>
      <w:r w:rsidR="00E2503F">
        <w:rPr>
          <w:lang w:val="sl-SI"/>
        </w:rPr>
        <w:t xml:space="preserve"> </w:t>
      </w:r>
    </w:p>
    <w:p w14:paraId="36A4AE53" w14:textId="77777777" w:rsidR="00E2503F" w:rsidRDefault="00E2503F" w:rsidP="00E2503F">
      <w:pPr>
        <w:rPr>
          <w:lang w:val="hr-HR"/>
        </w:rPr>
      </w:pPr>
      <w:r>
        <w:rPr>
          <w:noProof/>
          <w:lang w:val="sl-SI"/>
        </w:rPr>
        <w:drawing>
          <wp:anchor distT="0" distB="0" distL="114300" distR="114300" simplePos="0" relativeHeight="251658258" behindDoc="1" locked="0" layoutInCell="1" allowOverlap="1" wp14:anchorId="40234B7E" wp14:editId="2513E69C">
            <wp:simplePos x="0" y="0"/>
            <wp:positionH relativeFrom="column">
              <wp:posOffset>-457835</wp:posOffset>
            </wp:positionH>
            <wp:positionV relativeFrom="paragraph">
              <wp:posOffset>231775</wp:posOffset>
            </wp:positionV>
            <wp:extent cx="323850" cy="323850"/>
            <wp:effectExtent l="0" t="0" r="0" b="0"/>
            <wp:wrapTight wrapText="bothSides">
              <wp:wrapPolygon edited="0">
                <wp:start x="2541" y="847"/>
                <wp:lineTo x="2541" y="18635"/>
                <wp:lineTo x="3388" y="20329"/>
                <wp:lineTo x="19482" y="20329"/>
                <wp:lineTo x="19482" y="847"/>
                <wp:lineTo x="2541" y="847"/>
              </wp:wrapPolygon>
            </wp:wrapTight>
            <wp:docPr id="25" name="Grafika 25" descr="Play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laybook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p w14:paraId="66C07F9D" w14:textId="77777777" w:rsidR="00E2503F" w:rsidRDefault="00E2503F" w:rsidP="00E2503F">
      <w:pPr>
        <w:pStyle w:val="Naslov3"/>
      </w:pPr>
      <w:bookmarkStart w:id="316" w:name="_Toc131352167"/>
      <w:bookmarkStart w:id="317" w:name="_Toc131458229"/>
      <w:bookmarkStart w:id="318" w:name="_Toc136287604"/>
      <w:r>
        <w:t>Ključne ugotovitve in odgovor na vprašanje vrednotenja</w:t>
      </w:r>
      <w:bookmarkEnd w:id="316"/>
      <w:bookmarkEnd w:id="317"/>
      <w:bookmarkEnd w:id="318"/>
      <w:r>
        <w:t xml:space="preserve"> </w:t>
      </w:r>
    </w:p>
    <w:p w14:paraId="211F72DC" w14:textId="61D3A7CA" w:rsidR="0035265B" w:rsidRDefault="00E2503F" w:rsidP="00E2503F">
      <w:pPr>
        <w:rPr>
          <w:lang w:val="sl-SI"/>
        </w:rPr>
      </w:pPr>
      <w:r>
        <w:rPr>
          <w:lang w:val="sl-SI"/>
        </w:rPr>
        <w:t xml:space="preserve">Na splošno </w:t>
      </w:r>
      <w:r w:rsidR="00AC292E">
        <w:rPr>
          <w:lang w:val="sl-SI"/>
        </w:rPr>
        <w:t xml:space="preserve">je </w:t>
      </w:r>
      <w:r>
        <w:rPr>
          <w:lang w:val="sl-SI"/>
        </w:rPr>
        <w:t>problematika energetsk</w:t>
      </w:r>
      <w:r w:rsidR="00AC292E">
        <w:rPr>
          <w:lang w:val="sl-SI"/>
        </w:rPr>
        <w:t xml:space="preserve">ih </w:t>
      </w:r>
      <w:r>
        <w:rPr>
          <w:lang w:val="sl-SI"/>
        </w:rPr>
        <w:t xml:space="preserve">prenov stavb </w:t>
      </w:r>
      <w:r w:rsidR="001B22CE">
        <w:rPr>
          <w:lang w:val="sl-SI"/>
        </w:rPr>
        <w:t xml:space="preserve">v EU </w:t>
      </w:r>
      <w:r w:rsidR="00AC292E">
        <w:rPr>
          <w:lang w:val="sl-SI"/>
        </w:rPr>
        <w:t>o</w:t>
      </w:r>
      <w:r>
        <w:rPr>
          <w:lang w:val="sl-SI"/>
        </w:rPr>
        <w:t xml:space="preserve">sredotočena </w:t>
      </w:r>
      <w:r w:rsidR="001B22CE">
        <w:rPr>
          <w:lang w:val="sl-SI"/>
        </w:rPr>
        <w:t xml:space="preserve">predvsem </w:t>
      </w:r>
      <w:r>
        <w:rPr>
          <w:lang w:val="sl-SI"/>
        </w:rPr>
        <w:t xml:space="preserve">na stavbe v </w:t>
      </w:r>
      <w:r w:rsidR="001B22CE">
        <w:rPr>
          <w:lang w:val="sl-SI"/>
        </w:rPr>
        <w:t xml:space="preserve">zasebni lasti </w:t>
      </w:r>
      <w:r>
        <w:rPr>
          <w:lang w:val="sl-SI"/>
        </w:rPr>
        <w:t xml:space="preserve">in skladno s </w:t>
      </w:r>
      <w:r w:rsidR="00772853">
        <w:rPr>
          <w:lang w:val="sl-SI"/>
        </w:rPr>
        <w:t xml:space="preserve">tem </w:t>
      </w:r>
      <w:r w:rsidR="001B22CE">
        <w:rPr>
          <w:lang w:val="sl-SI"/>
        </w:rPr>
        <w:t xml:space="preserve">je na </w:t>
      </w:r>
      <w:r w:rsidR="00D07F6C">
        <w:rPr>
          <w:lang w:val="sl-SI"/>
        </w:rPr>
        <w:t xml:space="preserve">tem področju na </w:t>
      </w:r>
      <w:r w:rsidR="001B22CE">
        <w:rPr>
          <w:lang w:val="sl-SI"/>
        </w:rPr>
        <w:t>vo</w:t>
      </w:r>
      <w:r w:rsidR="001621A0">
        <w:rPr>
          <w:lang w:val="sl-SI"/>
        </w:rPr>
        <w:t>l</w:t>
      </w:r>
      <w:r w:rsidR="001B22CE">
        <w:rPr>
          <w:lang w:val="sl-SI"/>
        </w:rPr>
        <w:t xml:space="preserve">jo </w:t>
      </w:r>
      <w:r w:rsidR="001621A0">
        <w:rPr>
          <w:lang w:val="sl-SI"/>
        </w:rPr>
        <w:t xml:space="preserve">zelo veliko poročil. </w:t>
      </w:r>
      <w:r w:rsidR="00FB7E01">
        <w:rPr>
          <w:lang w:val="sl-SI"/>
        </w:rPr>
        <w:t xml:space="preserve">Kljub temu </w:t>
      </w:r>
      <w:r w:rsidR="00D07F6C">
        <w:rPr>
          <w:lang w:val="sl-SI"/>
        </w:rPr>
        <w:t xml:space="preserve">nam je </w:t>
      </w:r>
      <w:r w:rsidR="001621A0">
        <w:rPr>
          <w:lang w:val="sl-SI"/>
        </w:rPr>
        <w:t>uspel</w:t>
      </w:r>
      <w:r w:rsidR="00D07F6C">
        <w:rPr>
          <w:lang w:val="sl-SI"/>
        </w:rPr>
        <w:t>o</w:t>
      </w:r>
      <w:r w:rsidR="001621A0">
        <w:rPr>
          <w:lang w:val="sl-SI"/>
        </w:rPr>
        <w:t xml:space="preserve"> identificirati </w:t>
      </w:r>
      <w:r w:rsidR="00FB7E01">
        <w:rPr>
          <w:lang w:val="sl-SI"/>
        </w:rPr>
        <w:t xml:space="preserve">nekaj najboljših praks </w:t>
      </w:r>
      <w:r w:rsidR="00D07F6C">
        <w:rPr>
          <w:lang w:val="sl-SI"/>
        </w:rPr>
        <w:t xml:space="preserve">tudi </w:t>
      </w:r>
      <w:r w:rsidR="00FB7E01">
        <w:rPr>
          <w:lang w:val="sl-SI"/>
        </w:rPr>
        <w:t xml:space="preserve">iz strategij </w:t>
      </w:r>
      <w:r w:rsidR="0035265B">
        <w:rPr>
          <w:lang w:val="sl-SI"/>
        </w:rPr>
        <w:t xml:space="preserve">energetske </w:t>
      </w:r>
      <w:r w:rsidR="00D07F6C">
        <w:rPr>
          <w:lang w:val="sl-SI"/>
        </w:rPr>
        <w:t xml:space="preserve">prenove </w:t>
      </w:r>
      <w:r w:rsidR="0035265B">
        <w:rPr>
          <w:lang w:val="sl-SI"/>
        </w:rPr>
        <w:t xml:space="preserve">stavb v javni lasti. </w:t>
      </w:r>
    </w:p>
    <w:p w14:paraId="01ECA599" w14:textId="781768AA" w:rsidR="00E2503F" w:rsidRDefault="005A65E6" w:rsidP="00E2503F">
      <w:pPr>
        <w:rPr>
          <w:lang w:val="sl-SI"/>
        </w:rPr>
      </w:pPr>
      <w:r>
        <w:rPr>
          <w:lang w:val="sl-SI"/>
        </w:rPr>
        <w:t>K</w:t>
      </w:r>
      <w:r w:rsidR="00DC1141">
        <w:rPr>
          <w:lang w:val="sl-SI"/>
        </w:rPr>
        <w:t xml:space="preserve">ljučna značilnost uspešnih sistemov energetske prenove </w:t>
      </w:r>
      <w:r w:rsidR="002836AF">
        <w:rPr>
          <w:lang w:val="sl-SI"/>
        </w:rPr>
        <w:t xml:space="preserve">stavb v </w:t>
      </w:r>
      <w:r w:rsidR="00DC1141">
        <w:rPr>
          <w:lang w:val="sl-SI"/>
        </w:rPr>
        <w:t>javni</w:t>
      </w:r>
      <w:r w:rsidR="002836AF">
        <w:rPr>
          <w:lang w:val="sl-SI"/>
        </w:rPr>
        <w:t xml:space="preserve"> lasti </w:t>
      </w:r>
      <w:r w:rsidR="00DC1141">
        <w:rPr>
          <w:lang w:val="sl-SI"/>
        </w:rPr>
        <w:t xml:space="preserve">je </w:t>
      </w:r>
      <w:r w:rsidR="00DC1141" w:rsidRPr="005A65E6">
        <w:rPr>
          <w:b/>
          <w:bCs/>
          <w:lang w:val="sl-SI"/>
        </w:rPr>
        <w:t xml:space="preserve">centralizacija </w:t>
      </w:r>
      <w:r w:rsidR="002836AF">
        <w:rPr>
          <w:b/>
          <w:bCs/>
          <w:lang w:val="sl-SI"/>
        </w:rPr>
        <w:t xml:space="preserve">energetskih </w:t>
      </w:r>
      <w:r w:rsidR="00DC1141" w:rsidRPr="005A65E6">
        <w:rPr>
          <w:b/>
          <w:bCs/>
          <w:lang w:val="sl-SI"/>
        </w:rPr>
        <w:t>prenov</w:t>
      </w:r>
      <w:r w:rsidR="00DC1141">
        <w:rPr>
          <w:lang w:val="sl-SI"/>
        </w:rPr>
        <w:t xml:space="preserve">. </w:t>
      </w:r>
      <w:r w:rsidR="002836AF">
        <w:rPr>
          <w:lang w:val="sl-SI"/>
        </w:rPr>
        <w:t>P</w:t>
      </w:r>
      <w:r w:rsidR="00DC1141">
        <w:rPr>
          <w:lang w:val="sl-SI"/>
        </w:rPr>
        <w:t>rimer</w:t>
      </w:r>
      <w:r w:rsidR="002836AF">
        <w:rPr>
          <w:lang w:val="sl-SI"/>
        </w:rPr>
        <w:t xml:space="preserve">i </w:t>
      </w:r>
      <w:r w:rsidR="00B122C4">
        <w:rPr>
          <w:lang w:val="sl-SI"/>
        </w:rPr>
        <w:t xml:space="preserve">iz Nizozemske, Grčije in Litve, ki </w:t>
      </w:r>
      <w:r w:rsidR="000A662D">
        <w:rPr>
          <w:lang w:val="sl-SI"/>
        </w:rPr>
        <w:t xml:space="preserve">so vodilne države </w:t>
      </w:r>
      <w:r w:rsidR="002836AF">
        <w:rPr>
          <w:lang w:val="sl-SI"/>
        </w:rPr>
        <w:t>po obsegu</w:t>
      </w:r>
      <w:r w:rsidR="000A662D">
        <w:rPr>
          <w:lang w:val="sl-SI"/>
        </w:rPr>
        <w:t xml:space="preserve"> </w:t>
      </w:r>
      <w:r w:rsidR="002836AF">
        <w:rPr>
          <w:lang w:val="sl-SI"/>
        </w:rPr>
        <w:t xml:space="preserve">energetskih </w:t>
      </w:r>
      <w:r w:rsidR="000A662D">
        <w:rPr>
          <w:lang w:val="sl-SI"/>
        </w:rPr>
        <w:t xml:space="preserve">prenov javnih stavb, </w:t>
      </w:r>
      <w:r w:rsidR="002836AF">
        <w:rPr>
          <w:lang w:val="sl-SI"/>
        </w:rPr>
        <w:t xml:space="preserve">pokažejo, </w:t>
      </w:r>
      <w:r w:rsidR="000A662D">
        <w:rPr>
          <w:lang w:val="sl-SI"/>
        </w:rPr>
        <w:t xml:space="preserve">da </w:t>
      </w:r>
      <w:r w:rsidR="00205267">
        <w:rPr>
          <w:lang w:val="sl-SI"/>
        </w:rPr>
        <w:t xml:space="preserve">j v vseh navedenih primerih </w:t>
      </w:r>
      <w:r w:rsidR="000A662D">
        <w:rPr>
          <w:lang w:val="sl-SI"/>
        </w:rPr>
        <w:t xml:space="preserve">naloga </w:t>
      </w:r>
      <w:r w:rsidR="00205267">
        <w:rPr>
          <w:lang w:val="sl-SI"/>
        </w:rPr>
        <w:t xml:space="preserve">ene same organizacije, </w:t>
      </w:r>
      <w:r w:rsidR="004B6B66">
        <w:rPr>
          <w:lang w:val="sl-SI"/>
        </w:rPr>
        <w:t xml:space="preserve">da </w:t>
      </w:r>
      <w:r w:rsidR="000A662D">
        <w:rPr>
          <w:lang w:val="sl-SI"/>
        </w:rPr>
        <w:t>zagotavlja</w:t>
      </w:r>
      <w:r w:rsidR="004B6B66">
        <w:rPr>
          <w:lang w:val="sl-SI"/>
        </w:rPr>
        <w:t xml:space="preserve"> </w:t>
      </w:r>
      <w:r w:rsidR="000A662D">
        <w:rPr>
          <w:lang w:val="sl-SI"/>
        </w:rPr>
        <w:t>financiranj</w:t>
      </w:r>
      <w:r w:rsidR="004B6B66">
        <w:rPr>
          <w:lang w:val="sl-SI"/>
        </w:rPr>
        <w:t>e (iz več virov)</w:t>
      </w:r>
      <w:r w:rsidR="000A662D">
        <w:rPr>
          <w:lang w:val="sl-SI"/>
        </w:rPr>
        <w:t xml:space="preserve"> in </w:t>
      </w:r>
      <w:r w:rsidR="004B6B66">
        <w:rPr>
          <w:lang w:val="sl-SI"/>
        </w:rPr>
        <w:t xml:space="preserve">tudi samo </w:t>
      </w:r>
      <w:r w:rsidR="000A662D">
        <w:rPr>
          <w:lang w:val="sl-SI"/>
        </w:rPr>
        <w:t>implementacij</w:t>
      </w:r>
      <w:r w:rsidR="004B6B66">
        <w:rPr>
          <w:lang w:val="sl-SI"/>
        </w:rPr>
        <w:t xml:space="preserve">o energetskih </w:t>
      </w:r>
      <w:r w:rsidR="000A662D">
        <w:rPr>
          <w:lang w:val="sl-SI"/>
        </w:rPr>
        <w:t>prenov</w:t>
      </w:r>
      <w:r w:rsidR="004B6B66">
        <w:rPr>
          <w:lang w:val="sl-SI"/>
        </w:rPr>
        <w:t xml:space="preserve">. V primeru </w:t>
      </w:r>
      <w:r w:rsidR="002E2336">
        <w:rPr>
          <w:lang w:val="sl-SI"/>
        </w:rPr>
        <w:t xml:space="preserve">Nizozemske in Litve je to </w:t>
      </w:r>
      <w:r w:rsidR="00ED57C9">
        <w:rPr>
          <w:lang w:val="sl-SI"/>
        </w:rPr>
        <w:t xml:space="preserve">centralizirano na ravni enega </w:t>
      </w:r>
      <w:r w:rsidR="002E2336">
        <w:rPr>
          <w:lang w:val="sl-SI"/>
        </w:rPr>
        <w:t>državn</w:t>
      </w:r>
      <w:r w:rsidR="00ED57C9">
        <w:rPr>
          <w:lang w:val="sl-SI"/>
        </w:rPr>
        <w:t xml:space="preserve">ega </w:t>
      </w:r>
      <w:r w:rsidR="002E2336">
        <w:rPr>
          <w:lang w:val="sl-SI"/>
        </w:rPr>
        <w:t>organ</w:t>
      </w:r>
      <w:r w:rsidR="00ED57C9">
        <w:rPr>
          <w:lang w:val="sl-SI"/>
        </w:rPr>
        <w:t>a</w:t>
      </w:r>
      <w:r w:rsidR="002E2336">
        <w:rPr>
          <w:lang w:val="sl-SI"/>
        </w:rPr>
        <w:t xml:space="preserve">, v primeru Grčije pa </w:t>
      </w:r>
      <w:r w:rsidR="00FA1513">
        <w:rPr>
          <w:lang w:val="sl-SI"/>
        </w:rPr>
        <w:t xml:space="preserve">je </w:t>
      </w:r>
      <w:r w:rsidR="002E2336">
        <w:rPr>
          <w:lang w:val="sl-SI"/>
        </w:rPr>
        <w:t xml:space="preserve">upravljanje </w:t>
      </w:r>
      <w:r w:rsidR="00FA1513">
        <w:rPr>
          <w:lang w:val="sl-SI"/>
        </w:rPr>
        <w:t xml:space="preserve">in vodenje prenov </w:t>
      </w:r>
      <w:r w:rsidR="00E373C1">
        <w:rPr>
          <w:lang w:val="sl-SI"/>
        </w:rPr>
        <w:t>razdeljen</w:t>
      </w:r>
      <w:r w:rsidR="002E2336">
        <w:rPr>
          <w:lang w:val="sl-SI"/>
        </w:rPr>
        <w:t>o</w:t>
      </w:r>
      <w:r w:rsidR="00E373C1">
        <w:rPr>
          <w:lang w:val="sl-SI"/>
        </w:rPr>
        <w:t xml:space="preserve"> več organom, ki pokrivajo določeno geografsko območje</w:t>
      </w:r>
      <w:r w:rsidR="002E2336">
        <w:rPr>
          <w:lang w:val="sl-SI"/>
        </w:rPr>
        <w:t xml:space="preserve">. </w:t>
      </w:r>
      <w:r w:rsidR="00F00FC0">
        <w:rPr>
          <w:lang w:val="sl-SI"/>
        </w:rPr>
        <w:t>Prioritet</w:t>
      </w:r>
      <w:r w:rsidR="00FA1513">
        <w:rPr>
          <w:lang w:val="sl-SI"/>
        </w:rPr>
        <w:t xml:space="preserve">e so definirane centralizirano, kot tudi financiranje, </w:t>
      </w:r>
      <w:proofErr w:type="spellStart"/>
      <w:r w:rsidR="00C12405">
        <w:rPr>
          <w:lang w:val="sl-SI"/>
        </w:rPr>
        <w:t>časovnica</w:t>
      </w:r>
      <w:proofErr w:type="spellEnd"/>
      <w:r w:rsidR="00C12405">
        <w:rPr>
          <w:lang w:val="sl-SI"/>
        </w:rPr>
        <w:t xml:space="preserve"> obnov </w:t>
      </w:r>
      <w:r w:rsidR="00FA1513">
        <w:rPr>
          <w:lang w:val="sl-SI"/>
        </w:rPr>
        <w:t xml:space="preserve">ter implementacija. </w:t>
      </w:r>
    </w:p>
    <w:p w14:paraId="2F0475A4" w14:textId="4C2FF1CC" w:rsidR="004C79CD" w:rsidRDefault="002D7C2A" w:rsidP="00E2503F">
      <w:pPr>
        <w:rPr>
          <w:lang w:val="sl-SI"/>
        </w:rPr>
      </w:pPr>
      <w:r>
        <w:rPr>
          <w:lang w:val="sl-SI"/>
        </w:rPr>
        <w:t>Nizozemske</w:t>
      </w:r>
      <w:r w:rsidR="00FA1513">
        <w:rPr>
          <w:lang w:val="sl-SI"/>
        </w:rPr>
        <w:t xml:space="preserve"> je na primer v </w:t>
      </w:r>
      <w:r>
        <w:rPr>
          <w:lang w:val="sl-SI"/>
        </w:rPr>
        <w:t>letu 2020 definirala s</w:t>
      </w:r>
      <w:r w:rsidR="00FA1513">
        <w:rPr>
          <w:lang w:val="sl-SI"/>
        </w:rPr>
        <w:t>e</w:t>
      </w:r>
      <w:r>
        <w:rPr>
          <w:lang w:val="sl-SI"/>
        </w:rPr>
        <w:t xml:space="preserve">ktorske strategije za </w:t>
      </w:r>
      <w:r w:rsidR="003F6874">
        <w:rPr>
          <w:lang w:val="sl-SI"/>
        </w:rPr>
        <w:t xml:space="preserve">doseganje ciljev </w:t>
      </w:r>
      <w:r w:rsidR="00E04889">
        <w:rPr>
          <w:lang w:val="sl-SI"/>
        </w:rPr>
        <w:t xml:space="preserve">energetskih prenov do leta </w:t>
      </w:r>
      <w:r w:rsidR="003F6874">
        <w:rPr>
          <w:lang w:val="sl-SI"/>
        </w:rPr>
        <w:t>2030</w:t>
      </w:r>
      <w:r w:rsidR="00A377A8">
        <w:rPr>
          <w:lang w:val="sl-SI"/>
        </w:rPr>
        <w:t xml:space="preserve"> (</w:t>
      </w:r>
      <w:hyperlink r:id="rId32" w:history="1">
        <w:r w:rsidR="00EF4827" w:rsidRPr="00663B81">
          <w:rPr>
            <w:rStyle w:val="Hiperpovezava"/>
            <w:lang w:val="sl-SI"/>
          </w:rPr>
          <w:t>https://energy.ec.europa.eu/system/files/2020-04/nl_2020_ltrs_en_0.pdf</w:t>
        </w:r>
      </w:hyperlink>
      <w:r w:rsidR="00EF4827">
        <w:rPr>
          <w:lang w:val="sl-SI"/>
        </w:rPr>
        <w:t>)</w:t>
      </w:r>
      <w:r w:rsidR="003F6874">
        <w:rPr>
          <w:lang w:val="sl-SI"/>
        </w:rPr>
        <w:t xml:space="preserve">. Sektorske strategije </w:t>
      </w:r>
      <w:proofErr w:type="spellStart"/>
      <w:r w:rsidR="003F6874">
        <w:rPr>
          <w:lang w:val="sl-SI"/>
        </w:rPr>
        <w:t>grozdijo</w:t>
      </w:r>
      <w:proofErr w:type="spellEnd"/>
      <w:r w:rsidR="003F6874">
        <w:rPr>
          <w:lang w:val="sl-SI"/>
        </w:rPr>
        <w:t xml:space="preserve"> institucije v a) centralno državno </w:t>
      </w:r>
      <w:r w:rsidR="003F6874">
        <w:rPr>
          <w:lang w:val="sl-SI"/>
        </w:rPr>
        <w:lastRenderedPageBreak/>
        <w:t xml:space="preserve">upravo (ministrstva, </w:t>
      </w:r>
      <w:r w:rsidR="00CD788F">
        <w:rPr>
          <w:lang w:val="sl-SI"/>
        </w:rPr>
        <w:t xml:space="preserve">za katera je </w:t>
      </w:r>
      <w:r w:rsidR="003F6874">
        <w:rPr>
          <w:lang w:val="sl-SI"/>
        </w:rPr>
        <w:t xml:space="preserve">odgovorna institucija Državna agencija za upravljanje </w:t>
      </w:r>
      <w:r w:rsidR="00FA1513">
        <w:rPr>
          <w:lang w:val="sl-SI"/>
        </w:rPr>
        <w:t>s</w:t>
      </w:r>
      <w:r w:rsidR="003F6874">
        <w:rPr>
          <w:lang w:val="sl-SI"/>
        </w:rPr>
        <w:t xml:space="preserve"> premoženjem)</w:t>
      </w:r>
      <w:r w:rsidR="00F55462">
        <w:rPr>
          <w:lang w:val="sl-SI"/>
        </w:rPr>
        <w:t xml:space="preserve">; b) občine (agencija "VNG"); c) </w:t>
      </w:r>
      <w:r w:rsidR="00C0460C">
        <w:rPr>
          <w:lang w:val="sl-SI"/>
        </w:rPr>
        <w:t xml:space="preserve">dežele (agencija "IPO"); </w:t>
      </w:r>
      <w:r w:rsidR="009B011C">
        <w:rPr>
          <w:lang w:val="sl-SI"/>
        </w:rPr>
        <w:t xml:space="preserve">d) </w:t>
      </w:r>
      <w:r w:rsidR="007A0254">
        <w:rPr>
          <w:lang w:val="sl-SI"/>
        </w:rPr>
        <w:t>p</w:t>
      </w:r>
      <w:r w:rsidR="009B011C">
        <w:rPr>
          <w:lang w:val="sl-SI"/>
        </w:rPr>
        <w:t xml:space="preserve">olicija (upravljana </w:t>
      </w:r>
      <w:r w:rsidR="00CD788F">
        <w:rPr>
          <w:lang w:val="sl-SI"/>
        </w:rPr>
        <w:t>neposredno</w:t>
      </w:r>
      <w:r w:rsidR="009B011C">
        <w:rPr>
          <w:lang w:val="sl-SI"/>
        </w:rPr>
        <w:t xml:space="preserve"> s strani </w:t>
      </w:r>
      <w:r w:rsidR="00CD788F">
        <w:rPr>
          <w:lang w:val="sl-SI"/>
        </w:rPr>
        <w:t xml:space="preserve">njihovega </w:t>
      </w:r>
      <w:r w:rsidR="009B011C">
        <w:rPr>
          <w:lang w:val="sl-SI"/>
        </w:rPr>
        <w:t xml:space="preserve">MNZ); d) </w:t>
      </w:r>
      <w:r w:rsidR="007A0254">
        <w:rPr>
          <w:lang w:val="sl-SI"/>
        </w:rPr>
        <w:t>i</w:t>
      </w:r>
      <w:r w:rsidR="009B011C">
        <w:rPr>
          <w:lang w:val="sl-SI"/>
        </w:rPr>
        <w:t xml:space="preserve">zobraževanje (skupno za primarno, sekundarno in terciarno); e) </w:t>
      </w:r>
      <w:r w:rsidR="007A0254">
        <w:rPr>
          <w:lang w:val="sl-SI"/>
        </w:rPr>
        <w:t xml:space="preserve">zdravstveni sektor (Ministrstvo za </w:t>
      </w:r>
      <w:r w:rsidR="00CD788F">
        <w:rPr>
          <w:lang w:val="sl-SI"/>
        </w:rPr>
        <w:t>z</w:t>
      </w:r>
      <w:r w:rsidR="007A0254">
        <w:rPr>
          <w:lang w:val="sl-SI"/>
        </w:rPr>
        <w:t xml:space="preserve">dravje); </w:t>
      </w:r>
      <w:r w:rsidR="004C79CD">
        <w:rPr>
          <w:lang w:val="sl-SI"/>
        </w:rPr>
        <w:t xml:space="preserve">f) sektor športa. V vsaki strategiji </w:t>
      </w:r>
      <w:r w:rsidR="00CD788F">
        <w:rPr>
          <w:lang w:val="sl-SI"/>
        </w:rPr>
        <w:t xml:space="preserve">je </w:t>
      </w:r>
      <w:r w:rsidR="004C79CD">
        <w:rPr>
          <w:lang w:val="sl-SI"/>
        </w:rPr>
        <w:t>popis</w:t>
      </w:r>
      <w:r w:rsidR="00CD788F">
        <w:rPr>
          <w:lang w:val="sl-SI"/>
        </w:rPr>
        <w:t xml:space="preserve"> </w:t>
      </w:r>
      <w:r w:rsidR="00F03EE1">
        <w:rPr>
          <w:lang w:val="sl-SI"/>
        </w:rPr>
        <w:t>trenutn</w:t>
      </w:r>
      <w:r w:rsidR="00CD788F">
        <w:rPr>
          <w:lang w:val="sl-SI"/>
        </w:rPr>
        <w:t>ega s</w:t>
      </w:r>
      <w:r w:rsidR="00F03EE1">
        <w:rPr>
          <w:lang w:val="sl-SI"/>
        </w:rPr>
        <w:t>tanje</w:t>
      </w:r>
      <w:r w:rsidR="00CD788F">
        <w:rPr>
          <w:lang w:val="sl-SI"/>
        </w:rPr>
        <w:t xml:space="preserve">, </w:t>
      </w:r>
      <w:r w:rsidR="00F03EE1">
        <w:rPr>
          <w:lang w:val="sl-SI"/>
        </w:rPr>
        <w:t>potrebe p</w:t>
      </w:r>
      <w:r w:rsidR="00CD788F">
        <w:rPr>
          <w:lang w:val="sl-SI"/>
        </w:rPr>
        <w:t xml:space="preserve">o prenovi </w:t>
      </w:r>
      <w:r w:rsidR="00F03EE1">
        <w:rPr>
          <w:lang w:val="sl-SI"/>
        </w:rPr>
        <w:t xml:space="preserve">ter </w:t>
      </w:r>
      <w:r w:rsidR="00BA4163">
        <w:rPr>
          <w:lang w:val="sl-SI"/>
        </w:rPr>
        <w:t>pregled potencialnih i</w:t>
      </w:r>
      <w:r w:rsidR="00F03EE1">
        <w:rPr>
          <w:lang w:val="sl-SI"/>
        </w:rPr>
        <w:t>zziv</w:t>
      </w:r>
      <w:r w:rsidR="00BA4163">
        <w:rPr>
          <w:lang w:val="sl-SI"/>
        </w:rPr>
        <w:t xml:space="preserve">ov </w:t>
      </w:r>
      <w:r w:rsidR="00F03EE1">
        <w:rPr>
          <w:lang w:val="sl-SI"/>
        </w:rPr>
        <w:t xml:space="preserve">in </w:t>
      </w:r>
      <w:r w:rsidR="00BA4163">
        <w:rPr>
          <w:lang w:val="sl-SI"/>
        </w:rPr>
        <w:t>ovir</w:t>
      </w:r>
      <w:r w:rsidR="00F03EE1">
        <w:rPr>
          <w:lang w:val="sl-SI"/>
        </w:rPr>
        <w:t xml:space="preserve"> </w:t>
      </w:r>
      <w:r w:rsidR="00BA4163">
        <w:rPr>
          <w:lang w:val="sl-SI"/>
        </w:rPr>
        <w:t>za prenovo</w:t>
      </w:r>
      <w:r w:rsidR="00F03EE1">
        <w:rPr>
          <w:lang w:val="sl-SI"/>
        </w:rPr>
        <w:t xml:space="preserve"> (kot npr. financiranje, </w:t>
      </w:r>
      <w:r w:rsidR="00BA4163">
        <w:rPr>
          <w:lang w:val="sl-SI"/>
        </w:rPr>
        <w:t>pravni okvir</w:t>
      </w:r>
      <w:r w:rsidR="00F03EE1">
        <w:rPr>
          <w:lang w:val="sl-SI"/>
        </w:rPr>
        <w:t>, organizacijski izzivi, ipd.)</w:t>
      </w:r>
      <w:r w:rsidR="00BA4163">
        <w:rPr>
          <w:lang w:val="sl-SI"/>
        </w:rPr>
        <w:t>.</w:t>
      </w:r>
      <w:r w:rsidR="00F03EE1">
        <w:rPr>
          <w:lang w:val="sl-SI"/>
        </w:rPr>
        <w:t xml:space="preserve"> </w:t>
      </w:r>
      <w:r w:rsidR="00BD0B59">
        <w:rPr>
          <w:lang w:val="sl-SI"/>
        </w:rPr>
        <w:t xml:space="preserve">Kjer je </w:t>
      </w:r>
      <w:r w:rsidR="00BA4163">
        <w:rPr>
          <w:lang w:val="sl-SI"/>
        </w:rPr>
        <w:t xml:space="preserve">le mogoče, </w:t>
      </w:r>
      <w:r w:rsidR="00BD0B59">
        <w:rPr>
          <w:lang w:val="sl-SI"/>
        </w:rPr>
        <w:t>strategije</w:t>
      </w:r>
      <w:r w:rsidR="00BA4163">
        <w:rPr>
          <w:lang w:val="sl-SI"/>
        </w:rPr>
        <w:t xml:space="preserve"> že</w:t>
      </w:r>
      <w:r w:rsidR="00BD0B59">
        <w:rPr>
          <w:lang w:val="sl-SI"/>
        </w:rPr>
        <w:t xml:space="preserve"> ponujajo praktične rešitve </w:t>
      </w:r>
      <w:r w:rsidR="001D0830">
        <w:rPr>
          <w:lang w:val="sl-SI"/>
        </w:rPr>
        <w:t>v sodelovanju s partnerji</w:t>
      </w:r>
      <w:r w:rsidR="00E02330">
        <w:rPr>
          <w:lang w:val="sl-SI"/>
        </w:rPr>
        <w:t>,</w:t>
      </w:r>
      <w:r w:rsidR="001D0830">
        <w:rPr>
          <w:lang w:val="sl-SI"/>
        </w:rPr>
        <w:t xml:space="preserve"> kot so </w:t>
      </w:r>
      <w:r w:rsidR="00A74A62">
        <w:rPr>
          <w:lang w:val="sl-SI"/>
        </w:rPr>
        <w:t>združenja</w:t>
      </w:r>
      <w:r w:rsidR="00E02330">
        <w:rPr>
          <w:lang w:val="sl-SI"/>
        </w:rPr>
        <w:t xml:space="preserve"> bank</w:t>
      </w:r>
      <w:r w:rsidR="001D0830">
        <w:rPr>
          <w:lang w:val="sl-SI"/>
        </w:rPr>
        <w:t xml:space="preserve">, </w:t>
      </w:r>
      <w:r w:rsidR="00A74A62">
        <w:rPr>
          <w:lang w:val="sl-SI"/>
        </w:rPr>
        <w:t>tehnična</w:t>
      </w:r>
      <w:r w:rsidR="00E02330">
        <w:rPr>
          <w:lang w:val="sl-SI"/>
        </w:rPr>
        <w:t>/strokovna</w:t>
      </w:r>
      <w:r w:rsidR="00A74A62">
        <w:rPr>
          <w:lang w:val="sl-SI"/>
        </w:rPr>
        <w:t xml:space="preserve"> združenja</w:t>
      </w:r>
      <w:r w:rsidR="00BA297F">
        <w:rPr>
          <w:lang w:val="sl-SI"/>
        </w:rPr>
        <w:t xml:space="preserve">, </w:t>
      </w:r>
      <w:r w:rsidR="00371DB1">
        <w:rPr>
          <w:lang w:val="sl-SI"/>
        </w:rPr>
        <w:t xml:space="preserve">združenja gradbenega sektorja. </w:t>
      </w:r>
    </w:p>
    <w:p w14:paraId="375E9D0E" w14:textId="1877CBEF" w:rsidR="00531D49" w:rsidRDefault="00384046" w:rsidP="00E2503F">
      <w:pPr>
        <w:rPr>
          <w:lang w:val="sl-SI"/>
        </w:rPr>
      </w:pPr>
      <w:r>
        <w:rPr>
          <w:lang w:val="sl-SI"/>
        </w:rPr>
        <w:t xml:space="preserve">Strategije so </w:t>
      </w:r>
      <w:r w:rsidR="00E02330">
        <w:rPr>
          <w:lang w:val="sl-SI"/>
        </w:rPr>
        <w:t xml:space="preserve">se nato </w:t>
      </w:r>
      <w:r w:rsidRPr="005A65E6">
        <w:rPr>
          <w:b/>
          <w:bCs/>
          <w:lang w:val="sl-SI"/>
        </w:rPr>
        <w:t>uskladile, da bi bile čimbolj enovite</w:t>
      </w:r>
      <w:r w:rsidR="00E02330">
        <w:rPr>
          <w:b/>
          <w:bCs/>
          <w:lang w:val="sl-SI"/>
        </w:rPr>
        <w:t xml:space="preserve">, </w:t>
      </w:r>
      <w:r w:rsidR="00E02330" w:rsidRPr="00E02330">
        <w:rPr>
          <w:lang w:val="sl-SI"/>
        </w:rPr>
        <w:t xml:space="preserve">ter so bile </w:t>
      </w:r>
      <w:r w:rsidR="00E02330">
        <w:rPr>
          <w:lang w:val="sl-SI"/>
        </w:rPr>
        <w:t xml:space="preserve">nato </w:t>
      </w:r>
      <w:r w:rsidR="00E02330" w:rsidRPr="00E02330">
        <w:rPr>
          <w:lang w:val="sl-SI"/>
        </w:rPr>
        <w:t>podlaga</w:t>
      </w:r>
      <w:r w:rsidR="00E02330">
        <w:rPr>
          <w:b/>
          <w:bCs/>
          <w:lang w:val="sl-SI"/>
        </w:rPr>
        <w:t xml:space="preserve"> </w:t>
      </w:r>
      <w:r w:rsidR="00E02330">
        <w:rPr>
          <w:lang w:val="sl-SI"/>
        </w:rPr>
        <w:t xml:space="preserve">za pripravo </w:t>
      </w:r>
      <w:r>
        <w:rPr>
          <w:lang w:val="sl-SI"/>
        </w:rPr>
        <w:t>centraln</w:t>
      </w:r>
      <w:r w:rsidR="00E02330">
        <w:rPr>
          <w:lang w:val="sl-SI"/>
        </w:rPr>
        <w:t xml:space="preserve">ega </w:t>
      </w:r>
      <w:r>
        <w:rPr>
          <w:lang w:val="sl-SI"/>
        </w:rPr>
        <w:t>sistem</w:t>
      </w:r>
      <w:r w:rsidR="00E02330">
        <w:rPr>
          <w:lang w:val="sl-SI"/>
        </w:rPr>
        <w:t>a</w:t>
      </w:r>
      <w:r>
        <w:rPr>
          <w:lang w:val="sl-SI"/>
        </w:rPr>
        <w:t xml:space="preserve"> financiranja in </w:t>
      </w:r>
      <w:r w:rsidR="00BC62F6">
        <w:rPr>
          <w:lang w:val="sl-SI"/>
        </w:rPr>
        <w:t xml:space="preserve">za </w:t>
      </w:r>
      <w:r>
        <w:rPr>
          <w:lang w:val="sl-SI"/>
        </w:rPr>
        <w:t>določitev resursov za prenov</w:t>
      </w:r>
      <w:r w:rsidR="00BC62F6">
        <w:rPr>
          <w:lang w:val="sl-SI"/>
        </w:rPr>
        <w:t>e</w:t>
      </w:r>
      <w:r>
        <w:rPr>
          <w:lang w:val="sl-SI"/>
        </w:rPr>
        <w:t xml:space="preserve">. </w:t>
      </w:r>
      <w:r w:rsidR="00531D49">
        <w:rPr>
          <w:lang w:val="sl-SI"/>
        </w:rPr>
        <w:t xml:space="preserve">Napredek pri doseganju </w:t>
      </w:r>
      <w:r w:rsidR="00BC62F6">
        <w:rPr>
          <w:lang w:val="sl-SI"/>
        </w:rPr>
        <w:t xml:space="preserve">rezultatov </w:t>
      </w:r>
      <w:r w:rsidR="00531D49">
        <w:rPr>
          <w:lang w:val="sl-SI"/>
        </w:rPr>
        <w:t xml:space="preserve">strategij se </w:t>
      </w:r>
      <w:r w:rsidR="002A7D89">
        <w:rPr>
          <w:lang w:val="sl-SI"/>
        </w:rPr>
        <w:t>kontrolira vsak</w:t>
      </w:r>
      <w:r w:rsidR="00965936">
        <w:rPr>
          <w:lang w:val="sl-SI"/>
        </w:rPr>
        <w:t>i</w:t>
      </w:r>
      <w:r w:rsidR="002A7D89">
        <w:rPr>
          <w:lang w:val="sl-SI"/>
        </w:rPr>
        <w:t xml:space="preserve"> dve leti, </w:t>
      </w:r>
      <w:r w:rsidR="00965936">
        <w:rPr>
          <w:lang w:val="sl-SI"/>
        </w:rPr>
        <w:t>oceni se napredek in po potrebi korigira načrt prenov</w:t>
      </w:r>
      <w:r w:rsidR="002A7D89">
        <w:rPr>
          <w:lang w:val="sl-SI"/>
        </w:rPr>
        <w:t xml:space="preserve">, če </w:t>
      </w:r>
      <w:r w:rsidR="00965936">
        <w:rPr>
          <w:lang w:val="sl-SI"/>
        </w:rPr>
        <w:t>je to potrebno</w:t>
      </w:r>
      <w:r w:rsidR="002A7D89">
        <w:rPr>
          <w:lang w:val="sl-SI"/>
        </w:rPr>
        <w:t xml:space="preserve">. </w:t>
      </w:r>
    </w:p>
    <w:p w14:paraId="139C9FB9" w14:textId="3654BEF0" w:rsidR="00BF55DE" w:rsidRDefault="00386CE7" w:rsidP="00E2503F">
      <w:pPr>
        <w:rPr>
          <w:lang w:val="sl-SI"/>
        </w:rPr>
      </w:pPr>
      <w:r>
        <w:rPr>
          <w:lang w:val="sl-SI"/>
        </w:rPr>
        <w:t>Podobn</w:t>
      </w:r>
      <w:r w:rsidR="00965936">
        <w:rPr>
          <w:lang w:val="sl-SI"/>
        </w:rPr>
        <w:t xml:space="preserve">o je </w:t>
      </w:r>
      <w:r>
        <w:rPr>
          <w:lang w:val="sl-SI"/>
        </w:rPr>
        <w:t>Litv</w:t>
      </w:r>
      <w:r w:rsidR="00965936">
        <w:rPr>
          <w:lang w:val="sl-SI"/>
        </w:rPr>
        <w:t xml:space="preserve">a </w:t>
      </w:r>
      <w:r>
        <w:rPr>
          <w:lang w:val="sl-SI"/>
        </w:rPr>
        <w:t>v svoji strategiji</w:t>
      </w:r>
      <w:r w:rsidR="00A377A8">
        <w:rPr>
          <w:lang w:val="sl-SI"/>
        </w:rPr>
        <w:t xml:space="preserve"> (</w:t>
      </w:r>
      <w:hyperlink r:id="rId33" w:history="1">
        <w:r w:rsidR="00A377A8" w:rsidRPr="00663B81">
          <w:rPr>
            <w:rStyle w:val="Hiperpovezava"/>
            <w:lang w:val="sl-SI"/>
          </w:rPr>
          <w:t>https://energy.ec.europa.eu/system/files/2021-08/lt_2020_ltrs_en_0.pdf</w:t>
        </w:r>
      </w:hyperlink>
      <w:r w:rsidR="00A377A8">
        <w:rPr>
          <w:lang w:val="sl-SI"/>
        </w:rPr>
        <w:t>)</w:t>
      </w:r>
      <w:r>
        <w:rPr>
          <w:lang w:val="sl-SI"/>
        </w:rPr>
        <w:t xml:space="preserve"> definirala </w:t>
      </w:r>
      <w:r w:rsidRPr="005A65E6">
        <w:rPr>
          <w:b/>
          <w:bCs/>
          <w:lang w:val="sl-SI"/>
        </w:rPr>
        <w:t xml:space="preserve">potrebo po </w:t>
      </w:r>
      <w:r w:rsidR="00965936">
        <w:rPr>
          <w:b/>
          <w:bCs/>
          <w:lang w:val="sl-SI"/>
        </w:rPr>
        <w:t xml:space="preserve">združevanju </w:t>
      </w:r>
      <w:r w:rsidRPr="005A65E6">
        <w:rPr>
          <w:b/>
          <w:bCs/>
          <w:lang w:val="sl-SI"/>
        </w:rPr>
        <w:t xml:space="preserve">individualnih projektov </w:t>
      </w:r>
      <w:r w:rsidR="00965936">
        <w:rPr>
          <w:b/>
          <w:bCs/>
          <w:lang w:val="sl-SI"/>
        </w:rPr>
        <w:t xml:space="preserve">energetskih prenov </w:t>
      </w:r>
      <w:r w:rsidRPr="005A65E6">
        <w:rPr>
          <w:b/>
          <w:bCs/>
          <w:lang w:val="sl-SI"/>
        </w:rPr>
        <w:t xml:space="preserve">v enovit paket </w:t>
      </w:r>
      <w:r w:rsidR="00DE1CDF" w:rsidRPr="005A65E6">
        <w:rPr>
          <w:b/>
          <w:bCs/>
          <w:lang w:val="sl-SI"/>
        </w:rPr>
        <w:t>prenov javnih stavb</w:t>
      </w:r>
      <w:r w:rsidR="00DE1CDF">
        <w:rPr>
          <w:lang w:val="sl-SI"/>
        </w:rPr>
        <w:t xml:space="preserve">. </w:t>
      </w:r>
      <w:r w:rsidR="004B38E2">
        <w:rPr>
          <w:lang w:val="sl-SI"/>
        </w:rPr>
        <w:t xml:space="preserve">Združevanje projektov </w:t>
      </w:r>
      <w:r w:rsidR="009119D1">
        <w:rPr>
          <w:lang w:val="sl-SI"/>
        </w:rPr>
        <w:t>je prineslo</w:t>
      </w:r>
      <w:r w:rsidR="004B38E2">
        <w:rPr>
          <w:lang w:val="sl-SI"/>
        </w:rPr>
        <w:t xml:space="preserve"> večje</w:t>
      </w:r>
      <w:r w:rsidR="00DE1CDF">
        <w:rPr>
          <w:lang w:val="sl-SI"/>
        </w:rPr>
        <w:t xml:space="preserve"> povpraševanj</w:t>
      </w:r>
      <w:r w:rsidR="004B38E2">
        <w:rPr>
          <w:lang w:val="sl-SI"/>
        </w:rPr>
        <w:t>e</w:t>
      </w:r>
      <w:r w:rsidR="0042233C">
        <w:rPr>
          <w:lang w:val="sl-SI"/>
        </w:rPr>
        <w:t xml:space="preserve">, </w:t>
      </w:r>
      <w:r w:rsidR="0010322A">
        <w:rPr>
          <w:lang w:val="sl-SI"/>
        </w:rPr>
        <w:t>tako d</w:t>
      </w:r>
      <w:r w:rsidR="0042233C">
        <w:rPr>
          <w:lang w:val="sl-SI"/>
        </w:rPr>
        <w:t xml:space="preserve">a </w:t>
      </w:r>
      <w:r w:rsidR="009119D1">
        <w:rPr>
          <w:lang w:val="sl-SI"/>
        </w:rPr>
        <w:t xml:space="preserve">so sicer posamično nezanimivi </w:t>
      </w:r>
      <w:r w:rsidR="00E26F7F">
        <w:rPr>
          <w:lang w:val="sl-SI"/>
        </w:rPr>
        <w:t xml:space="preserve">projekti </w:t>
      </w:r>
      <w:r w:rsidR="009119D1">
        <w:rPr>
          <w:lang w:val="sl-SI"/>
        </w:rPr>
        <w:t xml:space="preserve">v paketu </w:t>
      </w:r>
      <w:r w:rsidR="0010322A">
        <w:rPr>
          <w:lang w:val="sl-SI"/>
        </w:rPr>
        <w:t>posta</w:t>
      </w:r>
      <w:r w:rsidR="009119D1">
        <w:rPr>
          <w:lang w:val="sl-SI"/>
        </w:rPr>
        <w:t xml:space="preserve">li </w:t>
      </w:r>
      <w:r w:rsidR="00E26F7F">
        <w:rPr>
          <w:lang w:val="sl-SI"/>
        </w:rPr>
        <w:t>zanimivi tudi za večje konzorcije gradbenih podjet</w:t>
      </w:r>
      <w:r w:rsidR="0010322A">
        <w:rPr>
          <w:lang w:val="sl-SI"/>
        </w:rPr>
        <w:t>i</w:t>
      </w:r>
      <w:r w:rsidR="00E26F7F">
        <w:rPr>
          <w:lang w:val="sl-SI"/>
        </w:rPr>
        <w:t xml:space="preserve">j. </w:t>
      </w:r>
      <w:r w:rsidR="00FA0081">
        <w:rPr>
          <w:lang w:val="sl-SI"/>
        </w:rPr>
        <w:t xml:space="preserve">Pomembno je vedeti, da </w:t>
      </w:r>
      <w:r w:rsidR="00A669B3">
        <w:rPr>
          <w:lang w:val="sl-SI"/>
        </w:rPr>
        <w:t xml:space="preserve">Litva </w:t>
      </w:r>
      <w:r w:rsidR="0010322A">
        <w:rPr>
          <w:lang w:val="sl-SI"/>
        </w:rPr>
        <w:t>implementira energetske prenove s</w:t>
      </w:r>
      <w:r w:rsidR="00A669B3">
        <w:rPr>
          <w:lang w:val="sl-SI"/>
        </w:rPr>
        <w:t xml:space="preserve"> </w:t>
      </w:r>
      <w:r w:rsidR="00A669B3" w:rsidRPr="005A65E6">
        <w:rPr>
          <w:b/>
          <w:bCs/>
          <w:lang w:val="sl-SI"/>
        </w:rPr>
        <w:t>kombiniranje</w:t>
      </w:r>
      <w:r w:rsidR="0010322A">
        <w:rPr>
          <w:b/>
          <w:bCs/>
          <w:lang w:val="sl-SI"/>
        </w:rPr>
        <w:t>m</w:t>
      </w:r>
      <w:r w:rsidR="00A669B3" w:rsidRPr="005A65E6">
        <w:rPr>
          <w:b/>
          <w:bCs/>
          <w:lang w:val="sl-SI"/>
        </w:rPr>
        <w:t xml:space="preserve"> EU sredstev, javnih sredstev in posojil</w:t>
      </w:r>
      <w:r w:rsidR="00A669B3">
        <w:rPr>
          <w:lang w:val="sl-SI"/>
        </w:rPr>
        <w:t xml:space="preserve"> za financiranje prenove</w:t>
      </w:r>
      <w:r w:rsidR="005461AF">
        <w:rPr>
          <w:lang w:val="sl-SI"/>
        </w:rPr>
        <w:t>.</w:t>
      </w:r>
    </w:p>
    <w:p w14:paraId="5A411A18" w14:textId="5776F21D" w:rsidR="005A65E6" w:rsidRDefault="005A374F" w:rsidP="00E2503F">
      <w:pPr>
        <w:rPr>
          <w:lang w:val="sl-SI"/>
        </w:rPr>
      </w:pPr>
      <w:r>
        <w:rPr>
          <w:lang w:val="sl-SI"/>
        </w:rPr>
        <w:t>Prav tako lahko izpostavimo primer Grčije</w:t>
      </w:r>
      <w:r w:rsidR="00863783">
        <w:rPr>
          <w:lang w:val="sl-SI"/>
        </w:rPr>
        <w:t xml:space="preserve"> in programa PRODESA</w:t>
      </w:r>
      <w:r w:rsidR="003F7726">
        <w:rPr>
          <w:lang w:val="sl-SI"/>
        </w:rPr>
        <w:t xml:space="preserve"> (</w:t>
      </w:r>
      <w:hyperlink r:id="rId34" w:history="1">
        <w:r w:rsidR="00F90EE7" w:rsidRPr="00663B81">
          <w:rPr>
            <w:rStyle w:val="Hiperpovezava"/>
            <w:lang w:val="sl-SI"/>
          </w:rPr>
          <w:t>https://www.prodesa.eu/?lang=en</w:t>
        </w:r>
      </w:hyperlink>
      <w:r w:rsidR="003F7726">
        <w:rPr>
          <w:lang w:val="sl-SI"/>
        </w:rPr>
        <w:t>)</w:t>
      </w:r>
      <w:r w:rsidR="00863783">
        <w:rPr>
          <w:lang w:val="sl-SI"/>
        </w:rPr>
        <w:t xml:space="preserve">, ki je </w:t>
      </w:r>
      <w:r w:rsidR="00FA0081">
        <w:rPr>
          <w:lang w:val="sl-SI"/>
        </w:rPr>
        <w:t xml:space="preserve">delno </w:t>
      </w:r>
      <w:r w:rsidR="00863783">
        <w:rPr>
          <w:lang w:val="sl-SI"/>
        </w:rPr>
        <w:t xml:space="preserve">financiran </w:t>
      </w:r>
      <w:r w:rsidR="00FA0081">
        <w:rPr>
          <w:lang w:val="sl-SI"/>
        </w:rPr>
        <w:t xml:space="preserve">celo s strani programa </w:t>
      </w:r>
      <w:proofErr w:type="spellStart"/>
      <w:r w:rsidR="00863783">
        <w:rPr>
          <w:lang w:val="sl-SI"/>
        </w:rPr>
        <w:t>Horizon</w:t>
      </w:r>
      <w:proofErr w:type="spellEnd"/>
      <w:r w:rsidR="00863783">
        <w:rPr>
          <w:lang w:val="sl-SI"/>
        </w:rPr>
        <w:t xml:space="preserve"> </w:t>
      </w:r>
      <w:r w:rsidR="00F90EE7">
        <w:rPr>
          <w:lang w:val="sl-SI"/>
        </w:rPr>
        <w:t xml:space="preserve">2020 </w:t>
      </w:r>
      <w:proofErr w:type="spellStart"/>
      <w:r w:rsidR="00863783">
        <w:rPr>
          <w:lang w:val="sl-SI"/>
        </w:rPr>
        <w:t>E</w:t>
      </w:r>
      <w:r w:rsidR="005801D3">
        <w:rPr>
          <w:lang w:val="sl-SI"/>
        </w:rPr>
        <w:t>urope</w:t>
      </w:r>
      <w:proofErr w:type="spellEnd"/>
      <w:r w:rsidR="00863783">
        <w:rPr>
          <w:lang w:val="sl-SI"/>
        </w:rPr>
        <w:t xml:space="preserve">. </w:t>
      </w:r>
      <w:r w:rsidR="005801D3">
        <w:rPr>
          <w:lang w:val="sl-SI"/>
        </w:rPr>
        <w:t xml:space="preserve">Namen programa PRODESA je </w:t>
      </w:r>
      <w:r w:rsidR="006B4AB3">
        <w:rPr>
          <w:lang w:val="sl-SI"/>
        </w:rPr>
        <w:t xml:space="preserve">razvoj projektov energetske učinkovitosti, ki vključuje </w:t>
      </w:r>
      <w:r w:rsidR="00F90EE7">
        <w:rPr>
          <w:lang w:val="sl-SI"/>
        </w:rPr>
        <w:t xml:space="preserve">tudi </w:t>
      </w:r>
      <w:r w:rsidR="006B4AB3">
        <w:rPr>
          <w:lang w:val="sl-SI"/>
        </w:rPr>
        <w:t xml:space="preserve">prenovo javnih stavb v </w:t>
      </w:r>
      <w:r w:rsidR="008F2706">
        <w:rPr>
          <w:lang w:val="sl-SI"/>
        </w:rPr>
        <w:t>30</w:t>
      </w:r>
      <w:r w:rsidR="006B4AB3">
        <w:rPr>
          <w:lang w:val="sl-SI"/>
        </w:rPr>
        <w:t xml:space="preserve"> občin</w:t>
      </w:r>
      <w:r w:rsidR="00C86B0F">
        <w:rPr>
          <w:lang w:val="sl-SI"/>
        </w:rPr>
        <w:t>ah</w:t>
      </w:r>
      <w:r w:rsidR="006B4AB3">
        <w:rPr>
          <w:lang w:val="sl-SI"/>
        </w:rPr>
        <w:t xml:space="preserve">. </w:t>
      </w:r>
      <w:r w:rsidR="00C74EC4">
        <w:rPr>
          <w:lang w:val="sl-SI"/>
        </w:rPr>
        <w:t xml:space="preserve">Program </w:t>
      </w:r>
      <w:r w:rsidR="00B74C11">
        <w:rPr>
          <w:lang w:val="sl-SI"/>
        </w:rPr>
        <w:t xml:space="preserve">združuje </w:t>
      </w:r>
      <w:r w:rsidR="00CB7BED">
        <w:rPr>
          <w:lang w:val="sl-SI"/>
        </w:rPr>
        <w:t>financiranje iz različnih virov</w:t>
      </w:r>
      <w:r w:rsidR="00C86B0F">
        <w:rPr>
          <w:lang w:val="sl-SI"/>
        </w:rPr>
        <w:t>,</w:t>
      </w:r>
      <w:r w:rsidR="00CB7BED">
        <w:rPr>
          <w:lang w:val="sl-SI"/>
        </w:rPr>
        <w:t xml:space="preserve"> kot so</w:t>
      </w:r>
      <w:r w:rsidR="00C86B0F">
        <w:rPr>
          <w:lang w:val="sl-SI"/>
        </w:rPr>
        <w:t xml:space="preserve"> </w:t>
      </w:r>
      <w:r w:rsidR="00CB7BED">
        <w:rPr>
          <w:lang w:val="sl-SI"/>
        </w:rPr>
        <w:t xml:space="preserve">ESCO pogodbe, </w:t>
      </w:r>
      <w:proofErr w:type="spellStart"/>
      <w:r w:rsidR="00780A25">
        <w:rPr>
          <w:lang w:val="sl-SI"/>
        </w:rPr>
        <w:t>crowdfunding</w:t>
      </w:r>
      <w:proofErr w:type="spellEnd"/>
      <w:r w:rsidR="00780A25">
        <w:rPr>
          <w:lang w:val="sl-SI"/>
        </w:rPr>
        <w:t>, javna sredstva, lastna sredstva občin</w:t>
      </w:r>
      <w:r w:rsidR="00027DA3">
        <w:rPr>
          <w:lang w:val="sl-SI"/>
        </w:rPr>
        <w:t xml:space="preserve">. </w:t>
      </w:r>
      <w:r w:rsidR="00D3687B">
        <w:rPr>
          <w:lang w:val="sl-SI"/>
        </w:rPr>
        <w:t xml:space="preserve">V okviru projekta je razvit sistem enovitega naročanja </w:t>
      </w:r>
      <w:r w:rsidR="00240207">
        <w:rPr>
          <w:lang w:val="sl-SI"/>
        </w:rPr>
        <w:t xml:space="preserve">energetskih </w:t>
      </w:r>
      <w:r w:rsidR="00F757FB">
        <w:rPr>
          <w:lang w:val="sl-SI"/>
        </w:rPr>
        <w:t xml:space="preserve">prenov </w:t>
      </w:r>
      <w:r w:rsidR="003E6E74">
        <w:rPr>
          <w:lang w:val="sl-SI"/>
        </w:rPr>
        <w:t xml:space="preserve">za </w:t>
      </w:r>
      <w:r w:rsidR="00240207">
        <w:rPr>
          <w:lang w:val="sl-SI"/>
        </w:rPr>
        <w:t xml:space="preserve">kar </w:t>
      </w:r>
      <w:r w:rsidR="00686817">
        <w:rPr>
          <w:lang w:val="sl-SI"/>
        </w:rPr>
        <w:t>116</w:t>
      </w:r>
      <w:r w:rsidR="00F757FB">
        <w:rPr>
          <w:lang w:val="sl-SI"/>
        </w:rPr>
        <w:t xml:space="preserve"> stavb </w:t>
      </w:r>
      <w:r w:rsidR="008E2615">
        <w:rPr>
          <w:lang w:val="sl-SI"/>
        </w:rPr>
        <w:t xml:space="preserve">s skupno investicijo </w:t>
      </w:r>
      <w:r w:rsidR="00240207">
        <w:rPr>
          <w:lang w:val="sl-SI"/>
        </w:rPr>
        <w:t xml:space="preserve">v višini </w:t>
      </w:r>
      <w:r w:rsidR="002E4917">
        <w:rPr>
          <w:lang w:val="sl-SI"/>
        </w:rPr>
        <w:t>30</w:t>
      </w:r>
      <w:r w:rsidR="008E2615">
        <w:rPr>
          <w:lang w:val="sl-SI"/>
        </w:rPr>
        <w:t>,2</w:t>
      </w:r>
      <w:r w:rsidR="002E4917">
        <w:rPr>
          <w:lang w:val="sl-SI"/>
        </w:rPr>
        <w:t>4</w:t>
      </w:r>
      <w:r w:rsidR="008E2615">
        <w:rPr>
          <w:lang w:val="sl-SI"/>
        </w:rPr>
        <w:t xml:space="preserve"> m</w:t>
      </w:r>
      <w:r w:rsidR="007720CF">
        <w:rPr>
          <w:lang w:val="sl-SI"/>
        </w:rPr>
        <w:t xml:space="preserve">ilijonov </w:t>
      </w:r>
      <w:r w:rsidR="008E2615">
        <w:rPr>
          <w:lang w:val="sl-SI"/>
        </w:rPr>
        <w:t xml:space="preserve">EUR. </w:t>
      </w:r>
      <w:r w:rsidR="00A14171">
        <w:rPr>
          <w:lang w:val="sl-SI"/>
        </w:rPr>
        <w:t xml:space="preserve">Projekti so združeni v </w:t>
      </w:r>
      <w:r w:rsidR="00D82E39">
        <w:rPr>
          <w:lang w:val="sl-SI"/>
        </w:rPr>
        <w:t xml:space="preserve">skupine </w:t>
      </w:r>
      <w:r w:rsidR="00A1384C">
        <w:rPr>
          <w:lang w:val="sl-SI"/>
        </w:rPr>
        <w:t>po</w:t>
      </w:r>
      <w:r w:rsidR="00D82E39">
        <w:rPr>
          <w:lang w:val="sl-SI"/>
        </w:rPr>
        <w:t xml:space="preserve"> 10 do 23 stavb</w:t>
      </w:r>
      <w:r w:rsidR="000D5111">
        <w:rPr>
          <w:lang w:val="sl-SI"/>
        </w:rPr>
        <w:t xml:space="preserve"> </w:t>
      </w:r>
      <w:r w:rsidR="00590277">
        <w:rPr>
          <w:lang w:val="sl-SI"/>
        </w:rPr>
        <w:t xml:space="preserve">z investicijami, ki so tudi bile pokrite po </w:t>
      </w:r>
      <w:proofErr w:type="spellStart"/>
      <w:r w:rsidR="00590277">
        <w:rPr>
          <w:lang w:val="sl-SI"/>
        </w:rPr>
        <w:t>sistemju</w:t>
      </w:r>
      <w:proofErr w:type="spellEnd"/>
      <w:r w:rsidR="00590277">
        <w:rPr>
          <w:lang w:val="sl-SI"/>
        </w:rPr>
        <w:t xml:space="preserve"> JZP </w:t>
      </w:r>
      <w:r w:rsidR="00EE5DC7">
        <w:rPr>
          <w:lang w:val="sl-SI"/>
        </w:rPr>
        <w:t xml:space="preserve">z ESCO pogodbami. </w:t>
      </w:r>
      <w:r w:rsidR="000D5111">
        <w:rPr>
          <w:lang w:val="sl-SI"/>
        </w:rPr>
        <w:t xml:space="preserve"> </w:t>
      </w:r>
    </w:p>
    <w:p w14:paraId="6E997FD9" w14:textId="4A742B79" w:rsidR="00E2503F" w:rsidRDefault="00E2503F" w:rsidP="00E2503F">
      <w:pPr>
        <w:rPr>
          <w:lang w:val="sl-SI"/>
        </w:rPr>
      </w:pPr>
      <w:r>
        <w:rPr>
          <w:noProof/>
          <w:lang w:val="sl-SI"/>
        </w:rPr>
        <w:drawing>
          <wp:anchor distT="0" distB="0" distL="114300" distR="114300" simplePos="0" relativeHeight="251658260" behindDoc="1" locked="0" layoutInCell="1" allowOverlap="1" wp14:anchorId="0782AD3E" wp14:editId="3B3CCA56">
            <wp:simplePos x="0" y="0"/>
            <wp:positionH relativeFrom="column">
              <wp:posOffset>-457200</wp:posOffset>
            </wp:positionH>
            <wp:positionV relativeFrom="paragraph">
              <wp:posOffset>163830</wp:posOffset>
            </wp:positionV>
            <wp:extent cx="324000" cy="324000"/>
            <wp:effectExtent l="0" t="0" r="0" b="0"/>
            <wp:wrapTight wrapText="bothSides">
              <wp:wrapPolygon edited="0">
                <wp:start x="8471" y="847"/>
                <wp:lineTo x="4235" y="4235"/>
                <wp:lineTo x="1694" y="10165"/>
                <wp:lineTo x="3388" y="16094"/>
                <wp:lineTo x="8471" y="20329"/>
                <wp:lineTo x="12706" y="20329"/>
                <wp:lineTo x="17788" y="16094"/>
                <wp:lineTo x="20329" y="10165"/>
                <wp:lineTo x="17788" y="5082"/>
                <wp:lineTo x="12706" y="847"/>
                <wp:lineTo x="8471" y="847"/>
              </wp:wrapPolygon>
            </wp:wrapTight>
            <wp:docPr id="26" name="Grafika 26" descr="Map 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p compass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11CA9A8D" w14:textId="77777777" w:rsidR="00E2503F" w:rsidRDefault="00E2503F" w:rsidP="00E2503F">
      <w:pPr>
        <w:pStyle w:val="Naslov3"/>
      </w:pPr>
      <w:bookmarkStart w:id="319" w:name="_Toc131352168"/>
      <w:bookmarkStart w:id="320" w:name="_Toc131458230"/>
      <w:bookmarkStart w:id="321" w:name="_Toc136287605"/>
      <w:r>
        <w:t>Priporočila</w:t>
      </w:r>
      <w:bookmarkEnd w:id="319"/>
      <w:bookmarkEnd w:id="320"/>
      <w:bookmarkEnd w:id="321"/>
    </w:p>
    <w:p w14:paraId="0DE5CD1C" w14:textId="2BC7F00D" w:rsidR="009231F3" w:rsidRDefault="00BD1580" w:rsidP="00527C46">
      <w:pPr>
        <w:rPr>
          <w:lang w:val="sl-SI"/>
        </w:rPr>
      </w:pPr>
      <w:r>
        <w:rPr>
          <w:lang w:val="sl-SI"/>
        </w:rPr>
        <w:t xml:space="preserve">Iz opisanega lahko izhajamo, da </w:t>
      </w:r>
      <w:r w:rsidR="00910BE6">
        <w:rPr>
          <w:lang w:val="sl-SI"/>
        </w:rPr>
        <w:t>pregled literature</w:t>
      </w:r>
      <w:r>
        <w:rPr>
          <w:lang w:val="sl-SI"/>
        </w:rPr>
        <w:t>, ki je na voljo,</w:t>
      </w:r>
      <w:r w:rsidR="00910BE6">
        <w:rPr>
          <w:lang w:val="sl-SI"/>
        </w:rPr>
        <w:t xml:space="preserve"> in primerljivi </w:t>
      </w:r>
      <w:r w:rsidR="00A946A3">
        <w:rPr>
          <w:lang w:val="sl-SI"/>
        </w:rPr>
        <w:t>program</w:t>
      </w:r>
      <w:r w:rsidR="004E0291">
        <w:rPr>
          <w:lang w:val="sl-SI"/>
        </w:rPr>
        <w:t xml:space="preserve">i </w:t>
      </w:r>
      <w:r w:rsidR="00910BE6">
        <w:rPr>
          <w:lang w:val="sl-SI"/>
        </w:rPr>
        <w:t xml:space="preserve">v EU </w:t>
      </w:r>
      <w:r>
        <w:rPr>
          <w:lang w:val="sl-SI"/>
        </w:rPr>
        <w:t>pokaže</w:t>
      </w:r>
      <w:r w:rsidR="004E0291">
        <w:rPr>
          <w:lang w:val="sl-SI"/>
        </w:rPr>
        <w:t>jo</w:t>
      </w:r>
      <w:r>
        <w:rPr>
          <w:lang w:val="sl-SI"/>
        </w:rPr>
        <w:t xml:space="preserve"> </w:t>
      </w:r>
      <w:r w:rsidR="00BC1C54">
        <w:rPr>
          <w:lang w:val="sl-SI"/>
        </w:rPr>
        <w:t xml:space="preserve">veliko dodano vrednost </w:t>
      </w:r>
      <w:r>
        <w:rPr>
          <w:lang w:val="sl-SI"/>
        </w:rPr>
        <w:t xml:space="preserve">centraliziranega pristopa </w:t>
      </w:r>
      <w:r w:rsidR="00BC1C54">
        <w:rPr>
          <w:lang w:val="sl-SI"/>
        </w:rPr>
        <w:t>določa</w:t>
      </w:r>
      <w:r w:rsidR="00B00323">
        <w:rPr>
          <w:lang w:val="sl-SI"/>
        </w:rPr>
        <w:t xml:space="preserve">nja prioritet, terminskega in finančnega načrta energetskih prenov. </w:t>
      </w:r>
      <w:r w:rsidR="00BC1C54">
        <w:rPr>
          <w:lang w:val="sl-SI"/>
        </w:rPr>
        <w:t xml:space="preserve"> </w:t>
      </w:r>
    </w:p>
    <w:p w14:paraId="2E6B3B0D" w14:textId="20EDDFD7" w:rsidR="006B4E85" w:rsidRDefault="00E859EC" w:rsidP="00527C46">
      <w:pPr>
        <w:rPr>
          <w:lang w:val="sl-SI"/>
        </w:rPr>
      </w:pPr>
      <w:r>
        <w:rPr>
          <w:lang w:val="sl-SI"/>
        </w:rPr>
        <w:t xml:space="preserve">Za doseganje ekonomije obsega je ključno ne le združevanje projektov pač pa tudi </w:t>
      </w:r>
      <w:r w:rsidR="005D479E">
        <w:rPr>
          <w:lang w:val="sl-SI"/>
        </w:rPr>
        <w:t xml:space="preserve">združevanje </w:t>
      </w:r>
      <w:r>
        <w:rPr>
          <w:lang w:val="sl-SI"/>
        </w:rPr>
        <w:t>različnih virov financiranja (</w:t>
      </w:r>
      <w:r w:rsidR="00370212">
        <w:rPr>
          <w:lang w:val="sl-SI"/>
        </w:rPr>
        <w:t>EU sredstev, lastn</w:t>
      </w:r>
      <w:r>
        <w:rPr>
          <w:lang w:val="sl-SI"/>
        </w:rPr>
        <w:t>a</w:t>
      </w:r>
      <w:r w:rsidR="00370212">
        <w:rPr>
          <w:lang w:val="sl-SI"/>
        </w:rPr>
        <w:t xml:space="preserve"> sredstv</w:t>
      </w:r>
      <w:r>
        <w:rPr>
          <w:lang w:val="sl-SI"/>
        </w:rPr>
        <w:t>a</w:t>
      </w:r>
      <w:r w:rsidR="00370212">
        <w:rPr>
          <w:lang w:val="sl-SI"/>
        </w:rPr>
        <w:t>, prih</w:t>
      </w:r>
      <w:r>
        <w:rPr>
          <w:lang w:val="sl-SI"/>
        </w:rPr>
        <w:t>r</w:t>
      </w:r>
      <w:r w:rsidR="00370212">
        <w:rPr>
          <w:lang w:val="sl-SI"/>
        </w:rPr>
        <w:t>ank</w:t>
      </w:r>
      <w:r>
        <w:rPr>
          <w:lang w:val="sl-SI"/>
        </w:rPr>
        <w:t xml:space="preserve">i </w:t>
      </w:r>
      <w:r w:rsidR="00370212">
        <w:rPr>
          <w:lang w:val="sl-SI"/>
        </w:rPr>
        <w:t>iz obstoječih projektov</w:t>
      </w:r>
      <w:r w:rsidR="00D31D37">
        <w:rPr>
          <w:lang w:val="sl-SI"/>
        </w:rPr>
        <w:t xml:space="preserve"> prenov, </w:t>
      </w:r>
      <w:r w:rsidR="009231F3">
        <w:rPr>
          <w:lang w:val="sl-SI"/>
        </w:rPr>
        <w:t>posojil</w:t>
      </w:r>
      <w:r>
        <w:rPr>
          <w:lang w:val="sl-SI"/>
        </w:rPr>
        <w:t>a</w:t>
      </w:r>
      <w:r w:rsidR="009231F3">
        <w:rPr>
          <w:lang w:val="sl-SI"/>
        </w:rPr>
        <w:t xml:space="preserve"> in podobno</w:t>
      </w:r>
      <w:r>
        <w:rPr>
          <w:lang w:val="sl-SI"/>
        </w:rPr>
        <w:t>)</w:t>
      </w:r>
      <w:r w:rsidR="009231F3">
        <w:rPr>
          <w:lang w:val="sl-SI"/>
        </w:rPr>
        <w:t xml:space="preserve">. </w:t>
      </w:r>
      <w:r>
        <w:rPr>
          <w:lang w:val="sl-SI"/>
        </w:rPr>
        <w:t>Pretekle izkušnje nam več kot očitno pokažejo, da EU sredstva n</w:t>
      </w:r>
      <w:r w:rsidR="00EC1929">
        <w:rPr>
          <w:lang w:val="sl-SI"/>
        </w:rPr>
        <w:t>iso zadostna, da bi lahko</w:t>
      </w:r>
      <w:r w:rsidR="005D479E">
        <w:rPr>
          <w:lang w:val="sl-SI"/>
        </w:rPr>
        <w:t xml:space="preserve"> hitro</w:t>
      </w:r>
      <w:r w:rsidR="00EC1929">
        <w:rPr>
          <w:lang w:val="sl-SI"/>
        </w:rPr>
        <w:t xml:space="preserve"> zap</w:t>
      </w:r>
      <w:r w:rsidR="005D479E">
        <w:rPr>
          <w:lang w:val="sl-SI"/>
        </w:rPr>
        <w:t xml:space="preserve">rla </w:t>
      </w:r>
      <w:r w:rsidR="000811D4">
        <w:rPr>
          <w:lang w:val="sl-SI"/>
        </w:rPr>
        <w:t>identificirane vrzeli</w:t>
      </w:r>
      <w:r w:rsidR="00C81E4C">
        <w:rPr>
          <w:lang w:val="sl-SI"/>
        </w:rPr>
        <w:t xml:space="preserve">, </w:t>
      </w:r>
      <w:r w:rsidR="00A34FE9">
        <w:rPr>
          <w:lang w:val="sl-SI"/>
        </w:rPr>
        <w:t>v kolikor bomo n</w:t>
      </w:r>
      <w:r w:rsidR="005D479E">
        <w:rPr>
          <w:lang w:val="sl-SI"/>
        </w:rPr>
        <w:t>a</w:t>
      </w:r>
      <w:r w:rsidR="00A34FE9">
        <w:rPr>
          <w:lang w:val="sl-SI"/>
        </w:rPr>
        <w:t>daljevali s trenutno dinamiko in načinom implementacije energetskih prenov. R</w:t>
      </w:r>
      <w:r w:rsidR="00EC1929">
        <w:rPr>
          <w:lang w:val="sl-SI"/>
        </w:rPr>
        <w:t xml:space="preserve">azpršena implementacija energetskih prenov </w:t>
      </w:r>
      <w:r w:rsidR="0082148A">
        <w:rPr>
          <w:lang w:val="sl-SI"/>
        </w:rPr>
        <w:t xml:space="preserve">namreč več kot očitno predstavlja </w:t>
      </w:r>
      <w:r w:rsidR="00EC1929">
        <w:rPr>
          <w:lang w:val="sl-SI"/>
        </w:rPr>
        <w:t xml:space="preserve">visoko tveganje za dosego </w:t>
      </w:r>
      <w:r w:rsidR="00E646DC">
        <w:rPr>
          <w:lang w:val="sl-SI"/>
        </w:rPr>
        <w:t>začrtanih ciljev</w:t>
      </w:r>
      <w:r w:rsidR="000811D4">
        <w:rPr>
          <w:lang w:val="sl-SI"/>
        </w:rPr>
        <w:t xml:space="preserve">. </w:t>
      </w:r>
    </w:p>
    <w:p w14:paraId="1B7CE2C6" w14:textId="405DC034" w:rsidR="00527C46" w:rsidRPr="00527C46" w:rsidRDefault="00501013" w:rsidP="00527C46">
      <w:pPr>
        <w:rPr>
          <w:lang w:val="sl-SI"/>
        </w:rPr>
      </w:pPr>
      <w:r>
        <w:rPr>
          <w:lang w:val="sl-SI"/>
        </w:rPr>
        <w:t xml:space="preserve">Posamezna ministrstva </w:t>
      </w:r>
      <w:r w:rsidR="00C8663F">
        <w:rPr>
          <w:lang w:val="sl-SI"/>
        </w:rPr>
        <w:t>se soočajo z izzivi, kot so zagotavljanje integralnih pr</w:t>
      </w:r>
      <w:r w:rsidR="00AC70E1">
        <w:rPr>
          <w:lang w:val="sl-SI"/>
        </w:rPr>
        <w:t>oračunskih sredstev</w:t>
      </w:r>
      <w:r w:rsidR="00C8663F">
        <w:rPr>
          <w:lang w:val="sl-SI"/>
        </w:rPr>
        <w:t xml:space="preserve">, </w:t>
      </w:r>
      <w:r w:rsidR="00AC70E1">
        <w:rPr>
          <w:lang w:val="sl-SI"/>
        </w:rPr>
        <w:t>kadrovsko – organizacijsk</w:t>
      </w:r>
      <w:r w:rsidR="00A95FF5">
        <w:rPr>
          <w:lang w:val="sl-SI"/>
        </w:rPr>
        <w:t>e</w:t>
      </w:r>
      <w:r w:rsidR="00AC70E1">
        <w:rPr>
          <w:lang w:val="sl-SI"/>
        </w:rPr>
        <w:t xml:space="preserve"> kapacitet</w:t>
      </w:r>
      <w:r w:rsidR="00A95FF5">
        <w:rPr>
          <w:lang w:val="sl-SI"/>
        </w:rPr>
        <w:t xml:space="preserve">e, </w:t>
      </w:r>
      <w:r w:rsidR="00C8663F">
        <w:rPr>
          <w:lang w:val="sl-SI"/>
        </w:rPr>
        <w:t>specifično znanje in izkušnje</w:t>
      </w:r>
      <w:r w:rsidR="00A95FF5">
        <w:rPr>
          <w:lang w:val="sl-SI"/>
        </w:rPr>
        <w:t xml:space="preserve"> povezane z energetskimi prenovami. </w:t>
      </w:r>
      <w:r w:rsidR="00CC6260">
        <w:rPr>
          <w:lang w:val="sl-SI"/>
        </w:rPr>
        <w:t xml:space="preserve">Ta izziv postane </w:t>
      </w:r>
      <w:r w:rsidR="0029592C">
        <w:rPr>
          <w:lang w:val="sl-SI"/>
        </w:rPr>
        <w:t xml:space="preserve">toliko večji, ko so prijavitelji projektov energetskih prenov iz širšega javnega sektorja in pod okriljem posameznega ministrstva (javni </w:t>
      </w:r>
      <w:r w:rsidR="00CC6260">
        <w:rPr>
          <w:lang w:val="sl-SI"/>
        </w:rPr>
        <w:t>zavodi, domovi za ostarele,</w:t>
      </w:r>
      <w:r w:rsidR="0029592C">
        <w:rPr>
          <w:lang w:val="sl-SI"/>
        </w:rPr>
        <w:t xml:space="preserve"> srednje šole, univerze</w:t>
      </w:r>
      <w:r w:rsidR="00CC6260">
        <w:rPr>
          <w:lang w:val="sl-SI"/>
        </w:rPr>
        <w:t xml:space="preserve"> ipd.)</w:t>
      </w:r>
      <w:r w:rsidR="0029592C">
        <w:rPr>
          <w:lang w:val="sl-SI"/>
        </w:rPr>
        <w:t xml:space="preserve">. </w:t>
      </w:r>
      <w:r w:rsidR="00E5672C">
        <w:rPr>
          <w:lang w:val="sl-SI"/>
        </w:rPr>
        <w:t xml:space="preserve">Enako velja tudi za občine, katerih največji izziv je prav tako zagotavljanje lastnih sredstev in kompleksnost samih postopkov. </w:t>
      </w:r>
      <w:r w:rsidR="0029592C">
        <w:rPr>
          <w:lang w:val="sl-SI"/>
        </w:rPr>
        <w:t xml:space="preserve">Občine </w:t>
      </w:r>
      <w:r w:rsidR="00767F93">
        <w:rPr>
          <w:lang w:val="sl-SI"/>
        </w:rPr>
        <w:t xml:space="preserve">so </w:t>
      </w:r>
      <w:r w:rsidR="00E5672C">
        <w:rPr>
          <w:lang w:val="sl-SI"/>
        </w:rPr>
        <w:t xml:space="preserve">dodatno </w:t>
      </w:r>
      <w:r w:rsidR="0029592C">
        <w:rPr>
          <w:lang w:val="sl-SI"/>
        </w:rPr>
        <w:t xml:space="preserve">zakonsko </w:t>
      </w:r>
      <w:r w:rsidR="00767F93">
        <w:rPr>
          <w:lang w:val="sl-SI"/>
        </w:rPr>
        <w:t>omejene</w:t>
      </w:r>
      <w:r w:rsidR="00C4093C">
        <w:rPr>
          <w:lang w:val="sl-SI"/>
        </w:rPr>
        <w:t xml:space="preserve">, ker </w:t>
      </w:r>
      <w:r w:rsidR="00767F93">
        <w:rPr>
          <w:lang w:val="sl-SI"/>
        </w:rPr>
        <w:t xml:space="preserve">se </w:t>
      </w:r>
      <w:r w:rsidR="0029592C">
        <w:rPr>
          <w:lang w:val="sl-SI"/>
        </w:rPr>
        <w:t>ne smejo zadolževati pri tujih finančnih institucijah, čeprav so pogoji financiranja</w:t>
      </w:r>
      <w:r w:rsidR="00767F93">
        <w:rPr>
          <w:lang w:val="sl-SI"/>
        </w:rPr>
        <w:t xml:space="preserve"> pogosto ugodnejši. Zaradi vsega navedenega bi lahko centralizacija </w:t>
      </w:r>
      <w:r w:rsidR="00CC6260">
        <w:rPr>
          <w:lang w:val="sl-SI"/>
        </w:rPr>
        <w:t xml:space="preserve">procesa prenove </w:t>
      </w:r>
      <w:r w:rsidR="003D2A2F">
        <w:rPr>
          <w:lang w:val="sl-SI"/>
        </w:rPr>
        <w:t>tudi</w:t>
      </w:r>
      <w:r w:rsidR="00767F93">
        <w:rPr>
          <w:lang w:val="sl-SI"/>
        </w:rPr>
        <w:t xml:space="preserve"> v finančnem delu </w:t>
      </w:r>
      <w:r w:rsidR="00AD3ED4">
        <w:rPr>
          <w:lang w:val="sl-SI"/>
        </w:rPr>
        <w:t>bistven</w:t>
      </w:r>
      <w:r w:rsidR="00767F93">
        <w:rPr>
          <w:lang w:val="sl-SI"/>
        </w:rPr>
        <w:t xml:space="preserve">o pripomogla </w:t>
      </w:r>
      <w:r w:rsidR="003D2A2F">
        <w:rPr>
          <w:lang w:val="sl-SI"/>
        </w:rPr>
        <w:t xml:space="preserve">k hitrejšemu procesu </w:t>
      </w:r>
      <w:r w:rsidR="00CA712E">
        <w:rPr>
          <w:lang w:val="sl-SI"/>
        </w:rPr>
        <w:t xml:space="preserve">energetskih </w:t>
      </w:r>
      <w:r w:rsidR="003D2A2F">
        <w:rPr>
          <w:lang w:val="sl-SI"/>
        </w:rPr>
        <w:t xml:space="preserve">prenov, kar potrjujejo izkušnje tudi drugih držav EU. </w:t>
      </w:r>
      <w:r w:rsidR="00AD3ED4">
        <w:rPr>
          <w:lang w:val="sl-SI"/>
        </w:rPr>
        <w:t xml:space="preserve"> </w:t>
      </w:r>
    </w:p>
    <w:p w14:paraId="66A28A66" w14:textId="7E3D62AA" w:rsidR="00466C38" w:rsidRDefault="00466C38" w:rsidP="00466C38">
      <w:pPr>
        <w:rPr>
          <w:lang w:val="sl-SI"/>
        </w:rPr>
      </w:pPr>
      <w:r>
        <w:rPr>
          <w:lang w:val="sl-SI"/>
        </w:rPr>
        <w:t xml:space="preserve">Na koncu je pomembno omeniti še, da združevanje različnih virov financiranja zahteva ne le centralizirano upravljanje, pač pa tudi </w:t>
      </w:r>
      <w:r w:rsidR="0038324C">
        <w:rPr>
          <w:lang w:val="sl-SI"/>
        </w:rPr>
        <w:t xml:space="preserve">združevanje specifičnih znanj in kompetenc. </w:t>
      </w:r>
      <w:r>
        <w:rPr>
          <w:lang w:val="sl-SI"/>
        </w:rPr>
        <w:t xml:space="preserve">Vse </w:t>
      </w:r>
      <w:r>
        <w:rPr>
          <w:lang w:val="sl-SI"/>
        </w:rPr>
        <w:lastRenderedPageBreak/>
        <w:t xml:space="preserve">skupaj pa lahko pomembno izboljša pogajalsko pozicijo javnega sektorja ter </w:t>
      </w:r>
      <w:r w:rsidR="0038324C">
        <w:rPr>
          <w:lang w:val="sl-SI"/>
        </w:rPr>
        <w:t xml:space="preserve">pripomore k </w:t>
      </w:r>
      <w:r>
        <w:rPr>
          <w:lang w:val="sl-SI"/>
        </w:rPr>
        <w:t>zagotovi</w:t>
      </w:r>
      <w:r w:rsidR="0038324C">
        <w:rPr>
          <w:lang w:val="sl-SI"/>
        </w:rPr>
        <w:t>tvi</w:t>
      </w:r>
      <w:r>
        <w:rPr>
          <w:lang w:val="sl-SI"/>
        </w:rPr>
        <w:t xml:space="preserve"> enovit</w:t>
      </w:r>
      <w:r w:rsidR="0038324C">
        <w:rPr>
          <w:lang w:val="sl-SI"/>
        </w:rPr>
        <w:t>ega</w:t>
      </w:r>
      <w:r>
        <w:rPr>
          <w:lang w:val="sl-SI"/>
        </w:rPr>
        <w:t xml:space="preserve"> standard</w:t>
      </w:r>
      <w:r w:rsidR="0038324C">
        <w:rPr>
          <w:lang w:val="sl-SI"/>
        </w:rPr>
        <w:t>a</w:t>
      </w:r>
      <w:r>
        <w:rPr>
          <w:lang w:val="sl-SI"/>
        </w:rPr>
        <w:t xml:space="preserve"> energetskih prenov. </w:t>
      </w:r>
    </w:p>
    <w:p w14:paraId="71A824EA" w14:textId="77777777" w:rsidR="00E2503F" w:rsidRDefault="00E2503F" w:rsidP="00E2503F">
      <w:pPr>
        <w:rPr>
          <w:lang w:val="sl-SI"/>
        </w:rPr>
      </w:pPr>
      <w:r>
        <w:rPr>
          <w:noProof/>
          <w:lang w:val="sl-SI"/>
        </w:rPr>
        <w:drawing>
          <wp:anchor distT="0" distB="0" distL="114300" distR="114300" simplePos="0" relativeHeight="251658259" behindDoc="1" locked="0" layoutInCell="1" allowOverlap="1" wp14:anchorId="262B2288" wp14:editId="5FD8745A">
            <wp:simplePos x="0" y="0"/>
            <wp:positionH relativeFrom="column">
              <wp:posOffset>-460375</wp:posOffset>
            </wp:positionH>
            <wp:positionV relativeFrom="paragraph">
              <wp:posOffset>201295</wp:posOffset>
            </wp:positionV>
            <wp:extent cx="324000" cy="324000"/>
            <wp:effectExtent l="0" t="0" r="0" b="6350"/>
            <wp:wrapTight wrapText="bothSides">
              <wp:wrapPolygon edited="0">
                <wp:start x="15247" y="0"/>
                <wp:lineTo x="5929" y="2541"/>
                <wp:lineTo x="0" y="7624"/>
                <wp:lineTo x="847" y="15247"/>
                <wp:lineTo x="5082" y="19482"/>
                <wp:lineTo x="5929" y="21176"/>
                <wp:lineTo x="14400" y="21176"/>
                <wp:lineTo x="15247" y="19482"/>
                <wp:lineTo x="19482" y="15247"/>
                <wp:lineTo x="20329" y="4235"/>
                <wp:lineTo x="18635" y="0"/>
                <wp:lineTo x="15247" y="0"/>
              </wp:wrapPolygon>
            </wp:wrapTight>
            <wp:docPr id="27" name="Grafika 27" descr="Bulls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ullsey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24000" cy="324000"/>
                    </a:xfrm>
                    <a:prstGeom prst="rect">
                      <a:avLst/>
                    </a:prstGeom>
                  </pic:spPr>
                </pic:pic>
              </a:graphicData>
            </a:graphic>
            <wp14:sizeRelH relativeFrom="page">
              <wp14:pctWidth>0</wp14:pctWidth>
            </wp14:sizeRelH>
            <wp14:sizeRelV relativeFrom="page">
              <wp14:pctHeight>0</wp14:pctHeight>
            </wp14:sizeRelV>
          </wp:anchor>
        </w:drawing>
      </w:r>
    </w:p>
    <w:p w14:paraId="5A9D23B6" w14:textId="77777777" w:rsidR="00E2503F" w:rsidRDefault="00E2503F" w:rsidP="00E2503F">
      <w:pPr>
        <w:pStyle w:val="Naslov3"/>
      </w:pPr>
      <w:bookmarkStart w:id="322" w:name="_Toc131352169"/>
      <w:bookmarkStart w:id="323" w:name="_Toc131458231"/>
      <w:bookmarkStart w:id="324" w:name="_Toc136287606"/>
      <w:r>
        <w:t>Izzivi in omejitve</w:t>
      </w:r>
      <w:bookmarkEnd w:id="322"/>
      <w:bookmarkEnd w:id="323"/>
      <w:bookmarkEnd w:id="324"/>
      <w:r>
        <w:t xml:space="preserve"> </w:t>
      </w:r>
    </w:p>
    <w:p w14:paraId="6532B619" w14:textId="1BA218D9" w:rsidR="0011547F" w:rsidRDefault="00CA712E" w:rsidP="0011547F">
      <w:pPr>
        <w:rPr>
          <w:lang w:val="sl-SI"/>
        </w:rPr>
      </w:pPr>
      <w:r>
        <w:rPr>
          <w:lang w:val="sl-SI"/>
        </w:rPr>
        <w:t xml:space="preserve">Pri pripravi odgovora nismo imeli izzivov. Kot omejitev naj navedemo le, da </w:t>
      </w:r>
      <w:r w:rsidR="0097037F">
        <w:rPr>
          <w:lang w:val="sl-SI"/>
        </w:rPr>
        <w:t xml:space="preserve">je sistem prenove javnih stavb večinoma predmet internih poročil držav in ni toliko izpostavljen v </w:t>
      </w:r>
      <w:r>
        <w:rPr>
          <w:lang w:val="sl-SI"/>
        </w:rPr>
        <w:t xml:space="preserve">javno </w:t>
      </w:r>
      <w:r w:rsidR="00086960">
        <w:rPr>
          <w:lang w:val="sl-SI"/>
        </w:rPr>
        <w:t xml:space="preserve">dostopni </w:t>
      </w:r>
      <w:r w:rsidR="0097037F">
        <w:rPr>
          <w:lang w:val="sl-SI"/>
        </w:rPr>
        <w:t>literaturi. Le</w:t>
      </w:r>
      <w:r w:rsidR="00086960">
        <w:rPr>
          <w:lang w:val="sl-SI"/>
        </w:rPr>
        <w:t>-</w:t>
      </w:r>
      <w:r w:rsidR="0097037F">
        <w:rPr>
          <w:lang w:val="sl-SI"/>
        </w:rPr>
        <w:t xml:space="preserve">ta se predvsem osredotoča na prenovo stavb v </w:t>
      </w:r>
      <w:r w:rsidR="00086960">
        <w:rPr>
          <w:lang w:val="sl-SI"/>
        </w:rPr>
        <w:t>zasebni</w:t>
      </w:r>
      <w:r w:rsidR="0097037F">
        <w:rPr>
          <w:lang w:val="sl-SI"/>
        </w:rPr>
        <w:t xml:space="preserve"> lasti. </w:t>
      </w:r>
    </w:p>
    <w:p w14:paraId="7B92D9E5" w14:textId="77777777" w:rsidR="009378A1" w:rsidRDefault="009378A1" w:rsidP="0011547F">
      <w:pPr>
        <w:rPr>
          <w:lang w:val="sl-SI"/>
        </w:rPr>
      </w:pPr>
    </w:p>
    <w:p w14:paraId="464AA845" w14:textId="77777777" w:rsidR="009378A1" w:rsidRDefault="009378A1" w:rsidP="0011547F">
      <w:pPr>
        <w:rPr>
          <w:lang w:val="sl-SI"/>
        </w:rPr>
      </w:pPr>
    </w:p>
    <w:p w14:paraId="5BBDB834" w14:textId="7263B426" w:rsidR="002C3F9A" w:rsidRDefault="002C3F9A" w:rsidP="002C3F9A">
      <w:pPr>
        <w:pStyle w:val="Naslov1"/>
        <w:rPr>
          <w:lang w:val="sl-SI"/>
        </w:rPr>
      </w:pPr>
      <w:bookmarkStart w:id="325" w:name="_Toc136287607"/>
      <w:r w:rsidRPr="0058617C">
        <w:rPr>
          <w:lang w:val="sl-SI"/>
        </w:rPr>
        <w:t>Pregled opravljenih nalog</w:t>
      </w:r>
      <w:bookmarkEnd w:id="277"/>
      <w:bookmarkEnd w:id="325"/>
    </w:p>
    <w:p w14:paraId="64FA9510" w14:textId="1CCB10CB" w:rsidR="00D05739" w:rsidRDefault="00D05739" w:rsidP="00D05739">
      <w:pPr>
        <w:rPr>
          <w:lang w:val="sl-SI"/>
        </w:rPr>
      </w:pPr>
    </w:p>
    <w:p w14:paraId="7F8B8F4F" w14:textId="472A3E87" w:rsidR="00BA73BE" w:rsidRDefault="00D05739" w:rsidP="00D05739">
      <w:pPr>
        <w:rPr>
          <w:lang w:val="sl-SI"/>
        </w:rPr>
      </w:pPr>
      <w:r>
        <w:rPr>
          <w:lang w:val="sl-SI"/>
        </w:rPr>
        <w:t xml:space="preserve">V obdobju od potrditve </w:t>
      </w:r>
      <w:r w:rsidR="00E80E5B">
        <w:rPr>
          <w:lang w:val="sl-SI"/>
        </w:rPr>
        <w:t>začetnega poročila</w:t>
      </w:r>
      <w:r w:rsidR="00B55CFF">
        <w:rPr>
          <w:lang w:val="sl-SI"/>
        </w:rPr>
        <w:t xml:space="preserve"> </w:t>
      </w:r>
      <w:r w:rsidR="00616C1A">
        <w:rPr>
          <w:lang w:val="sl-SI"/>
        </w:rPr>
        <w:t>(</w:t>
      </w:r>
      <w:r w:rsidR="00B55CFF">
        <w:rPr>
          <w:lang w:val="sl-SI"/>
        </w:rPr>
        <w:t>metodologije</w:t>
      </w:r>
      <w:r w:rsidR="00616C1A">
        <w:rPr>
          <w:lang w:val="sl-SI"/>
        </w:rPr>
        <w:t xml:space="preserve">) </w:t>
      </w:r>
      <w:r w:rsidR="00BA73BE">
        <w:rPr>
          <w:lang w:val="sl-SI"/>
        </w:rPr>
        <w:t xml:space="preserve">dne </w:t>
      </w:r>
      <w:r w:rsidR="00616C1A">
        <w:rPr>
          <w:lang w:val="sl-SI"/>
        </w:rPr>
        <w:t xml:space="preserve">23.1.2023 </w:t>
      </w:r>
      <w:r w:rsidR="00DE72E4">
        <w:rPr>
          <w:lang w:val="sl-SI"/>
        </w:rPr>
        <w:t xml:space="preserve">do priprave končnega poročila </w:t>
      </w:r>
      <w:r w:rsidR="00E80E5B">
        <w:rPr>
          <w:lang w:val="sl-SI"/>
        </w:rPr>
        <w:t xml:space="preserve">smo </w:t>
      </w:r>
      <w:r w:rsidR="00BA73BE">
        <w:rPr>
          <w:lang w:val="sl-SI"/>
        </w:rPr>
        <w:t>izvedli naslednje naloge:</w:t>
      </w:r>
    </w:p>
    <w:p w14:paraId="4FB0AD9E" w14:textId="482549AF" w:rsidR="00BA73BE" w:rsidRDefault="00E80E5B" w:rsidP="00BA73BE">
      <w:pPr>
        <w:pStyle w:val="Odstavekseznama"/>
        <w:numPr>
          <w:ilvl w:val="0"/>
          <w:numId w:val="20"/>
        </w:numPr>
        <w:rPr>
          <w:lang w:val="sl-SI"/>
        </w:rPr>
      </w:pPr>
      <w:r w:rsidRPr="00BA73BE">
        <w:rPr>
          <w:lang w:val="sl-SI"/>
        </w:rPr>
        <w:t xml:space="preserve">pregledali </w:t>
      </w:r>
      <w:r w:rsidR="006A4191">
        <w:rPr>
          <w:lang w:val="sl-SI"/>
        </w:rPr>
        <w:t xml:space="preserve">in primerjali </w:t>
      </w:r>
      <w:r w:rsidRPr="00BA73BE">
        <w:rPr>
          <w:lang w:val="sl-SI"/>
        </w:rPr>
        <w:t>vse razpise in povabila</w:t>
      </w:r>
      <w:r w:rsidR="00181396">
        <w:rPr>
          <w:lang w:val="sl-SI"/>
        </w:rPr>
        <w:t>;</w:t>
      </w:r>
    </w:p>
    <w:p w14:paraId="10BC7154" w14:textId="598896C3" w:rsidR="006A4191" w:rsidRDefault="00BA73BE" w:rsidP="00BA73BE">
      <w:pPr>
        <w:pStyle w:val="Odstavekseznama"/>
        <w:numPr>
          <w:ilvl w:val="0"/>
          <w:numId w:val="20"/>
        </w:numPr>
        <w:rPr>
          <w:lang w:val="sl-SI"/>
        </w:rPr>
      </w:pPr>
      <w:r>
        <w:rPr>
          <w:lang w:val="sl-SI"/>
        </w:rPr>
        <w:t xml:space="preserve">pregledali in primerjali </w:t>
      </w:r>
      <w:r w:rsidR="00E80E5B" w:rsidRPr="00BA73BE">
        <w:rPr>
          <w:lang w:val="sl-SI"/>
        </w:rPr>
        <w:t>vsa navodila, priročnike in usmeritve ter njihove spremembe ter jih kronološko primerjali</w:t>
      </w:r>
      <w:r w:rsidR="006A4191">
        <w:rPr>
          <w:lang w:val="sl-SI"/>
        </w:rPr>
        <w:t xml:space="preserve"> z razpisi in povabili</w:t>
      </w:r>
      <w:r w:rsidR="00181396">
        <w:rPr>
          <w:lang w:val="sl-SI"/>
        </w:rPr>
        <w:t>;</w:t>
      </w:r>
    </w:p>
    <w:p w14:paraId="2FB2A9A8" w14:textId="1ACDDA63" w:rsidR="00416ED7" w:rsidRDefault="00416ED7" w:rsidP="00BA73BE">
      <w:pPr>
        <w:pStyle w:val="Odstavekseznama"/>
        <w:numPr>
          <w:ilvl w:val="0"/>
          <w:numId w:val="20"/>
        </w:numPr>
        <w:rPr>
          <w:lang w:val="sl-SI"/>
        </w:rPr>
      </w:pPr>
      <w:r>
        <w:rPr>
          <w:lang w:val="sl-SI"/>
        </w:rPr>
        <w:t xml:space="preserve">pripravili </w:t>
      </w:r>
      <w:proofErr w:type="spellStart"/>
      <w:r>
        <w:rPr>
          <w:lang w:val="sl-SI"/>
        </w:rPr>
        <w:t>časovnico</w:t>
      </w:r>
      <w:proofErr w:type="spellEnd"/>
      <w:r>
        <w:rPr>
          <w:lang w:val="sl-SI"/>
        </w:rPr>
        <w:t xml:space="preserve"> javnih razpisov in povabil ter kronologijo vseh sprememb navodil, usmeritev in priporočil;</w:t>
      </w:r>
    </w:p>
    <w:p w14:paraId="7629AD9E" w14:textId="552EFC24" w:rsidR="00181396" w:rsidRDefault="006A4191" w:rsidP="00BA73BE">
      <w:pPr>
        <w:pStyle w:val="Odstavekseznama"/>
        <w:numPr>
          <w:ilvl w:val="0"/>
          <w:numId w:val="20"/>
        </w:numPr>
        <w:rPr>
          <w:lang w:val="sl-SI"/>
        </w:rPr>
      </w:pPr>
      <w:r>
        <w:rPr>
          <w:lang w:val="sl-SI"/>
        </w:rPr>
        <w:t>p</w:t>
      </w:r>
      <w:r w:rsidR="00E80E5B" w:rsidRPr="00BA73BE">
        <w:rPr>
          <w:lang w:val="sl-SI"/>
        </w:rPr>
        <w:t xml:space="preserve">regledali strateške dokumente </w:t>
      </w:r>
      <w:r w:rsidR="00EF290D" w:rsidRPr="00BA73BE">
        <w:rPr>
          <w:lang w:val="sl-SI"/>
        </w:rPr>
        <w:t xml:space="preserve">Slovenije in EU, </w:t>
      </w:r>
      <w:r w:rsidR="00D500B4">
        <w:rPr>
          <w:lang w:val="sl-SI"/>
        </w:rPr>
        <w:t xml:space="preserve">vključno </w:t>
      </w:r>
      <w:r w:rsidR="006618E2">
        <w:rPr>
          <w:lang w:val="sl-SI"/>
        </w:rPr>
        <w:t>s predlogom posodobitve direktive</w:t>
      </w:r>
      <w:r w:rsidR="006618E2" w:rsidRPr="006618E2">
        <w:rPr>
          <w:lang w:val="sl-SI"/>
        </w:rPr>
        <w:t xml:space="preserve"> o energijski učinkovitosti stavb</w:t>
      </w:r>
      <w:r w:rsidR="006618E2">
        <w:rPr>
          <w:lang w:val="sl-SI"/>
        </w:rPr>
        <w:t xml:space="preserve">, </w:t>
      </w:r>
      <w:r w:rsidR="00EF290D" w:rsidRPr="00BA73BE">
        <w:rPr>
          <w:lang w:val="sl-SI"/>
        </w:rPr>
        <w:t xml:space="preserve">da smo lahko pripravili intervencijsko logiko ter </w:t>
      </w:r>
      <w:r>
        <w:rPr>
          <w:lang w:val="sl-SI"/>
        </w:rPr>
        <w:t>z njo povezane ugotovitve in priporočila</w:t>
      </w:r>
      <w:r w:rsidR="00181396">
        <w:rPr>
          <w:lang w:val="sl-SI"/>
        </w:rPr>
        <w:t>;</w:t>
      </w:r>
    </w:p>
    <w:p w14:paraId="6289331C" w14:textId="340F9FC3" w:rsidR="00181396" w:rsidRDefault="00181396" w:rsidP="00BA73BE">
      <w:pPr>
        <w:pStyle w:val="Odstavekseznama"/>
        <w:numPr>
          <w:ilvl w:val="0"/>
          <w:numId w:val="20"/>
        </w:numPr>
        <w:rPr>
          <w:lang w:val="sl-SI"/>
        </w:rPr>
      </w:pPr>
      <w:r>
        <w:rPr>
          <w:lang w:val="sl-SI"/>
        </w:rPr>
        <w:t xml:space="preserve">imeli dodaten delovni sestanek z MOPE, da smo dobili boljši vpogled v </w:t>
      </w:r>
      <w:r w:rsidR="00A95547">
        <w:rPr>
          <w:lang w:val="sl-SI"/>
        </w:rPr>
        <w:t xml:space="preserve">ekosistem prenove stavb in </w:t>
      </w:r>
      <w:r>
        <w:rPr>
          <w:lang w:val="sl-SI"/>
        </w:rPr>
        <w:t>izvajanje ukrepov</w:t>
      </w:r>
      <w:r w:rsidR="00DE72E4">
        <w:rPr>
          <w:lang w:val="sl-SI"/>
        </w:rPr>
        <w:t>;</w:t>
      </w:r>
    </w:p>
    <w:p w14:paraId="6FB5BF25" w14:textId="689ADA6F" w:rsidR="00845556" w:rsidRDefault="00DE72E4" w:rsidP="00BA73BE">
      <w:pPr>
        <w:pStyle w:val="Odstavekseznama"/>
        <w:numPr>
          <w:ilvl w:val="0"/>
          <w:numId w:val="20"/>
        </w:numPr>
        <w:rPr>
          <w:lang w:val="sl-SI"/>
        </w:rPr>
      </w:pPr>
      <w:r>
        <w:rPr>
          <w:lang w:val="sl-SI"/>
        </w:rPr>
        <w:t>pripravili anketo za upravičence A ter jo posredovali 70 očinam ter na</w:t>
      </w:r>
      <w:r w:rsidR="009D534A">
        <w:rPr>
          <w:lang w:val="sl-SI"/>
        </w:rPr>
        <w:t xml:space="preserve">to </w:t>
      </w:r>
      <w:r w:rsidR="00030377">
        <w:rPr>
          <w:lang w:val="sl-SI"/>
        </w:rPr>
        <w:t>pripravili opomnik</w:t>
      </w:r>
      <w:r w:rsidR="00277BB3">
        <w:rPr>
          <w:lang w:val="sl-SI"/>
        </w:rPr>
        <w:t xml:space="preserve"> (</w:t>
      </w:r>
      <w:r w:rsidR="00030377">
        <w:rPr>
          <w:lang w:val="sl-SI"/>
        </w:rPr>
        <w:t>d</w:t>
      </w:r>
      <w:r w:rsidR="00277BB3">
        <w:rPr>
          <w:lang w:val="sl-SI"/>
        </w:rPr>
        <w:t xml:space="preserve">o 11.4.2023 </w:t>
      </w:r>
      <w:r w:rsidR="00030377">
        <w:rPr>
          <w:lang w:val="sl-SI"/>
        </w:rPr>
        <w:t xml:space="preserve">smo prejeli </w:t>
      </w:r>
      <w:r w:rsidR="00845556">
        <w:rPr>
          <w:lang w:val="sl-SI"/>
        </w:rPr>
        <w:t>27 ustreznih odgovorov</w:t>
      </w:r>
      <w:r w:rsidR="00277BB3">
        <w:rPr>
          <w:lang w:val="sl-SI"/>
        </w:rPr>
        <w:t>)</w:t>
      </w:r>
      <w:r w:rsidR="00845556">
        <w:rPr>
          <w:lang w:val="sl-SI"/>
        </w:rPr>
        <w:t xml:space="preserve"> ter jih analizirali;</w:t>
      </w:r>
    </w:p>
    <w:p w14:paraId="403E3758" w14:textId="46D93A06" w:rsidR="00DE72E4" w:rsidRDefault="00845556" w:rsidP="00BA73BE">
      <w:pPr>
        <w:pStyle w:val="Odstavekseznama"/>
        <w:numPr>
          <w:ilvl w:val="0"/>
          <w:numId w:val="20"/>
        </w:numPr>
        <w:rPr>
          <w:lang w:val="sl-SI"/>
        </w:rPr>
      </w:pPr>
      <w:r>
        <w:rPr>
          <w:lang w:val="sl-SI"/>
        </w:rPr>
        <w:t xml:space="preserve">pripravili in izvedli </w:t>
      </w:r>
      <w:r w:rsidR="00277BB3">
        <w:rPr>
          <w:lang w:val="sl-SI"/>
        </w:rPr>
        <w:t xml:space="preserve">smo </w:t>
      </w:r>
      <w:r w:rsidR="006C574D">
        <w:rPr>
          <w:lang w:val="sl-SI"/>
        </w:rPr>
        <w:t>8</w:t>
      </w:r>
      <w:r w:rsidR="00277BB3">
        <w:rPr>
          <w:lang w:val="sl-SI"/>
        </w:rPr>
        <w:t xml:space="preserve"> strukturiranih intervjujev z ministrstvi;</w:t>
      </w:r>
    </w:p>
    <w:p w14:paraId="2FAAF4A2" w14:textId="123114CE" w:rsidR="00277BB3" w:rsidRDefault="00F903E8" w:rsidP="00BA73BE">
      <w:pPr>
        <w:pStyle w:val="Odstavekseznama"/>
        <w:numPr>
          <w:ilvl w:val="0"/>
          <w:numId w:val="20"/>
        </w:numPr>
        <w:rPr>
          <w:lang w:val="sl-SI"/>
        </w:rPr>
      </w:pPr>
      <w:r>
        <w:rPr>
          <w:lang w:val="sl-SI"/>
        </w:rPr>
        <w:t>p</w:t>
      </w:r>
      <w:r w:rsidR="00277BB3">
        <w:rPr>
          <w:lang w:val="sl-SI"/>
        </w:rPr>
        <w:t>regledali vloge in podatke o 1</w:t>
      </w:r>
      <w:r>
        <w:rPr>
          <w:lang w:val="sl-SI"/>
        </w:rPr>
        <w:t xml:space="preserve">30 </w:t>
      </w:r>
      <w:r w:rsidR="00277BB3">
        <w:rPr>
          <w:lang w:val="sl-SI"/>
        </w:rPr>
        <w:t>operacij</w:t>
      </w:r>
      <w:r>
        <w:rPr>
          <w:lang w:val="sl-SI"/>
        </w:rPr>
        <w:t>ah</w:t>
      </w:r>
      <w:r w:rsidR="00277BB3">
        <w:rPr>
          <w:lang w:val="sl-SI"/>
        </w:rPr>
        <w:t xml:space="preserve"> ter </w:t>
      </w:r>
      <w:r>
        <w:rPr>
          <w:lang w:val="sl-SI"/>
        </w:rPr>
        <w:t xml:space="preserve">analizirale </w:t>
      </w:r>
      <w:r w:rsidR="00277BB3">
        <w:rPr>
          <w:lang w:val="sl-SI"/>
        </w:rPr>
        <w:t>podatke o slednjih</w:t>
      </w:r>
      <w:r>
        <w:rPr>
          <w:lang w:val="sl-SI"/>
        </w:rPr>
        <w:t>;</w:t>
      </w:r>
    </w:p>
    <w:p w14:paraId="6709EE5E" w14:textId="4257EE30" w:rsidR="00C9790C" w:rsidRDefault="00F903E8" w:rsidP="00C9790C">
      <w:pPr>
        <w:pStyle w:val="Odstavekseznama"/>
        <w:numPr>
          <w:ilvl w:val="0"/>
          <w:numId w:val="20"/>
        </w:numPr>
        <w:rPr>
          <w:lang w:val="sl-SI"/>
        </w:rPr>
      </w:pPr>
      <w:r>
        <w:rPr>
          <w:lang w:val="sl-SI"/>
        </w:rPr>
        <w:t>odgovorili na vsa vprašanja vrednotenja</w:t>
      </w:r>
      <w:r w:rsidR="00C9790C">
        <w:rPr>
          <w:lang w:val="sl-SI"/>
        </w:rPr>
        <w:t>.</w:t>
      </w:r>
    </w:p>
    <w:p w14:paraId="7F3CECE6" w14:textId="77777777" w:rsidR="00C9790C" w:rsidRDefault="00C9790C" w:rsidP="00C9790C">
      <w:pPr>
        <w:rPr>
          <w:lang w:val="sl-SI"/>
        </w:rPr>
      </w:pPr>
    </w:p>
    <w:p w14:paraId="564B33CA" w14:textId="026DEC97" w:rsidR="00C9790C" w:rsidRDefault="00C9790C" w:rsidP="00C9790C">
      <w:pPr>
        <w:rPr>
          <w:lang w:val="sl-SI"/>
        </w:rPr>
      </w:pPr>
      <w:proofErr w:type="spellStart"/>
      <w:r w:rsidRPr="00AC72A8">
        <w:rPr>
          <w:lang w:val="sl-SI"/>
        </w:rPr>
        <w:t>Časovnica</w:t>
      </w:r>
      <w:proofErr w:type="spellEnd"/>
      <w:r w:rsidRPr="00AC72A8">
        <w:rPr>
          <w:lang w:val="sl-SI"/>
        </w:rPr>
        <w:t xml:space="preserve"> izvedenih nalog </w:t>
      </w:r>
      <w:r w:rsidR="0018542D">
        <w:rPr>
          <w:lang w:val="sl-SI"/>
        </w:rPr>
        <w:t xml:space="preserve">vrednotenja </w:t>
      </w:r>
      <w:r w:rsidRPr="00AC72A8">
        <w:rPr>
          <w:lang w:val="sl-SI"/>
        </w:rPr>
        <w:t xml:space="preserve">je </w:t>
      </w:r>
      <w:r w:rsidR="006C574D">
        <w:rPr>
          <w:lang w:val="sl-SI"/>
        </w:rPr>
        <w:t xml:space="preserve">prikazana v spodnji </w:t>
      </w:r>
      <w:r w:rsidR="004C3586">
        <w:rPr>
          <w:lang w:val="sl-SI"/>
        </w:rPr>
        <w:t>sliki</w:t>
      </w:r>
      <w:r w:rsidRPr="00AC72A8">
        <w:rPr>
          <w:lang w:val="sl-SI"/>
        </w:rPr>
        <w:t>.</w:t>
      </w:r>
    </w:p>
    <w:p w14:paraId="3E68CB0A" w14:textId="77777777" w:rsidR="004C3586" w:rsidRDefault="004C3586" w:rsidP="00C9790C">
      <w:pPr>
        <w:rPr>
          <w:lang w:val="sl-SI"/>
        </w:rPr>
        <w:sectPr w:rsidR="004C3586" w:rsidSect="007333BC">
          <w:pgSz w:w="11906" w:h="16838"/>
          <w:pgMar w:top="1440" w:right="1440" w:bottom="1440" w:left="1440" w:header="708" w:footer="708" w:gutter="0"/>
          <w:cols w:space="708"/>
          <w:docGrid w:linePitch="360"/>
        </w:sectPr>
      </w:pPr>
    </w:p>
    <w:p w14:paraId="1447B702" w14:textId="37BD148B" w:rsidR="0018542D" w:rsidRDefault="004C3586" w:rsidP="00C9790C">
      <w:pPr>
        <w:rPr>
          <w:lang w:val="sl-SI"/>
        </w:rPr>
      </w:pPr>
      <w:r w:rsidRPr="004C3586">
        <w:lastRenderedPageBreak/>
        <w:drawing>
          <wp:inline distT="0" distB="0" distL="0" distR="0" wp14:anchorId="6BC9D75C" wp14:editId="3BA095F9">
            <wp:extent cx="9464810" cy="4931764"/>
            <wp:effectExtent l="0" t="0" r="0" b="0"/>
            <wp:docPr id="950140046" name="Slika 95014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40046" name=""/>
                    <pic:cNvPicPr/>
                  </pic:nvPicPr>
                  <pic:blipFill>
                    <a:blip r:embed="rId35"/>
                    <a:stretch>
                      <a:fillRect/>
                    </a:stretch>
                  </pic:blipFill>
                  <pic:spPr>
                    <a:xfrm>
                      <a:off x="0" y="0"/>
                      <a:ext cx="9482611" cy="4941040"/>
                    </a:xfrm>
                    <a:prstGeom prst="rect">
                      <a:avLst/>
                    </a:prstGeom>
                  </pic:spPr>
                </pic:pic>
              </a:graphicData>
            </a:graphic>
          </wp:inline>
        </w:drawing>
      </w:r>
    </w:p>
    <w:p w14:paraId="1FE7A277" w14:textId="77777777" w:rsidR="00C9790C" w:rsidRDefault="00C9790C" w:rsidP="00C9790C">
      <w:pPr>
        <w:rPr>
          <w:lang w:val="sl-SI"/>
        </w:rPr>
      </w:pPr>
    </w:p>
    <w:p w14:paraId="45643E28" w14:textId="77777777" w:rsidR="006C574D" w:rsidRPr="00C9790C" w:rsidRDefault="006C574D" w:rsidP="00C9790C">
      <w:pPr>
        <w:rPr>
          <w:lang w:val="sl-SI"/>
        </w:rPr>
      </w:pPr>
    </w:p>
    <w:sectPr w:rsidR="006C574D" w:rsidRPr="00C9790C" w:rsidSect="004C358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98EA" w14:textId="77777777" w:rsidR="00902229" w:rsidRDefault="00902229" w:rsidP="002E0D26">
      <w:r>
        <w:separator/>
      </w:r>
    </w:p>
  </w:endnote>
  <w:endnote w:type="continuationSeparator" w:id="0">
    <w:p w14:paraId="745966D1" w14:textId="77777777" w:rsidR="00902229" w:rsidRDefault="00902229" w:rsidP="002E0D26">
      <w:r>
        <w:continuationSeparator/>
      </w:r>
    </w:p>
  </w:endnote>
  <w:endnote w:type="continuationNotice" w:id="1">
    <w:p w14:paraId="0371DCC1" w14:textId="77777777" w:rsidR="00902229" w:rsidRDefault="009022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15868"/>
      <w:docPartObj>
        <w:docPartGallery w:val="Page Numbers (Bottom of Page)"/>
        <w:docPartUnique/>
      </w:docPartObj>
    </w:sdtPr>
    <w:sdtContent>
      <w:p w14:paraId="43ED7C04" w14:textId="7FA1702D" w:rsidR="00D45CF1" w:rsidRDefault="00D45CF1">
        <w:pPr>
          <w:pStyle w:val="Noga"/>
          <w:jc w:val="center"/>
        </w:pPr>
        <w:r>
          <w:fldChar w:fldCharType="begin"/>
        </w:r>
        <w:r>
          <w:instrText>PAGE   \* MERGEFORMAT</w:instrText>
        </w:r>
        <w:r>
          <w:fldChar w:fldCharType="separate"/>
        </w:r>
        <w:r>
          <w:rPr>
            <w:lang w:val="sl-SI"/>
          </w:rPr>
          <w:t>2</w:t>
        </w:r>
        <w:r>
          <w:fldChar w:fldCharType="end"/>
        </w:r>
      </w:p>
    </w:sdtContent>
  </w:sdt>
  <w:p w14:paraId="679E8660" w14:textId="77777777" w:rsidR="009421E7" w:rsidRDefault="009421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A5D9" w14:textId="77777777" w:rsidR="00902229" w:rsidRDefault="00902229" w:rsidP="002E0D26">
      <w:r>
        <w:separator/>
      </w:r>
    </w:p>
  </w:footnote>
  <w:footnote w:type="continuationSeparator" w:id="0">
    <w:p w14:paraId="59B395C2" w14:textId="77777777" w:rsidR="00902229" w:rsidRDefault="00902229" w:rsidP="002E0D26">
      <w:r>
        <w:continuationSeparator/>
      </w:r>
    </w:p>
  </w:footnote>
  <w:footnote w:type="continuationNotice" w:id="1">
    <w:p w14:paraId="64F17955" w14:textId="77777777" w:rsidR="00902229" w:rsidRDefault="00902229">
      <w:pPr>
        <w:spacing w:after="0"/>
      </w:pPr>
    </w:p>
  </w:footnote>
  <w:footnote w:id="2">
    <w:p w14:paraId="6781D08F" w14:textId="15B2FEA2" w:rsidR="00EE0F55" w:rsidRPr="00EE0F55" w:rsidRDefault="00EE0F55">
      <w:pPr>
        <w:pStyle w:val="Sprotnaopomba-besedilo"/>
        <w:rPr>
          <w:lang w:val="sl-SI"/>
        </w:rPr>
      </w:pPr>
      <w:r>
        <w:rPr>
          <w:rStyle w:val="Sprotnaopomba-sklic"/>
        </w:rPr>
        <w:footnoteRef/>
      </w:r>
      <w:r>
        <w:t xml:space="preserve"> </w:t>
      </w:r>
      <w:hyperlink r:id="rId1" w:history="1">
        <w:r w:rsidR="00F8024B" w:rsidRPr="0025258C">
          <w:rPr>
            <w:rStyle w:val="Hiperpovezava"/>
            <w:sz w:val="14"/>
            <w:szCs w:val="14"/>
          </w:rPr>
          <w:t>https://www.energetika-portal.si/fileadmin/dokumenti/podrocja/energetika/javne_stavbe/smernice_kd_23.2.2017.pdf</w:t>
        </w:r>
      </w:hyperlink>
      <w:r w:rsidR="00F8024B">
        <w:rPr>
          <w:sz w:val="14"/>
          <w:szCs w:val="14"/>
        </w:rPr>
        <w:t xml:space="preserve"> </w:t>
      </w:r>
    </w:p>
  </w:footnote>
  <w:footnote w:id="3">
    <w:p w14:paraId="5CFD79AB" w14:textId="77777777" w:rsidR="00B76F20" w:rsidRPr="00866C7B" w:rsidRDefault="00B76F20" w:rsidP="00B76F20">
      <w:pPr>
        <w:pStyle w:val="Sprotnaopomba-besedilo"/>
        <w:rPr>
          <w:sz w:val="16"/>
          <w:szCs w:val="16"/>
          <w:lang w:val="hr-HR"/>
        </w:rPr>
      </w:pPr>
      <w:r w:rsidRPr="0075254F">
        <w:rPr>
          <w:rStyle w:val="Sprotnaopomba-sklic"/>
          <w:sz w:val="15"/>
          <w:szCs w:val="15"/>
        </w:rPr>
        <w:footnoteRef/>
      </w:r>
      <w:r w:rsidRPr="0075254F">
        <w:rPr>
          <w:sz w:val="15"/>
          <w:szCs w:val="15"/>
        </w:rPr>
        <w:t xml:space="preserve"> </w:t>
      </w:r>
      <w:r w:rsidRPr="00866C7B">
        <w:rPr>
          <w:sz w:val="16"/>
          <w:szCs w:val="16"/>
        </w:rPr>
        <w:t>Developing logics of intervention and related common indicators for the next ESF Operational Programmes</w:t>
      </w:r>
      <w:r w:rsidRPr="00866C7B">
        <w:rPr>
          <w:sz w:val="16"/>
          <w:szCs w:val="16"/>
          <w:lang w:val="hr-HR"/>
        </w:rPr>
        <w:t xml:space="preserve">, European Commission – DG EMPL, 2011 </w:t>
      </w:r>
    </w:p>
  </w:footnote>
  <w:footnote w:id="4">
    <w:p w14:paraId="0331855E" w14:textId="77777777" w:rsidR="00B76F20" w:rsidRPr="00866C7B" w:rsidRDefault="00B76F20" w:rsidP="00B76F20">
      <w:pPr>
        <w:pStyle w:val="Sprotnaopomba-besedilo"/>
        <w:rPr>
          <w:sz w:val="16"/>
          <w:szCs w:val="16"/>
          <w:lang w:val="hr-HR"/>
        </w:rPr>
      </w:pPr>
      <w:r w:rsidRPr="00866C7B">
        <w:rPr>
          <w:rStyle w:val="Sprotnaopomba-sklic"/>
          <w:sz w:val="16"/>
          <w:szCs w:val="16"/>
        </w:rPr>
        <w:footnoteRef/>
      </w:r>
      <w:r w:rsidRPr="00866C7B">
        <w:rPr>
          <w:sz w:val="16"/>
          <w:szCs w:val="16"/>
        </w:rPr>
        <w:t xml:space="preserve"> </w:t>
      </w:r>
      <w:r w:rsidRPr="00866C7B">
        <w:rPr>
          <w:sz w:val="16"/>
          <w:szCs w:val="16"/>
          <w:lang w:val="hr-HR"/>
        </w:rPr>
        <w:t>EU 2020</w:t>
      </w:r>
    </w:p>
  </w:footnote>
  <w:footnote w:id="5">
    <w:p w14:paraId="3EDCB8D9" w14:textId="1AD795CA" w:rsidR="000B0CBC" w:rsidRPr="00866C7B" w:rsidRDefault="000B0CBC">
      <w:pPr>
        <w:pStyle w:val="Sprotnaopomba-besedilo"/>
        <w:rPr>
          <w:sz w:val="16"/>
          <w:szCs w:val="16"/>
          <w:lang w:val="sl-SI"/>
        </w:rPr>
      </w:pPr>
      <w:r w:rsidRPr="00866C7B">
        <w:rPr>
          <w:rStyle w:val="Sprotnaopomba-sklic"/>
          <w:sz w:val="16"/>
          <w:szCs w:val="16"/>
        </w:rPr>
        <w:footnoteRef/>
      </w:r>
      <w:r w:rsidRPr="00866C7B">
        <w:rPr>
          <w:sz w:val="16"/>
          <w:szCs w:val="16"/>
        </w:rPr>
        <w:t xml:space="preserve"> </w:t>
      </w:r>
      <w:r w:rsidRPr="00866C7B">
        <w:rPr>
          <w:sz w:val="16"/>
          <w:szCs w:val="16"/>
          <w:lang w:val="sl-SI"/>
        </w:rPr>
        <w:t xml:space="preserve">Izvoz </w:t>
      </w:r>
      <w:r w:rsidR="00B05922" w:rsidRPr="00866C7B">
        <w:rPr>
          <w:sz w:val="16"/>
          <w:szCs w:val="16"/>
          <w:lang w:val="sl-SI"/>
        </w:rPr>
        <w:t xml:space="preserve">po kazalniku </w:t>
      </w:r>
      <w:r w:rsidR="00866C7B" w:rsidRPr="00866C7B">
        <w:rPr>
          <w:sz w:val="16"/>
          <w:szCs w:val="16"/>
          <w:lang w:val="sl-SI"/>
        </w:rPr>
        <w:t xml:space="preserve">4.41 </w:t>
      </w:r>
      <w:r w:rsidRPr="00866C7B">
        <w:rPr>
          <w:sz w:val="16"/>
          <w:szCs w:val="16"/>
          <w:lang w:val="sl-SI"/>
        </w:rPr>
        <w:t xml:space="preserve">eMA dne </w:t>
      </w:r>
      <w:r w:rsidR="00B05922" w:rsidRPr="00866C7B">
        <w:rPr>
          <w:sz w:val="16"/>
          <w:szCs w:val="16"/>
          <w:lang w:val="sl-SI"/>
        </w:rPr>
        <w:t>21.3.</w:t>
      </w:r>
      <w:r w:rsidR="00866C7B" w:rsidRPr="00866C7B">
        <w:rPr>
          <w:sz w:val="16"/>
          <w:szCs w:val="16"/>
          <w:lang w:val="sl-SI"/>
        </w:rPr>
        <w:t>2023</w:t>
      </w:r>
      <w:r w:rsidR="000B18D6">
        <w:rPr>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A0EF" w14:textId="0BA37447" w:rsidR="00302C3B" w:rsidRDefault="00302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D20"/>
    <w:multiLevelType w:val="hybridMultilevel"/>
    <w:tmpl w:val="573619A8"/>
    <w:lvl w:ilvl="0" w:tplc="8272D700">
      <w:start w:val="28"/>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2E02"/>
    <w:multiLevelType w:val="hybridMultilevel"/>
    <w:tmpl w:val="FBA48028"/>
    <w:lvl w:ilvl="0" w:tplc="FFFFFFFF">
      <w:start w:val="1"/>
      <w:numFmt w:val="lowerRoman"/>
      <w:lvlText w:val="%1."/>
      <w:lvlJc w:val="righ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09EC4348"/>
    <w:multiLevelType w:val="hybridMultilevel"/>
    <w:tmpl w:val="C3A2AF8C"/>
    <w:lvl w:ilvl="0" w:tplc="6F1E4F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17290D"/>
    <w:multiLevelType w:val="hybridMultilevel"/>
    <w:tmpl w:val="A968842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6281F"/>
    <w:multiLevelType w:val="hybridMultilevel"/>
    <w:tmpl w:val="E12273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370264"/>
    <w:multiLevelType w:val="hybridMultilevel"/>
    <w:tmpl w:val="B060E984"/>
    <w:lvl w:ilvl="0" w:tplc="A506789C">
      <w:numFmt w:val="bullet"/>
      <w:lvlText w:val="•"/>
      <w:lvlJc w:val="left"/>
      <w:pPr>
        <w:ind w:left="1440" w:hanging="72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0A37A3"/>
    <w:multiLevelType w:val="hybridMultilevel"/>
    <w:tmpl w:val="A7B09636"/>
    <w:lvl w:ilvl="0" w:tplc="800CBC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A7977"/>
    <w:multiLevelType w:val="hybridMultilevel"/>
    <w:tmpl w:val="1C3217E0"/>
    <w:lvl w:ilvl="0" w:tplc="800CBC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4B3A"/>
    <w:multiLevelType w:val="hybridMultilevel"/>
    <w:tmpl w:val="E63C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41D04"/>
    <w:multiLevelType w:val="hybridMultilevel"/>
    <w:tmpl w:val="95369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186A83"/>
    <w:multiLevelType w:val="hybridMultilevel"/>
    <w:tmpl w:val="DCDA101E"/>
    <w:lvl w:ilvl="0" w:tplc="04240001">
      <w:start w:val="1"/>
      <w:numFmt w:val="bullet"/>
      <w:lvlText w:val=""/>
      <w:lvlJc w:val="left"/>
      <w:pPr>
        <w:ind w:left="788" w:hanging="360"/>
      </w:pPr>
      <w:rPr>
        <w:rFonts w:ascii="Symbol" w:hAnsi="Symbol" w:hint="default"/>
      </w:rPr>
    </w:lvl>
    <w:lvl w:ilvl="1" w:tplc="04240003" w:tentative="1">
      <w:start w:val="1"/>
      <w:numFmt w:val="bullet"/>
      <w:lvlText w:val="o"/>
      <w:lvlJc w:val="left"/>
      <w:pPr>
        <w:ind w:left="1508" w:hanging="360"/>
      </w:pPr>
      <w:rPr>
        <w:rFonts w:ascii="Courier New" w:hAnsi="Courier New" w:cs="Courier New" w:hint="default"/>
      </w:rPr>
    </w:lvl>
    <w:lvl w:ilvl="2" w:tplc="04240005" w:tentative="1">
      <w:start w:val="1"/>
      <w:numFmt w:val="bullet"/>
      <w:lvlText w:val=""/>
      <w:lvlJc w:val="left"/>
      <w:pPr>
        <w:ind w:left="2228" w:hanging="360"/>
      </w:pPr>
      <w:rPr>
        <w:rFonts w:ascii="Wingdings" w:hAnsi="Wingdings" w:hint="default"/>
      </w:rPr>
    </w:lvl>
    <w:lvl w:ilvl="3" w:tplc="04240001" w:tentative="1">
      <w:start w:val="1"/>
      <w:numFmt w:val="bullet"/>
      <w:lvlText w:val=""/>
      <w:lvlJc w:val="left"/>
      <w:pPr>
        <w:ind w:left="2948" w:hanging="360"/>
      </w:pPr>
      <w:rPr>
        <w:rFonts w:ascii="Symbol" w:hAnsi="Symbol" w:hint="default"/>
      </w:rPr>
    </w:lvl>
    <w:lvl w:ilvl="4" w:tplc="04240003" w:tentative="1">
      <w:start w:val="1"/>
      <w:numFmt w:val="bullet"/>
      <w:lvlText w:val="o"/>
      <w:lvlJc w:val="left"/>
      <w:pPr>
        <w:ind w:left="3668" w:hanging="360"/>
      </w:pPr>
      <w:rPr>
        <w:rFonts w:ascii="Courier New" w:hAnsi="Courier New" w:cs="Courier New" w:hint="default"/>
      </w:rPr>
    </w:lvl>
    <w:lvl w:ilvl="5" w:tplc="04240005" w:tentative="1">
      <w:start w:val="1"/>
      <w:numFmt w:val="bullet"/>
      <w:lvlText w:val=""/>
      <w:lvlJc w:val="left"/>
      <w:pPr>
        <w:ind w:left="4388" w:hanging="360"/>
      </w:pPr>
      <w:rPr>
        <w:rFonts w:ascii="Wingdings" w:hAnsi="Wingdings" w:hint="default"/>
      </w:rPr>
    </w:lvl>
    <w:lvl w:ilvl="6" w:tplc="04240001" w:tentative="1">
      <w:start w:val="1"/>
      <w:numFmt w:val="bullet"/>
      <w:lvlText w:val=""/>
      <w:lvlJc w:val="left"/>
      <w:pPr>
        <w:ind w:left="5108" w:hanging="360"/>
      </w:pPr>
      <w:rPr>
        <w:rFonts w:ascii="Symbol" w:hAnsi="Symbol" w:hint="default"/>
      </w:rPr>
    </w:lvl>
    <w:lvl w:ilvl="7" w:tplc="04240003" w:tentative="1">
      <w:start w:val="1"/>
      <w:numFmt w:val="bullet"/>
      <w:lvlText w:val="o"/>
      <w:lvlJc w:val="left"/>
      <w:pPr>
        <w:ind w:left="5828" w:hanging="360"/>
      </w:pPr>
      <w:rPr>
        <w:rFonts w:ascii="Courier New" w:hAnsi="Courier New" w:cs="Courier New" w:hint="default"/>
      </w:rPr>
    </w:lvl>
    <w:lvl w:ilvl="8" w:tplc="04240005" w:tentative="1">
      <w:start w:val="1"/>
      <w:numFmt w:val="bullet"/>
      <w:lvlText w:val=""/>
      <w:lvlJc w:val="left"/>
      <w:pPr>
        <w:ind w:left="6548" w:hanging="360"/>
      </w:pPr>
      <w:rPr>
        <w:rFonts w:ascii="Wingdings" w:hAnsi="Wingdings" w:hint="default"/>
      </w:rPr>
    </w:lvl>
  </w:abstractNum>
  <w:abstractNum w:abstractNumId="11" w15:restartNumberingAfterBreak="0">
    <w:nsid w:val="2738468B"/>
    <w:multiLevelType w:val="hybridMultilevel"/>
    <w:tmpl w:val="DC506C82"/>
    <w:lvl w:ilvl="0" w:tplc="04987B20">
      <w:start w:val="27"/>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14FBF"/>
    <w:multiLevelType w:val="hybridMultilevel"/>
    <w:tmpl w:val="4A4219C6"/>
    <w:lvl w:ilvl="0" w:tplc="A506789C">
      <w:numFmt w:val="bullet"/>
      <w:lvlText w:val="•"/>
      <w:lvlJc w:val="left"/>
      <w:pPr>
        <w:ind w:left="720" w:hanging="720"/>
      </w:pPr>
      <w:rPr>
        <w:rFonts w:ascii="Verdana" w:eastAsiaTheme="minorHAnsi" w:hAnsi="Verdana" w:cstheme="minorBidi"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3" w15:restartNumberingAfterBreak="0">
    <w:nsid w:val="2E871C50"/>
    <w:multiLevelType w:val="hybridMultilevel"/>
    <w:tmpl w:val="72B4E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54454"/>
    <w:multiLevelType w:val="hybridMultilevel"/>
    <w:tmpl w:val="FBA48028"/>
    <w:lvl w:ilvl="0" w:tplc="0809001B">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57516A9"/>
    <w:multiLevelType w:val="hybridMultilevel"/>
    <w:tmpl w:val="EC8E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C040E"/>
    <w:multiLevelType w:val="hybridMultilevel"/>
    <w:tmpl w:val="E122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A22D2"/>
    <w:multiLevelType w:val="hybridMultilevel"/>
    <w:tmpl w:val="126651DE"/>
    <w:lvl w:ilvl="0" w:tplc="A506789C">
      <w:numFmt w:val="bullet"/>
      <w:lvlText w:val="•"/>
      <w:lvlJc w:val="left"/>
      <w:pPr>
        <w:ind w:left="1440" w:hanging="72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30639"/>
    <w:multiLevelType w:val="hybridMultilevel"/>
    <w:tmpl w:val="E0A6DA30"/>
    <w:lvl w:ilvl="0" w:tplc="9CE6B834">
      <w:numFmt w:val="bullet"/>
      <w:lvlText w:val="•"/>
      <w:lvlJc w:val="left"/>
      <w:pPr>
        <w:ind w:left="720" w:hanging="360"/>
      </w:pPr>
      <w:rPr>
        <w:rFonts w:ascii="Verdana" w:eastAsiaTheme="minorHAnsi" w:hAnsi="Verdan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E5474"/>
    <w:multiLevelType w:val="hybridMultilevel"/>
    <w:tmpl w:val="F3409254"/>
    <w:lvl w:ilvl="0" w:tplc="4F0E3296">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36C7F"/>
    <w:multiLevelType w:val="multilevel"/>
    <w:tmpl w:val="5ABC5C5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1" w15:restartNumberingAfterBreak="0">
    <w:nsid w:val="3F252BBA"/>
    <w:multiLevelType w:val="hybridMultilevel"/>
    <w:tmpl w:val="955A327A"/>
    <w:lvl w:ilvl="0" w:tplc="9DB0E818">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2E5E36"/>
    <w:multiLevelType w:val="hybridMultilevel"/>
    <w:tmpl w:val="60DEBB94"/>
    <w:lvl w:ilvl="0" w:tplc="A506789C">
      <w:numFmt w:val="bullet"/>
      <w:lvlText w:val="•"/>
      <w:lvlJc w:val="left"/>
      <w:pPr>
        <w:ind w:left="1440" w:hanging="720"/>
      </w:pPr>
      <w:rPr>
        <w:rFonts w:ascii="Verdana" w:eastAsiaTheme="minorHAnsi" w:hAnsi="Verdana"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95A54BE"/>
    <w:multiLevelType w:val="hybridMultilevel"/>
    <w:tmpl w:val="19786CA0"/>
    <w:lvl w:ilvl="0" w:tplc="1AB2A874">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F36306"/>
    <w:multiLevelType w:val="hybridMultilevel"/>
    <w:tmpl w:val="72B407B6"/>
    <w:lvl w:ilvl="0" w:tplc="9DB0E818">
      <w:numFmt w:val="bullet"/>
      <w:lvlText w:val="•"/>
      <w:lvlJc w:val="left"/>
      <w:pPr>
        <w:ind w:left="1440" w:hanging="360"/>
      </w:pPr>
      <w:rPr>
        <w:rFonts w:ascii="Verdana" w:eastAsiaTheme="minorHAnsi" w:hAnsi="Verdana"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52A264C0"/>
    <w:multiLevelType w:val="hybridMultilevel"/>
    <w:tmpl w:val="71B0D4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251C86"/>
    <w:multiLevelType w:val="hybridMultilevel"/>
    <w:tmpl w:val="F120DF36"/>
    <w:lvl w:ilvl="0" w:tplc="9DB0E818">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9F01BC"/>
    <w:multiLevelType w:val="hybridMultilevel"/>
    <w:tmpl w:val="26725CA6"/>
    <w:lvl w:ilvl="0" w:tplc="9CE6B8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97BE9"/>
    <w:multiLevelType w:val="hybridMultilevel"/>
    <w:tmpl w:val="10247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E7DD2"/>
    <w:multiLevelType w:val="hybridMultilevel"/>
    <w:tmpl w:val="57B67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1891385">
    <w:abstractNumId w:val="3"/>
  </w:num>
  <w:num w:numId="2" w16cid:durableId="1101871395">
    <w:abstractNumId w:val="14"/>
  </w:num>
  <w:num w:numId="3" w16cid:durableId="149373150">
    <w:abstractNumId w:val="2"/>
  </w:num>
  <w:num w:numId="4" w16cid:durableId="1364749682">
    <w:abstractNumId w:val="1"/>
  </w:num>
  <w:num w:numId="5" w16cid:durableId="1312560377">
    <w:abstractNumId w:val="20"/>
  </w:num>
  <w:num w:numId="6" w16cid:durableId="45834846">
    <w:abstractNumId w:val="11"/>
  </w:num>
  <w:num w:numId="7" w16cid:durableId="911889390">
    <w:abstractNumId w:val="9"/>
  </w:num>
  <w:num w:numId="8" w16cid:durableId="1008214803">
    <w:abstractNumId w:val="21"/>
  </w:num>
  <w:num w:numId="9" w16cid:durableId="1118526622">
    <w:abstractNumId w:val="26"/>
  </w:num>
  <w:num w:numId="10" w16cid:durableId="1470437441">
    <w:abstractNumId w:val="29"/>
  </w:num>
  <w:num w:numId="11" w16cid:durableId="1846162293">
    <w:abstractNumId w:val="24"/>
  </w:num>
  <w:num w:numId="12" w16cid:durableId="1335651413">
    <w:abstractNumId w:val="22"/>
  </w:num>
  <w:num w:numId="13" w16cid:durableId="1360550980">
    <w:abstractNumId w:val="23"/>
  </w:num>
  <w:num w:numId="14" w16cid:durableId="84885995">
    <w:abstractNumId w:val="5"/>
  </w:num>
  <w:num w:numId="15" w16cid:durableId="604655835">
    <w:abstractNumId w:val="17"/>
  </w:num>
  <w:num w:numId="16" w16cid:durableId="1438057392">
    <w:abstractNumId w:val="12"/>
  </w:num>
  <w:num w:numId="17" w16cid:durableId="944922961">
    <w:abstractNumId w:val="10"/>
  </w:num>
  <w:num w:numId="18" w16cid:durableId="643315169">
    <w:abstractNumId w:val="0"/>
  </w:num>
  <w:num w:numId="19" w16cid:durableId="693531543">
    <w:abstractNumId w:val="13"/>
  </w:num>
  <w:num w:numId="20" w16cid:durableId="691491743">
    <w:abstractNumId w:val="6"/>
  </w:num>
  <w:num w:numId="21" w16cid:durableId="1282687102">
    <w:abstractNumId w:val="20"/>
  </w:num>
  <w:num w:numId="22" w16cid:durableId="277025281">
    <w:abstractNumId w:val="20"/>
  </w:num>
  <w:num w:numId="23" w16cid:durableId="6293279">
    <w:abstractNumId w:val="20"/>
  </w:num>
  <w:num w:numId="24" w16cid:durableId="679896162">
    <w:abstractNumId w:val="20"/>
  </w:num>
  <w:num w:numId="25" w16cid:durableId="1917788799">
    <w:abstractNumId w:val="20"/>
  </w:num>
  <w:num w:numId="26" w16cid:durableId="267156972">
    <w:abstractNumId w:val="7"/>
  </w:num>
  <w:num w:numId="27" w16cid:durableId="1803695135">
    <w:abstractNumId w:val="20"/>
  </w:num>
  <w:num w:numId="28" w16cid:durableId="174611055">
    <w:abstractNumId w:val="20"/>
  </w:num>
  <w:num w:numId="29" w16cid:durableId="1476333484">
    <w:abstractNumId w:val="20"/>
  </w:num>
  <w:num w:numId="30" w16cid:durableId="1197351502">
    <w:abstractNumId w:val="20"/>
  </w:num>
  <w:num w:numId="31" w16cid:durableId="1831871664">
    <w:abstractNumId w:val="19"/>
  </w:num>
  <w:num w:numId="32" w16cid:durableId="1772240230">
    <w:abstractNumId w:val="20"/>
  </w:num>
  <w:num w:numId="33" w16cid:durableId="1705014057">
    <w:abstractNumId w:val="20"/>
  </w:num>
  <w:num w:numId="34" w16cid:durableId="273247874">
    <w:abstractNumId w:val="20"/>
  </w:num>
  <w:num w:numId="35" w16cid:durableId="1143691760">
    <w:abstractNumId w:val="20"/>
  </w:num>
  <w:num w:numId="36" w16cid:durableId="676856199">
    <w:abstractNumId w:val="15"/>
  </w:num>
  <w:num w:numId="37" w16cid:durableId="1234009274">
    <w:abstractNumId w:val="27"/>
  </w:num>
  <w:num w:numId="38" w16cid:durableId="1106657027">
    <w:abstractNumId w:val="28"/>
  </w:num>
  <w:num w:numId="39" w16cid:durableId="576675145">
    <w:abstractNumId w:val="8"/>
  </w:num>
  <w:num w:numId="40" w16cid:durableId="1642541528">
    <w:abstractNumId w:val="18"/>
  </w:num>
  <w:num w:numId="41" w16cid:durableId="584924992">
    <w:abstractNumId w:val="16"/>
  </w:num>
  <w:num w:numId="42" w16cid:durableId="1596593104">
    <w:abstractNumId w:val="4"/>
  </w:num>
  <w:num w:numId="43" w16cid:durableId="16236829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2A"/>
    <w:rsid w:val="00001474"/>
    <w:rsid w:val="00012042"/>
    <w:rsid w:val="00012377"/>
    <w:rsid w:val="00012B05"/>
    <w:rsid w:val="00014276"/>
    <w:rsid w:val="00014F4D"/>
    <w:rsid w:val="00015C79"/>
    <w:rsid w:val="0001695A"/>
    <w:rsid w:val="000222C1"/>
    <w:rsid w:val="0002408F"/>
    <w:rsid w:val="000256C5"/>
    <w:rsid w:val="00026F51"/>
    <w:rsid w:val="000271B6"/>
    <w:rsid w:val="00027DA3"/>
    <w:rsid w:val="00030377"/>
    <w:rsid w:val="00030977"/>
    <w:rsid w:val="00030E6A"/>
    <w:rsid w:val="00032601"/>
    <w:rsid w:val="00034115"/>
    <w:rsid w:val="00036085"/>
    <w:rsid w:val="000368AD"/>
    <w:rsid w:val="00043DAA"/>
    <w:rsid w:val="0004580F"/>
    <w:rsid w:val="0004651A"/>
    <w:rsid w:val="00051475"/>
    <w:rsid w:val="0005414F"/>
    <w:rsid w:val="00056244"/>
    <w:rsid w:val="00057562"/>
    <w:rsid w:val="00066162"/>
    <w:rsid w:val="0006635A"/>
    <w:rsid w:val="00066D6B"/>
    <w:rsid w:val="0007036F"/>
    <w:rsid w:val="00070A51"/>
    <w:rsid w:val="00071832"/>
    <w:rsid w:val="0007604F"/>
    <w:rsid w:val="00076D8C"/>
    <w:rsid w:val="00077B7C"/>
    <w:rsid w:val="00077DC3"/>
    <w:rsid w:val="000811D4"/>
    <w:rsid w:val="0008308D"/>
    <w:rsid w:val="00084E22"/>
    <w:rsid w:val="00086960"/>
    <w:rsid w:val="00086DFD"/>
    <w:rsid w:val="00087611"/>
    <w:rsid w:val="00093B0F"/>
    <w:rsid w:val="00094709"/>
    <w:rsid w:val="00096681"/>
    <w:rsid w:val="000975E7"/>
    <w:rsid w:val="000A1EF0"/>
    <w:rsid w:val="000A2424"/>
    <w:rsid w:val="000A2B2E"/>
    <w:rsid w:val="000A33A6"/>
    <w:rsid w:val="000A3C92"/>
    <w:rsid w:val="000A3F4F"/>
    <w:rsid w:val="000A443E"/>
    <w:rsid w:val="000A49B4"/>
    <w:rsid w:val="000A4D64"/>
    <w:rsid w:val="000A5AD2"/>
    <w:rsid w:val="000A662D"/>
    <w:rsid w:val="000A683B"/>
    <w:rsid w:val="000A68BC"/>
    <w:rsid w:val="000A782A"/>
    <w:rsid w:val="000B0CBC"/>
    <w:rsid w:val="000B149B"/>
    <w:rsid w:val="000B18D6"/>
    <w:rsid w:val="000B58F4"/>
    <w:rsid w:val="000B5BD0"/>
    <w:rsid w:val="000C1B55"/>
    <w:rsid w:val="000C3E7C"/>
    <w:rsid w:val="000C5E92"/>
    <w:rsid w:val="000C6096"/>
    <w:rsid w:val="000C64DA"/>
    <w:rsid w:val="000C6A7F"/>
    <w:rsid w:val="000C719E"/>
    <w:rsid w:val="000D3989"/>
    <w:rsid w:val="000D41BA"/>
    <w:rsid w:val="000D4A95"/>
    <w:rsid w:val="000D5111"/>
    <w:rsid w:val="000D6570"/>
    <w:rsid w:val="000D671A"/>
    <w:rsid w:val="000D68F6"/>
    <w:rsid w:val="000D7CC9"/>
    <w:rsid w:val="000E2D3B"/>
    <w:rsid w:val="000E62A9"/>
    <w:rsid w:val="000F14B9"/>
    <w:rsid w:val="000F4ECF"/>
    <w:rsid w:val="000F6A9C"/>
    <w:rsid w:val="0010013B"/>
    <w:rsid w:val="00100B48"/>
    <w:rsid w:val="001011DD"/>
    <w:rsid w:val="00102AC1"/>
    <w:rsid w:val="0010322A"/>
    <w:rsid w:val="00104FC2"/>
    <w:rsid w:val="001063D1"/>
    <w:rsid w:val="001071F6"/>
    <w:rsid w:val="00111722"/>
    <w:rsid w:val="00113E7B"/>
    <w:rsid w:val="0011547F"/>
    <w:rsid w:val="00115790"/>
    <w:rsid w:val="00120BC4"/>
    <w:rsid w:val="00121C87"/>
    <w:rsid w:val="00125E88"/>
    <w:rsid w:val="001269D0"/>
    <w:rsid w:val="00131D51"/>
    <w:rsid w:val="0013425A"/>
    <w:rsid w:val="0013457C"/>
    <w:rsid w:val="00134AFD"/>
    <w:rsid w:val="00135AFB"/>
    <w:rsid w:val="001368B6"/>
    <w:rsid w:val="00136F12"/>
    <w:rsid w:val="00137FEE"/>
    <w:rsid w:val="00140697"/>
    <w:rsid w:val="0014217F"/>
    <w:rsid w:val="00142445"/>
    <w:rsid w:val="001428D2"/>
    <w:rsid w:val="001437FC"/>
    <w:rsid w:val="00143EF0"/>
    <w:rsid w:val="00151B03"/>
    <w:rsid w:val="0015338D"/>
    <w:rsid w:val="001538A5"/>
    <w:rsid w:val="00154F81"/>
    <w:rsid w:val="00154FB3"/>
    <w:rsid w:val="0015669E"/>
    <w:rsid w:val="001621A0"/>
    <w:rsid w:val="00162F14"/>
    <w:rsid w:val="0016445F"/>
    <w:rsid w:val="00165560"/>
    <w:rsid w:val="00165A2D"/>
    <w:rsid w:val="00167BA9"/>
    <w:rsid w:val="00170C0D"/>
    <w:rsid w:val="00172C37"/>
    <w:rsid w:val="001753CF"/>
    <w:rsid w:val="00181396"/>
    <w:rsid w:val="00181C06"/>
    <w:rsid w:val="001825AA"/>
    <w:rsid w:val="0018542D"/>
    <w:rsid w:val="001871CE"/>
    <w:rsid w:val="00191CA8"/>
    <w:rsid w:val="00192045"/>
    <w:rsid w:val="00196ACB"/>
    <w:rsid w:val="00196CCC"/>
    <w:rsid w:val="001A2D36"/>
    <w:rsid w:val="001A30B2"/>
    <w:rsid w:val="001A4340"/>
    <w:rsid w:val="001A4696"/>
    <w:rsid w:val="001A4B60"/>
    <w:rsid w:val="001A6561"/>
    <w:rsid w:val="001A66ED"/>
    <w:rsid w:val="001A70A2"/>
    <w:rsid w:val="001A7A9F"/>
    <w:rsid w:val="001B08E9"/>
    <w:rsid w:val="001B10AE"/>
    <w:rsid w:val="001B22CE"/>
    <w:rsid w:val="001B2A41"/>
    <w:rsid w:val="001B45CF"/>
    <w:rsid w:val="001B6702"/>
    <w:rsid w:val="001C30E1"/>
    <w:rsid w:val="001C3CAE"/>
    <w:rsid w:val="001C3D43"/>
    <w:rsid w:val="001C58C4"/>
    <w:rsid w:val="001C5CBA"/>
    <w:rsid w:val="001C5FEB"/>
    <w:rsid w:val="001C763F"/>
    <w:rsid w:val="001D0830"/>
    <w:rsid w:val="001D20EA"/>
    <w:rsid w:val="001D2334"/>
    <w:rsid w:val="001D2C37"/>
    <w:rsid w:val="001D3290"/>
    <w:rsid w:val="001D6E98"/>
    <w:rsid w:val="001E0A1F"/>
    <w:rsid w:val="001E1BEC"/>
    <w:rsid w:val="001E24BA"/>
    <w:rsid w:val="001F087C"/>
    <w:rsid w:val="001F352A"/>
    <w:rsid w:val="001F4DB1"/>
    <w:rsid w:val="001F4F07"/>
    <w:rsid w:val="002002B3"/>
    <w:rsid w:val="002010A9"/>
    <w:rsid w:val="00202063"/>
    <w:rsid w:val="00205267"/>
    <w:rsid w:val="00205965"/>
    <w:rsid w:val="002062F0"/>
    <w:rsid w:val="00206B0C"/>
    <w:rsid w:val="00207334"/>
    <w:rsid w:val="0020748F"/>
    <w:rsid w:val="00211892"/>
    <w:rsid w:val="00214448"/>
    <w:rsid w:val="00215876"/>
    <w:rsid w:val="00215978"/>
    <w:rsid w:val="00215A71"/>
    <w:rsid w:val="00217FE5"/>
    <w:rsid w:val="00221F7E"/>
    <w:rsid w:val="00222139"/>
    <w:rsid w:val="002268F7"/>
    <w:rsid w:val="00230D05"/>
    <w:rsid w:val="00232101"/>
    <w:rsid w:val="00235F1B"/>
    <w:rsid w:val="00237E02"/>
    <w:rsid w:val="00240207"/>
    <w:rsid w:val="00242E31"/>
    <w:rsid w:val="0024325C"/>
    <w:rsid w:val="002439F3"/>
    <w:rsid w:val="002470D9"/>
    <w:rsid w:val="00247D71"/>
    <w:rsid w:val="002519B2"/>
    <w:rsid w:val="00253433"/>
    <w:rsid w:val="00253A35"/>
    <w:rsid w:val="00260601"/>
    <w:rsid w:val="00262691"/>
    <w:rsid w:val="0026316C"/>
    <w:rsid w:val="002631A6"/>
    <w:rsid w:val="002640BB"/>
    <w:rsid w:val="0026481F"/>
    <w:rsid w:val="002648CD"/>
    <w:rsid w:val="00267174"/>
    <w:rsid w:val="002714F0"/>
    <w:rsid w:val="00272221"/>
    <w:rsid w:val="00273CF5"/>
    <w:rsid w:val="0027403D"/>
    <w:rsid w:val="002741E0"/>
    <w:rsid w:val="00275F34"/>
    <w:rsid w:val="00276D77"/>
    <w:rsid w:val="002772DA"/>
    <w:rsid w:val="00277BB3"/>
    <w:rsid w:val="00281D5C"/>
    <w:rsid w:val="00282C9C"/>
    <w:rsid w:val="002836AF"/>
    <w:rsid w:val="0028443F"/>
    <w:rsid w:val="00294C5D"/>
    <w:rsid w:val="0029592C"/>
    <w:rsid w:val="00296BAC"/>
    <w:rsid w:val="002A0DE6"/>
    <w:rsid w:val="002A21C9"/>
    <w:rsid w:val="002A22EB"/>
    <w:rsid w:val="002A26DE"/>
    <w:rsid w:val="002A3708"/>
    <w:rsid w:val="002A3849"/>
    <w:rsid w:val="002A45B0"/>
    <w:rsid w:val="002A789A"/>
    <w:rsid w:val="002A7D89"/>
    <w:rsid w:val="002B6B26"/>
    <w:rsid w:val="002B7A79"/>
    <w:rsid w:val="002C3F9A"/>
    <w:rsid w:val="002C674E"/>
    <w:rsid w:val="002D1E4D"/>
    <w:rsid w:val="002D2F26"/>
    <w:rsid w:val="002D7209"/>
    <w:rsid w:val="002D7C2A"/>
    <w:rsid w:val="002E038F"/>
    <w:rsid w:val="002E068D"/>
    <w:rsid w:val="002E0D26"/>
    <w:rsid w:val="002E168F"/>
    <w:rsid w:val="002E1A7F"/>
    <w:rsid w:val="002E1DA7"/>
    <w:rsid w:val="002E2336"/>
    <w:rsid w:val="002E407C"/>
    <w:rsid w:val="002E45C0"/>
    <w:rsid w:val="002E4917"/>
    <w:rsid w:val="002E7E91"/>
    <w:rsid w:val="002F1280"/>
    <w:rsid w:val="002F4F8D"/>
    <w:rsid w:val="002F56A4"/>
    <w:rsid w:val="002F6355"/>
    <w:rsid w:val="002F720F"/>
    <w:rsid w:val="003012DD"/>
    <w:rsid w:val="003023F1"/>
    <w:rsid w:val="003026CD"/>
    <w:rsid w:val="00302C3B"/>
    <w:rsid w:val="003040AF"/>
    <w:rsid w:val="00305E87"/>
    <w:rsid w:val="003066ED"/>
    <w:rsid w:val="003102F4"/>
    <w:rsid w:val="00310686"/>
    <w:rsid w:val="003124C6"/>
    <w:rsid w:val="00312831"/>
    <w:rsid w:val="00312F98"/>
    <w:rsid w:val="00322DE9"/>
    <w:rsid w:val="00325B2C"/>
    <w:rsid w:val="00326248"/>
    <w:rsid w:val="00337233"/>
    <w:rsid w:val="003378CD"/>
    <w:rsid w:val="003419B7"/>
    <w:rsid w:val="0034349C"/>
    <w:rsid w:val="00347532"/>
    <w:rsid w:val="00352020"/>
    <w:rsid w:val="0035265B"/>
    <w:rsid w:val="00352885"/>
    <w:rsid w:val="00355C84"/>
    <w:rsid w:val="003561C7"/>
    <w:rsid w:val="00360303"/>
    <w:rsid w:val="003604C7"/>
    <w:rsid w:val="00361886"/>
    <w:rsid w:val="00361B03"/>
    <w:rsid w:val="00365BEF"/>
    <w:rsid w:val="00366BAE"/>
    <w:rsid w:val="00370212"/>
    <w:rsid w:val="003709D7"/>
    <w:rsid w:val="00371253"/>
    <w:rsid w:val="003714AF"/>
    <w:rsid w:val="00371DB1"/>
    <w:rsid w:val="00371E8D"/>
    <w:rsid w:val="00373654"/>
    <w:rsid w:val="003764E4"/>
    <w:rsid w:val="0037762C"/>
    <w:rsid w:val="0038124D"/>
    <w:rsid w:val="0038324C"/>
    <w:rsid w:val="00384046"/>
    <w:rsid w:val="00384197"/>
    <w:rsid w:val="00385D08"/>
    <w:rsid w:val="00386CE7"/>
    <w:rsid w:val="00387EDB"/>
    <w:rsid w:val="00390249"/>
    <w:rsid w:val="00392C74"/>
    <w:rsid w:val="00396EB6"/>
    <w:rsid w:val="003A0E42"/>
    <w:rsid w:val="003A13C1"/>
    <w:rsid w:val="003A1713"/>
    <w:rsid w:val="003A1A8B"/>
    <w:rsid w:val="003A1E5B"/>
    <w:rsid w:val="003A3345"/>
    <w:rsid w:val="003A521D"/>
    <w:rsid w:val="003A72F2"/>
    <w:rsid w:val="003B08ED"/>
    <w:rsid w:val="003B0DD2"/>
    <w:rsid w:val="003B1099"/>
    <w:rsid w:val="003B2105"/>
    <w:rsid w:val="003B78B5"/>
    <w:rsid w:val="003C126E"/>
    <w:rsid w:val="003C1ABB"/>
    <w:rsid w:val="003C1D82"/>
    <w:rsid w:val="003C3CDE"/>
    <w:rsid w:val="003D29EE"/>
    <w:rsid w:val="003D2A2F"/>
    <w:rsid w:val="003D4D93"/>
    <w:rsid w:val="003D54A3"/>
    <w:rsid w:val="003D620C"/>
    <w:rsid w:val="003D656D"/>
    <w:rsid w:val="003D69B0"/>
    <w:rsid w:val="003D6CF0"/>
    <w:rsid w:val="003D7B88"/>
    <w:rsid w:val="003E3F70"/>
    <w:rsid w:val="003E6E74"/>
    <w:rsid w:val="003F1943"/>
    <w:rsid w:val="003F3CC6"/>
    <w:rsid w:val="003F3F48"/>
    <w:rsid w:val="003F4644"/>
    <w:rsid w:val="003F5104"/>
    <w:rsid w:val="003F6874"/>
    <w:rsid w:val="003F7726"/>
    <w:rsid w:val="00401689"/>
    <w:rsid w:val="00402A80"/>
    <w:rsid w:val="00403ED7"/>
    <w:rsid w:val="00410BA1"/>
    <w:rsid w:val="00413292"/>
    <w:rsid w:val="004141F1"/>
    <w:rsid w:val="00414614"/>
    <w:rsid w:val="00415F3C"/>
    <w:rsid w:val="00416ED7"/>
    <w:rsid w:val="004211DA"/>
    <w:rsid w:val="00421859"/>
    <w:rsid w:val="0042233C"/>
    <w:rsid w:val="004225AA"/>
    <w:rsid w:val="00422905"/>
    <w:rsid w:val="004234A3"/>
    <w:rsid w:val="00431C5D"/>
    <w:rsid w:val="00434913"/>
    <w:rsid w:val="004402EF"/>
    <w:rsid w:val="004434CB"/>
    <w:rsid w:val="004446F9"/>
    <w:rsid w:val="00446C61"/>
    <w:rsid w:val="0044727B"/>
    <w:rsid w:val="00447886"/>
    <w:rsid w:val="0045065C"/>
    <w:rsid w:val="00450DE4"/>
    <w:rsid w:val="00451A29"/>
    <w:rsid w:val="004534EE"/>
    <w:rsid w:val="00454E6F"/>
    <w:rsid w:val="00462582"/>
    <w:rsid w:val="004640FD"/>
    <w:rsid w:val="00465FDD"/>
    <w:rsid w:val="00466C38"/>
    <w:rsid w:val="00471F38"/>
    <w:rsid w:val="0047407A"/>
    <w:rsid w:val="00474567"/>
    <w:rsid w:val="00475B35"/>
    <w:rsid w:val="00477C8B"/>
    <w:rsid w:val="0048247A"/>
    <w:rsid w:val="0048660F"/>
    <w:rsid w:val="00486CF1"/>
    <w:rsid w:val="00490378"/>
    <w:rsid w:val="0049037D"/>
    <w:rsid w:val="004921E0"/>
    <w:rsid w:val="004924B1"/>
    <w:rsid w:val="004930E5"/>
    <w:rsid w:val="004963E3"/>
    <w:rsid w:val="0049675E"/>
    <w:rsid w:val="00497190"/>
    <w:rsid w:val="004A01A8"/>
    <w:rsid w:val="004A149A"/>
    <w:rsid w:val="004A607E"/>
    <w:rsid w:val="004A77C6"/>
    <w:rsid w:val="004B06AB"/>
    <w:rsid w:val="004B1BAD"/>
    <w:rsid w:val="004B38E2"/>
    <w:rsid w:val="004B4169"/>
    <w:rsid w:val="004B5D61"/>
    <w:rsid w:val="004B6B66"/>
    <w:rsid w:val="004C0246"/>
    <w:rsid w:val="004C1A5D"/>
    <w:rsid w:val="004C3586"/>
    <w:rsid w:val="004C3D6A"/>
    <w:rsid w:val="004C4876"/>
    <w:rsid w:val="004C79CD"/>
    <w:rsid w:val="004D28D3"/>
    <w:rsid w:val="004D2F63"/>
    <w:rsid w:val="004D3EA1"/>
    <w:rsid w:val="004D4C17"/>
    <w:rsid w:val="004D55BB"/>
    <w:rsid w:val="004D6BE5"/>
    <w:rsid w:val="004E0291"/>
    <w:rsid w:val="004E0F1E"/>
    <w:rsid w:val="004E7AE2"/>
    <w:rsid w:val="004F0A23"/>
    <w:rsid w:val="004F1B6F"/>
    <w:rsid w:val="004F1B72"/>
    <w:rsid w:val="004F4D37"/>
    <w:rsid w:val="004F5183"/>
    <w:rsid w:val="004F6607"/>
    <w:rsid w:val="00501013"/>
    <w:rsid w:val="005030A0"/>
    <w:rsid w:val="005050E4"/>
    <w:rsid w:val="0051333B"/>
    <w:rsid w:val="0051526B"/>
    <w:rsid w:val="00515A2D"/>
    <w:rsid w:val="00515B94"/>
    <w:rsid w:val="00517D39"/>
    <w:rsid w:val="005212AD"/>
    <w:rsid w:val="00523AE1"/>
    <w:rsid w:val="00524257"/>
    <w:rsid w:val="00524C20"/>
    <w:rsid w:val="00527C46"/>
    <w:rsid w:val="0053070E"/>
    <w:rsid w:val="00531A72"/>
    <w:rsid w:val="00531C9B"/>
    <w:rsid w:val="00531D49"/>
    <w:rsid w:val="00531E22"/>
    <w:rsid w:val="0053369A"/>
    <w:rsid w:val="0053464F"/>
    <w:rsid w:val="00536447"/>
    <w:rsid w:val="005368F3"/>
    <w:rsid w:val="00540B12"/>
    <w:rsid w:val="00542F95"/>
    <w:rsid w:val="00544178"/>
    <w:rsid w:val="005442AC"/>
    <w:rsid w:val="005451B5"/>
    <w:rsid w:val="005461AF"/>
    <w:rsid w:val="00546853"/>
    <w:rsid w:val="00547555"/>
    <w:rsid w:val="00552162"/>
    <w:rsid w:val="005537CE"/>
    <w:rsid w:val="00556CC7"/>
    <w:rsid w:val="00562F4B"/>
    <w:rsid w:val="0056425E"/>
    <w:rsid w:val="00570708"/>
    <w:rsid w:val="005742D1"/>
    <w:rsid w:val="0057538A"/>
    <w:rsid w:val="00575667"/>
    <w:rsid w:val="005762D1"/>
    <w:rsid w:val="00577F74"/>
    <w:rsid w:val="005801D3"/>
    <w:rsid w:val="0058617C"/>
    <w:rsid w:val="005874C3"/>
    <w:rsid w:val="00587E33"/>
    <w:rsid w:val="00590277"/>
    <w:rsid w:val="005902C8"/>
    <w:rsid w:val="00590356"/>
    <w:rsid w:val="00591647"/>
    <w:rsid w:val="005946DA"/>
    <w:rsid w:val="00594AF0"/>
    <w:rsid w:val="0059612A"/>
    <w:rsid w:val="00596BF8"/>
    <w:rsid w:val="005A374F"/>
    <w:rsid w:val="005A3DC8"/>
    <w:rsid w:val="005A4411"/>
    <w:rsid w:val="005A5A1D"/>
    <w:rsid w:val="005A65E6"/>
    <w:rsid w:val="005A68E9"/>
    <w:rsid w:val="005A6E0B"/>
    <w:rsid w:val="005A7357"/>
    <w:rsid w:val="005B4A22"/>
    <w:rsid w:val="005B5D53"/>
    <w:rsid w:val="005B6178"/>
    <w:rsid w:val="005B7C77"/>
    <w:rsid w:val="005C02CB"/>
    <w:rsid w:val="005C17E5"/>
    <w:rsid w:val="005C2A98"/>
    <w:rsid w:val="005C5CAC"/>
    <w:rsid w:val="005C64B3"/>
    <w:rsid w:val="005C7172"/>
    <w:rsid w:val="005D0FFC"/>
    <w:rsid w:val="005D12F6"/>
    <w:rsid w:val="005D479E"/>
    <w:rsid w:val="005E1A62"/>
    <w:rsid w:val="005E33A5"/>
    <w:rsid w:val="005E3DA4"/>
    <w:rsid w:val="005E4DF9"/>
    <w:rsid w:val="005F0147"/>
    <w:rsid w:val="005F3491"/>
    <w:rsid w:val="005F40EF"/>
    <w:rsid w:val="005F459B"/>
    <w:rsid w:val="005F4B7C"/>
    <w:rsid w:val="005F5AC9"/>
    <w:rsid w:val="005F78C2"/>
    <w:rsid w:val="005F7CDE"/>
    <w:rsid w:val="00602376"/>
    <w:rsid w:val="00603334"/>
    <w:rsid w:val="0060513C"/>
    <w:rsid w:val="0060657C"/>
    <w:rsid w:val="00607CA9"/>
    <w:rsid w:val="00610DE8"/>
    <w:rsid w:val="006110DD"/>
    <w:rsid w:val="006134EE"/>
    <w:rsid w:val="00616C1A"/>
    <w:rsid w:val="006212A6"/>
    <w:rsid w:val="00621D51"/>
    <w:rsid w:val="00624206"/>
    <w:rsid w:val="00624A18"/>
    <w:rsid w:val="00625138"/>
    <w:rsid w:val="00625252"/>
    <w:rsid w:val="0062609B"/>
    <w:rsid w:val="00627F37"/>
    <w:rsid w:val="00634F96"/>
    <w:rsid w:val="006407AC"/>
    <w:rsid w:val="00640AB9"/>
    <w:rsid w:val="00640D2B"/>
    <w:rsid w:val="00640E8C"/>
    <w:rsid w:val="0064207F"/>
    <w:rsid w:val="00643095"/>
    <w:rsid w:val="006435D8"/>
    <w:rsid w:val="006461B2"/>
    <w:rsid w:val="006543BE"/>
    <w:rsid w:val="00660D6D"/>
    <w:rsid w:val="0066137D"/>
    <w:rsid w:val="006618E2"/>
    <w:rsid w:val="00661CA3"/>
    <w:rsid w:val="00661DB8"/>
    <w:rsid w:val="0066283E"/>
    <w:rsid w:val="00664DD8"/>
    <w:rsid w:val="006662AD"/>
    <w:rsid w:val="00666AF3"/>
    <w:rsid w:val="00683492"/>
    <w:rsid w:val="00683DEC"/>
    <w:rsid w:val="00684E09"/>
    <w:rsid w:val="00686817"/>
    <w:rsid w:val="006904B5"/>
    <w:rsid w:val="0069081D"/>
    <w:rsid w:val="0069275F"/>
    <w:rsid w:val="00692AF2"/>
    <w:rsid w:val="00696C69"/>
    <w:rsid w:val="006A31BE"/>
    <w:rsid w:val="006A4191"/>
    <w:rsid w:val="006A58FF"/>
    <w:rsid w:val="006B3DE9"/>
    <w:rsid w:val="006B44C0"/>
    <w:rsid w:val="006B4AB3"/>
    <w:rsid w:val="006B4E85"/>
    <w:rsid w:val="006B65C5"/>
    <w:rsid w:val="006B793F"/>
    <w:rsid w:val="006C14A5"/>
    <w:rsid w:val="006C2C01"/>
    <w:rsid w:val="006C421B"/>
    <w:rsid w:val="006C4B01"/>
    <w:rsid w:val="006C574D"/>
    <w:rsid w:val="006D0EE8"/>
    <w:rsid w:val="006D246D"/>
    <w:rsid w:val="006D31A6"/>
    <w:rsid w:val="006D3DCB"/>
    <w:rsid w:val="006D6A22"/>
    <w:rsid w:val="006D73DE"/>
    <w:rsid w:val="006E0735"/>
    <w:rsid w:val="006E1933"/>
    <w:rsid w:val="006E63F2"/>
    <w:rsid w:val="006E7405"/>
    <w:rsid w:val="006F0305"/>
    <w:rsid w:val="006F0E0E"/>
    <w:rsid w:val="006F1018"/>
    <w:rsid w:val="006F4687"/>
    <w:rsid w:val="006F5163"/>
    <w:rsid w:val="00701A68"/>
    <w:rsid w:val="00701B3C"/>
    <w:rsid w:val="007045FC"/>
    <w:rsid w:val="007100B0"/>
    <w:rsid w:val="0071480C"/>
    <w:rsid w:val="007167F1"/>
    <w:rsid w:val="007212C6"/>
    <w:rsid w:val="0072202F"/>
    <w:rsid w:val="00722932"/>
    <w:rsid w:val="00726A69"/>
    <w:rsid w:val="007318E3"/>
    <w:rsid w:val="00732404"/>
    <w:rsid w:val="007333BC"/>
    <w:rsid w:val="00735AA6"/>
    <w:rsid w:val="00735DF9"/>
    <w:rsid w:val="0073656B"/>
    <w:rsid w:val="00736CCD"/>
    <w:rsid w:val="00736F2B"/>
    <w:rsid w:val="00737619"/>
    <w:rsid w:val="00742143"/>
    <w:rsid w:val="00742552"/>
    <w:rsid w:val="00742629"/>
    <w:rsid w:val="0074525F"/>
    <w:rsid w:val="007502F7"/>
    <w:rsid w:val="00752CF7"/>
    <w:rsid w:val="0075566B"/>
    <w:rsid w:val="0075628B"/>
    <w:rsid w:val="00756ED4"/>
    <w:rsid w:val="007578E4"/>
    <w:rsid w:val="00761715"/>
    <w:rsid w:val="00761A46"/>
    <w:rsid w:val="00763F25"/>
    <w:rsid w:val="00765162"/>
    <w:rsid w:val="007651B8"/>
    <w:rsid w:val="00767F93"/>
    <w:rsid w:val="007720CF"/>
    <w:rsid w:val="00772853"/>
    <w:rsid w:val="00772FE8"/>
    <w:rsid w:val="0077373F"/>
    <w:rsid w:val="00774724"/>
    <w:rsid w:val="00774F0E"/>
    <w:rsid w:val="00775F53"/>
    <w:rsid w:val="00776AAF"/>
    <w:rsid w:val="0077790A"/>
    <w:rsid w:val="00780A25"/>
    <w:rsid w:val="00781D85"/>
    <w:rsid w:val="00783018"/>
    <w:rsid w:val="0078728E"/>
    <w:rsid w:val="00790A1E"/>
    <w:rsid w:val="00791C38"/>
    <w:rsid w:val="00794E6E"/>
    <w:rsid w:val="00795D17"/>
    <w:rsid w:val="00795F4B"/>
    <w:rsid w:val="0079780F"/>
    <w:rsid w:val="007A0254"/>
    <w:rsid w:val="007A0B44"/>
    <w:rsid w:val="007A2A90"/>
    <w:rsid w:val="007A314B"/>
    <w:rsid w:val="007A48B4"/>
    <w:rsid w:val="007A7634"/>
    <w:rsid w:val="007B2EA0"/>
    <w:rsid w:val="007B6848"/>
    <w:rsid w:val="007B689E"/>
    <w:rsid w:val="007C2203"/>
    <w:rsid w:val="007C2DA9"/>
    <w:rsid w:val="007C4064"/>
    <w:rsid w:val="007D0249"/>
    <w:rsid w:val="007D28D2"/>
    <w:rsid w:val="007D4EAF"/>
    <w:rsid w:val="007D5B08"/>
    <w:rsid w:val="007D7A95"/>
    <w:rsid w:val="007D7D75"/>
    <w:rsid w:val="007E00E9"/>
    <w:rsid w:val="007E01D0"/>
    <w:rsid w:val="007E04A7"/>
    <w:rsid w:val="007E07AE"/>
    <w:rsid w:val="007E1ACB"/>
    <w:rsid w:val="007E3BF4"/>
    <w:rsid w:val="007E3C62"/>
    <w:rsid w:val="007E5FD8"/>
    <w:rsid w:val="007E7B84"/>
    <w:rsid w:val="007F01EC"/>
    <w:rsid w:val="007F1BED"/>
    <w:rsid w:val="007F2311"/>
    <w:rsid w:val="007F3534"/>
    <w:rsid w:val="007F39E3"/>
    <w:rsid w:val="007F5415"/>
    <w:rsid w:val="007F74AC"/>
    <w:rsid w:val="00800364"/>
    <w:rsid w:val="008047BF"/>
    <w:rsid w:val="00810000"/>
    <w:rsid w:val="008102A5"/>
    <w:rsid w:val="00813ADE"/>
    <w:rsid w:val="0082148A"/>
    <w:rsid w:val="00823C96"/>
    <w:rsid w:val="008244B3"/>
    <w:rsid w:val="00824F64"/>
    <w:rsid w:val="0082653E"/>
    <w:rsid w:val="00830C7B"/>
    <w:rsid w:val="00831D74"/>
    <w:rsid w:val="0083294F"/>
    <w:rsid w:val="00835488"/>
    <w:rsid w:val="008361EA"/>
    <w:rsid w:val="008369CE"/>
    <w:rsid w:val="00841EA3"/>
    <w:rsid w:val="00842A42"/>
    <w:rsid w:val="008444E1"/>
    <w:rsid w:val="0084524C"/>
    <w:rsid w:val="0084551A"/>
    <w:rsid w:val="00845556"/>
    <w:rsid w:val="00845CC6"/>
    <w:rsid w:val="0085125F"/>
    <w:rsid w:val="008516F6"/>
    <w:rsid w:val="00851AC2"/>
    <w:rsid w:val="0085255B"/>
    <w:rsid w:val="008528D5"/>
    <w:rsid w:val="00854CB0"/>
    <w:rsid w:val="00856DFD"/>
    <w:rsid w:val="0085746C"/>
    <w:rsid w:val="008603EF"/>
    <w:rsid w:val="00863783"/>
    <w:rsid w:val="00863FD6"/>
    <w:rsid w:val="00865189"/>
    <w:rsid w:val="00865698"/>
    <w:rsid w:val="00866C7B"/>
    <w:rsid w:val="00866ED8"/>
    <w:rsid w:val="008752A0"/>
    <w:rsid w:val="0088333A"/>
    <w:rsid w:val="00883F1A"/>
    <w:rsid w:val="00885F0D"/>
    <w:rsid w:val="00887491"/>
    <w:rsid w:val="00890189"/>
    <w:rsid w:val="008918FB"/>
    <w:rsid w:val="00894EC9"/>
    <w:rsid w:val="00895135"/>
    <w:rsid w:val="008A372F"/>
    <w:rsid w:val="008A3A58"/>
    <w:rsid w:val="008A6EBD"/>
    <w:rsid w:val="008B016E"/>
    <w:rsid w:val="008B246C"/>
    <w:rsid w:val="008B351D"/>
    <w:rsid w:val="008B7042"/>
    <w:rsid w:val="008C1D4E"/>
    <w:rsid w:val="008C5483"/>
    <w:rsid w:val="008C729F"/>
    <w:rsid w:val="008D6149"/>
    <w:rsid w:val="008D7469"/>
    <w:rsid w:val="008E07AA"/>
    <w:rsid w:val="008E2615"/>
    <w:rsid w:val="008E383F"/>
    <w:rsid w:val="008E3C0D"/>
    <w:rsid w:val="008E4DAD"/>
    <w:rsid w:val="008E75B9"/>
    <w:rsid w:val="008F022E"/>
    <w:rsid w:val="008F1B3D"/>
    <w:rsid w:val="008F22B1"/>
    <w:rsid w:val="008F2706"/>
    <w:rsid w:val="008F65A7"/>
    <w:rsid w:val="00902229"/>
    <w:rsid w:val="00904BC9"/>
    <w:rsid w:val="00904F58"/>
    <w:rsid w:val="009064E8"/>
    <w:rsid w:val="00906654"/>
    <w:rsid w:val="00906A32"/>
    <w:rsid w:val="00906E69"/>
    <w:rsid w:val="0090717E"/>
    <w:rsid w:val="00910BE6"/>
    <w:rsid w:val="009119D1"/>
    <w:rsid w:val="0091243B"/>
    <w:rsid w:val="00921991"/>
    <w:rsid w:val="00922E25"/>
    <w:rsid w:val="009231F3"/>
    <w:rsid w:val="009272F8"/>
    <w:rsid w:val="009302B5"/>
    <w:rsid w:val="00935369"/>
    <w:rsid w:val="00935F7A"/>
    <w:rsid w:val="00936F88"/>
    <w:rsid w:val="00937737"/>
    <w:rsid w:val="009378A1"/>
    <w:rsid w:val="0094034A"/>
    <w:rsid w:val="00942059"/>
    <w:rsid w:val="009421E7"/>
    <w:rsid w:val="00942E36"/>
    <w:rsid w:val="00944236"/>
    <w:rsid w:val="009443AA"/>
    <w:rsid w:val="00944A59"/>
    <w:rsid w:val="00945D63"/>
    <w:rsid w:val="00947BB5"/>
    <w:rsid w:val="00954DC5"/>
    <w:rsid w:val="00961E42"/>
    <w:rsid w:val="00962935"/>
    <w:rsid w:val="009633C0"/>
    <w:rsid w:val="0096499E"/>
    <w:rsid w:val="009651A1"/>
    <w:rsid w:val="00965936"/>
    <w:rsid w:val="0097037F"/>
    <w:rsid w:val="00972B48"/>
    <w:rsid w:val="00973AF5"/>
    <w:rsid w:val="00974110"/>
    <w:rsid w:val="009802FB"/>
    <w:rsid w:val="009829C5"/>
    <w:rsid w:val="0098302F"/>
    <w:rsid w:val="00983C56"/>
    <w:rsid w:val="00985C1D"/>
    <w:rsid w:val="00985F0B"/>
    <w:rsid w:val="009918E3"/>
    <w:rsid w:val="00994116"/>
    <w:rsid w:val="00994189"/>
    <w:rsid w:val="00994900"/>
    <w:rsid w:val="00995E14"/>
    <w:rsid w:val="00996826"/>
    <w:rsid w:val="00996E10"/>
    <w:rsid w:val="009B011C"/>
    <w:rsid w:val="009B4D70"/>
    <w:rsid w:val="009B4E0D"/>
    <w:rsid w:val="009C0028"/>
    <w:rsid w:val="009C26D0"/>
    <w:rsid w:val="009C7336"/>
    <w:rsid w:val="009C75F0"/>
    <w:rsid w:val="009C7835"/>
    <w:rsid w:val="009D0993"/>
    <w:rsid w:val="009D0C45"/>
    <w:rsid w:val="009D0E29"/>
    <w:rsid w:val="009D2CD1"/>
    <w:rsid w:val="009D534A"/>
    <w:rsid w:val="009D7D14"/>
    <w:rsid w:val="009E246A"/>
    <w:rsid w:val="009E5711"/>
    <w:rsid w:val="009E6F30"/>
    <w:rsid w:val="009E7B8A"/>
    <w:rsid w:val="009F2A66"/>
    <w:rsid w:val="009F3A40"/>
    <w:rsid w:val="009F5341"/>
    <w:rsid w:val="009F6067"/>
    <w:rsid w:val="009F6395"/>
    <w:rsid w:val="009F63E8"/>
    <w:rsid w:val="009F68FC"/>
    <w:rsid w:val="009F79A6"/>
    <w:rsid w:val="00A008AC"/>
    <w:rsid w:val="00A06244"/>
    <w:rsid w:val="00A06BFD"/>
    <w:rsid w:val="00A074DB"/>
    <w:rsid w:val="00A123AC"/>
    <w:rsid w:val="00A1384C"/>
    <w:rsid w:val="00A14171"/>
    <w:rsid w:val="00A1424C"/>
    <w:rsid w:val="00A1524C"/>
    <w:rsid w:val="00A21CA9"/>
    <w:rsid w:val="00A22870"/>
    <w:rsid w:val="00A24807"/>
    <w:rsid w:val="00A24F4C"/>
    <w:rsid w:val="00A24F80"/>
    <w:rsid w:val="00A263EF"/>
    <w:rsid w:val="00A275C6"/>
    <w:rsid w:val="00A27BA2"/>
    <w:rsid w:val="00A338B5"/>
    <w:rsid w:val="00A34FE9"/>
    <w:rsid w:val="00A35B0D"/>
    <w:rsid w:val="00A36CA8"/>
    <w:rsid w:val="00A377A8"/>
    <w:rsid w:val="00A4014B"/>
    <w:rsid w:val="00A407FC"/>
    <w:rsid w:val="00A41223"/>
    <w:rsid w:val="00A414D2"/>
    <w:rsid w:val="00A43554"/>
    <w:rsid w:val="00A4397D"/>
    <w:rsid w:val="00A44190"/>
    <w:rsid w:val="00A517E5"/>
    <w:rsid w:val="00A525A7"/>
    <w:rsid w:val="00A529DA"/>
    <w:rsid w:val="00A54EB1"/>
    <w:rsid w:val="00A54F34"/>
    <w:rsid w:val="00A56509"/>
    <w:rsid w:val="00A601B6"/>
    <w:rsid w:val="00A66340"/>
    <w:rsid w:val="00A669B3"/>
    <w:rsid w:val="00A673B4"/>
    <w:rsid w:val="00A70DEC"/>
    <w:rsid w:val="00A71F6A"/>
    <w:rsid w:val="00A72902"/>
    <w:rsid w:val="00A74A62"/>
    <w:rsid w:val="00A74DDD"/>
    <w:rsid w:val="00A77585"/>
    <w:rsid w:val="00A8316C"/>
    <w:rsid w:val="00A85C0A"/>
    <w:rsid w:val="00A86210"/>
    <w:rsid w:val="00A872C7"/>
    <w:rsid w:val="00A90D04"/>
    <w:rsid w:val="00A91202"/>
    <w:rsid w:val="00A93F34"/>
    <w:rsid w:val="00A946A3"/>
    <w:rsid w:val="00A947E8"/>
    <w:rsid w:val="00A94F93"/>
    <w:rsid w:val="00A95547"/>
    <w:rsid w:val="00A95FF5"/>
    <w:rsid w:val="00A962A0"/>
    <w:rsid w:val="00AA06FB"/>
    <w:rsid w:val="00AA1AE0"/>
    <w:rsid w:val="00AA347C"/>
    <w:rsid w:val="00AA3DE9"/>
    <w:rsid w:val="00AA6BB6"/>
    <w:rsid w:val="00AA7C79"/>
    <w:rsid w:val="00AB0ACF"/>
    <w:rsid w:val="00AB127F"/>
    <w:rsid w:val="00AB1903"/>
    <w:rsid w:val="00AB3F67"/>
    <w:rsid w:val="00AB48F2"/>
    <w:rsid w:val="00AC1C5F"/>
    <w:rsid w:val="00AC252D"/>
    <w:rsid w:val="00AC292E"/>
    <w:rsid w:val="00AC3840"/>
    <w:rsid w:val="00AC4A1D"/>
    <w:rsid w:val="00AC50A0"/>
    <w:rsid w:val="00AC70E1"/>
    <w:rsid w:val="00AC72A8"/>
    <w:rsid w:val="00AC749E"/>
    <w:rsid w:val="00AD0E87"/>
    <w:rsid w:val="00AD2AED"/>
    <w:rsid w:val="00AD3ED4"/>
    <w:rsid w:val="00AD45D6"/>
    <w:rsid w:val="00AD4616"/>
    <w:rsid w:val="00AD7978"/>
    <w:rsid w:val="00AE52AE"/>
    <w:rsid w:val="00AF079F"/>
    <w:rsid w:val="00AF1E74"/>
    <w:rsid w:val="00AF2D2F"/>
    <w:rsid w:val="00AF54B7"/>
    <w:rsid w:val="00AF67D3"/>
    <w:rsid w:val="00B00323"/>
    <w:rsid w:val="00B005EB"/>
    <w:rsid w:val="00B00C7C"/>
    <w:rsid w:val="00B02101"/>
    <w:rsid w:val="00B02752"/>
    <w:rsid w:val="00B036E9"/>
    <w:rsid w:val="00B044A4"/>
    <w:rsid w:val="00B0456F"/>
    <w:rsid w:val="00B05595"/>
    <w:rsid w:val="00B05922"/>
    <w:rsid w:val="00B1164D"/>
    <w:rsid w:val="00B122C4"/>
    <w:rsid w:val="00B13B00"/>
    <w:rsid w:val="00B216F5"/>
    <w:rsid w:val="00B24190"/>
    <w:rsid w:val="00B24BA3"/>
    <w:rsid w:val="00B25870"/>
    <w:rsid w:val="00B27804"/>
    <w:rsid w:val="00B30EDA"/>
    <w:rsid w:val="00B33120"/>
    <w:rsid w:val="00B33E19"/>
    <w:rsid w:val="00B34C9C"/>
    <w:rsid w:val="00B42A45"/>
    <w:rsid w:val="00B44514"/>
    <w:rsid w:val="00B46785"/>
    <w:rsid w:val="00B475FA"/>
    <w:rsid w:val="00B501FA"/>
    <w:rsid w:val="00B51DF4"/>
    <w:rsid w:val="00B549D4"/>
    <w:rsid w:val="00B55CFF"/>
    <w:rsid w:val="00B60C4F"/>
    <w:rsid w:val="00B60CDA"/>
    <w:rsid w:val="00B63719"/>
    <w:rsid w:val="00B707A9"/>
    <w:rsid w:val="00B73F44"/>
    <w:rsid w:val="00B74C11"/>
    <w:rsid w:val="00B75091"/>
    <w:rsid w:val="00B760BA"/>
    <w:rsid w:val="00B76BCF"/>
    <w:rsid w:val="00B76F20"/>
    <w:rsid w:val="00B8187A"/>
    <w:rsid w:val="00B819AC"/>
    <w:rsid w:val="00B81ADB"/>
    <w:rsid w:val="00B8291E"/>
    <w:rsid w:val="00B855EE"/>
    <w:rsid w:val="00B86B98"/>
    <w:rsid w:val="00B90F22"/>
    <w:rsid w:val="00B914E6"/>
    <w:rsid w:val="00B92600"/>
    <w:rsid w:val="00B94BED"/>
    <w:rsid w:val="00BA15F6"/>
    <w:rsid w:val="00BA28DF"/>
    <w:rsid w:val="00BA297F"/>
    <w:rsid w:val="00BA4163"/>
    <w:rsid w:val="00BA57FC"/>
    <w:rsid w:val="00BA73BE"/>
    <w:rsid w:val="00BB0274"/>
    <w:rsid w:val="00BB16A3"/>
    <w:rsid w:val="00BB1C9A"/>
    <w:rsid w:val="00BB1CDA"/>
    <w:rsid w:val="00BB22E5"/>
    <w:rsid w:val="00BB2935"/>
    <w:rsid w:val="00BB5C99"/>
    <w:rsid w:val="00BC1C54"/>
    <w:rsid w:val="00BC27BB"/>
    <w:rsid w:val="00BC316D"/>
    <w:rsid w:val="00BC319D"/>
    <w:rsid w:val="00BC62F6"/>
    <w:rsid w:val="00BD0621"/>
    <w:rsid w:val="00BD0B59"/>
    <w:rsid w:val="00BD1485"/>
    <w:rsid w:val="00BD152A"/>
    <w:rsid w:val="00BD1580"/>
    <w:rsid w:val="00BD3AF4"/>
    <w:rsid w:val="00BD45A0"/>
    <w:rsid w:val="00BD6B67"/>
    <w:rsid w:val="00BE0077"/>
    <w:rsid w:val="00BE1692"/>
    <w:rsid w:val="00BE1AB3"/>
    <w:rsid w:val="00BE3549"/>
    <w:rsid w:val="00BE423B"/>
    <w:rsid w:val="00BF1D23"/>
    <w:rsid w:val="00BF55DE"/>
    <w:rsid w:val="00BF5918"/>
    <w:rsid w:val="00BF708B"/>
    <w:rsid w:val="00BF7101"/>
    <w:rsid w:val="00C0265F"/>
    <w:rsid w:val="00C0460C"/>
    <w:rsid w:val="00C0676F"/>
    <w:rsid w:val="00C072D5"/>
    <w:rsid w:val="00C078F5"/>
    <w:rsid w:val="00C10A6C"/>
    <w:rsid w:val="00C11137"/>
    <w:rsid w:val="00C12405"/>
    <w:rsid w:val="00C20BD4"/>
    <w:rsid w:val="00C21A4B"/>
    <w:rsid w:val="00C21ACF"/>
    <w:rsid w:val="00C220B5"/>
    <w:rsid w:val="00C309A1"/>
    <w:rsid w:val="00C30A06"/>
    <w:rsid w:val="00C31D4C"/>
    <w:rsid w:val="00C3558C"/>
    <w:rsid w:val="00C4014A"/>
    <w:rsid w:val="00C4093C"/>
    <w:rsid w:val="00C45432"/>
    <w:rsid w:val="00C45A79"/>
    <w:rsid w:val="00C50436"/>
    <w:rsid w:val="00C52865"/>
    <w:rsid w:val="00C531BC"/>
    <w:rsid w:val="00C56E69"/>
    <w:rsid w:val="00C62714"/>
    <w:rsid w:val="00C629F0"/>
    <w:rsid w:val="00C64008"/>
    <w:rsid w:val="00C64679"/>
    <w:rsid w:val="00C64901"/>
    <w:rsid w:val="00C6544F"/>
    <w:rsid w:val="00C66564"/>
    <w:rsid w:val="00C66B40"/>
    <w:rsid w:val="00C7218E"/>
    <w:rsid w:val="00C726FA"/>
    <w:rsid w:val="00C74EC4"/>
    <w:rsid w:val="00C77202"/>
    <w:rsid w:val="00C77940"/>
    <w:rsid w:val="00C81631"/>
    <w:rsid w:val="00C81E4C"/>
    <w:rsid w:val="00C852CA"/>
    <w:rsid w:val="00C8663F"/>
    <w:rsid w:val="00C86B0F"/>
    <w:rsid w:val="00C87645"/>
    <w:rsid w:val="00C9319B"/>
    <w:rsid w:val="00C94E96"/>
    <w:rsid w:val="00C9790C"/>
    <w:rsid w:val="00CA39B3"/>
    <w:rsid w:val="00CA42DA"/>
    <w:rsid w:val="00CA712E"/>
    <w:rsid w:val="00CB1EA6"/>
    <w:rsid w:val="00CB3147"/>
    <w:rsid w:val="00CB65EB"/>
    <w:rsid w:val="00CB7BED"/>
    <w:rsid w:val="00CC0008"/>
    <w:rsid w:val="00CC11FC"/>
    <w:rsid w:val="00CC216F"/>
    <w:rsid w:val="00CC6260"/>
    <w:rsid w:val="00CC7EBC"/>
    <w:rsid w:val="00CD0866"/>
    <w:rsid w:val="00CD6125"/>
    <w:rsid w:val="00CD788F"/>
    <w:rsid w:val="00CE4C3C"/>
    <w:rsid w:val="00CE67A7"/>
    <w:rsid w:val="00CE765F"/>
    <w:rsid w:val="00CF0038"/>
    <w:rsid w:val="00CF0E5C"/>
    <w:rsid w:val="00CF14DF"/>
    <w:rsid w:val="00CF2AC7"/>
    <w:rsid w:val="00CF397B"/>
    <w:rsid w:val="00CF39AA"/>
    <w:rsid w:val="00CF41CA"/>
    <w:rsid w:val="00CF49F9"/>
    <w:rsid w:val="00CF523B"/>
    <w:rsid w:val="00D00875"/>
    <w:rsid w:val="00D0290D"/>
    <w:rsid w:val="00D05074"/>
    <w:rsid w:val="00D05739"/>
    <w:rsid w:val="00D067F8"/>
    <w:rsid w:val="00D072E4"/>
    <w:rsid w:val="00D07F6C"/>
    <w:rsid w:val="00D122D4"/>
    <w:rsid w:val="00D15EA9"/>
    <w:rsid w:val="00D203B0"/>
    <w:rsid w:val="00D23D44"/>
    <w:rsid w:val="00D250D1"/>
    <w:rsid w:val="00D30245"/>
    <w:rsid w:val="00D309E7"/>
    <w:rsid w:val="00D31D37"/>
    <w:rsid w:val="00D32FBA"/>
    <w:rsid w:val="00D33A2D"/>
    <w:rsid w:val="00D348E5"/>
    <w:rsid w:val="00D3625A"/>
    <w:rsid w:val="00D3687B"/>
    <w:rsid w:val="00D36EBA"/>
    <w:rsid w:val="00D3737F"/>
    <w:rsid w:val="00D37869"/>
    <w:rsid w:val="00D434B2"/>
    <w:rsid w:val="00D455C3"/>
    <w:rsid w:val="00D45CF1"/>
    <w:rsid w:val="00D46049"/>
    <w:rsid w:val="00D463E2"/>
    <w:rsid w:val="00D46723"/>
    <w:rsid w:val="00D4717B"/>
    <w:rsid w:val="00D47BF5"/>
    <w:rsid w:val="00D500B4"/>
    <w:rsid w:val="00D5068E"/>
    <w:rsid w:val="00D50852"/>
    <w:rsid w:val="00D521F6"/>
    <w:rsid w:val="00D5539E"/>
    <w:rsid w:val="00D5547D"/>
    <w:rsid w:val="00D55736"/>
    <w:rsid w:val="00D578A9"/>
    <w:rsid w:val="00D611F0"/>
    <w:rsid w:val="00D6184B"/>
    <w:rsid w:val="00D63F41"/>
    <w:rsid w:val="00D6461F"/>
    <w:rsid w:val="00D65425"/>
    <w:rsid w:val="00D6676B"/>
    <w:rsid w:val="00D70152"/>
    <w:rsid w:val="00D716D6"/>
    <w:rsid w:val="00D72D3D"/>
    <w:rsid w:val="00D73834"/>
    <w:rsid w:val="00D74E57"/>
    <w:rsid w:val="00D774AC"/>
    <w:rsid w:val="00D8129B"/>
    <w:rsid w:val="00D82E39"/>
    <w:rsid w:val="00D87499"/>
    <w:rsid w:val="00D92312"/>
    <w:rsid w:val="00D97F5D"/>
    <w:rsid w:val="00DA053C"/>
    <w:rsid w:val="00DA0760"/>
    <w:rsid w:val="00DA0C42"/>
    <w:rsid w:val="00DA14F5"/>
    <w:rsid w:val="00DA28E3"/>
    <w:rsid w:val="00DA3F32"/>
    <w:rsid w:val="00DA6943"/>
    <w:rsid w:val="00DB15DC"/>
    <w:rsid w:val="00DB4066"/>
    <w:rsid w:val="00DB67F3"/>
    <w:rsid w:val="00DB7E79"/>
    <w:rsid w:val="00DC1141"/>
    <w:rsid w:val="00DC3D3B"/>
    <w:rsid w:val="00DC4149"/>
    <w:rsid w:val="00DC456B"/>
    <w:rsid w:val="00DC4FA7"/>
    <w:rsid w:val="00DC5576"/>
    <w:rsid w:val="00DC5D56"/>
    <w:rsid w:val="00DD073F"/>
    <w:rsid w:val="00DD0F5F"/>
    <w:rsid w:val="00DD6C13"/>
    <w:rsid w:val="00DE0CA1"/>
    <w:rsid w:val="00DE1CDF"/>
    <w:rsid w:val="00DE2D0A"/>
    <w:rsid w:val="00DE5835"/>
    <w:rsid w:val="00DE5C00"/>
    <w:rsid w:val="00DE638E"/>
    <w:rsid w:val="00DE650A"/>
    <w:rsid w:val="00DE6CCE"/>
    <w:rsid w:val="00DE72E4"/>
    <w:rsid w:val="00DF6159"/>
    <w:rsid w:val="00E00882"/>
    <w:rsid w:val="00E02330"/>
    <w:rsid w:val="00E0412E"/>
    <w:rsid w:val="00E04889"/>
    <w:rsid w:val="00E0693F"/>
    <w:rsid w:val="00E12A2C"/>
    <w:rsid w:val="00E13392"/>
    <w:rsid w:val="00E2258A"/>
    <w:rsid w:val="00E2415D"/>
    <w:rsid w:val="00E2503F"/>
    <w:rsid w:val="00E26665"/>
    <w:rsid w:val="00E26F7F"/>
    <w:rsid w:val="00E3261D"/>
    <w:rsid w:val="00E35B53"/>
    <w:rsid w:val="00E35D86"/>
    <w:rsid w:val="00E37180"/>
    <w:rsid w:val="00E373C1"/>
    <w:rsid w:val="00E42158"/>
    <w:rsid w:val="00E44230"/>
    <w:rsid w:val="00E47475"/>
    <w:rsid w:val="00E5135D"/>
    <w:rsid w:val="00E53E7A"/>
    <w:rsid w:val="00E54D81"/>
    <w:rsid w:val="00E5546A"/>
    <w:rsid w:val="00E5672C"/>
    <w:rsid w:val="00E63FA5"/>
    <w:rsid w:val="00E6449E"/>
    <w:rsid w:val="00E646DC"/>
    <w:rsid w:val="00E66A51"/>
    <w:rsid w:val="00E67E6B"/>
    <w:rsid w:val="00E72BC6"/>
    <w:rsid w:val="00E73719"/>
    <w:rsid w:val="00E74AF6"/>
    <w:rsid w:val="00E7703C"/>
    <w:rsid w:val="00E80C0D"/>
    <w:rsid w:val="00E80E5B"/>
    <w:rsid w:val="00E82C24"/>
    <w:rsid w:val="00E83D2F"/>
    <w:rsid w:val="00E84185"/>
    <w:rsid w:val="00E84B05"/>
    <w:rsid w:val="00E84BD2"/>
    <w:rsid w:val="00E859EC"/>
    <w:rsid w:val="00E85F9D"/>
    <w:rsid w:val="00E9024C"/>
    <w:rsid w:val="00E92222"/>
    <w:rsid w:val="00E9256E"/>
    <w:rsid w:val="00E945C3"/>
    <w:rsid w:val="00E951B3"/>
    <w:rsid w:val="00E953DC"/>
    <w:rsid w:val="00E96BFA"/>
    <w:rsid w:val="00E96F86"/>
    <w:rsid w:val="00E973AA"/>
    <w:rsid w:val="00EA04BA"/>
    <w:rsid w:val="00EA0DA1"/>
    <w:rsid w:val="00EA7AD3"/>
    <w:rsid w:val="00EB0C82"/>
    <w:rsid w:val="00EB14C2"/>
    <w:rsid w:val="00EB1C24"/>
    <w:rsid w:val="00EB311A"/>
    <w:rsid w:val="00EB422D"/>
    <w:rsid w:val="00EB6ED7"/>
    <w:rsid w:val="00EB77D0"/>
    <w:rsid w:val="00EB7D62"/>
    <w:rsid w:val="00EC0D46"/>
    <w:rsid w:val="00EC1929"/>
    <w:rsid w:val="00EC1A31"/>
    <w:rsid w:val="00EC56AB"/>
    <w:rsid w:val="00EC59B1"/>
    <w:rsid w:val="00EC5EAB"/>
    <w:rsid w:val="00ED0183"/>
    <w:rsid w:val="00ED1456"/>
    <w:rsid w:val="00ED154D"/>
    <w:rsid w:val="00ED1F54"/>
    <w:rsid w:val="00ED2BC5"/>
    <w:rsid w:val="00ED3C59"/>
    <w:rsid w:val="00ED5103"/>
    <w:rsid w:val="00ED56E9"/>
    <w:rsid w:val="00ED57C9"/>
    <w:rsid w:val="00ED79A2"/>
    <w:rsid w:val="00ED7F03"/>
    <w:rsid w:val="00EE0584"/>
    <w:rsid w:val="00EE0F55"/>
    <w:rsid w:val="00EE4675"/>
    <w:rsid w:val="00EE5DC7"/>
    <w:rsid w:val="00EE6956"/>
    <w:rsid w:val="00EF10DA"/>
    <w:rsid w:val="00EF176B"/>
    <w:rsid w:val="00EF1A19"/>
    <w:rsid w:val="00EF290D"/>
    <w:rsid w:val="00EF46A3"/>
    <w:rsid w:val="00EF4827"/>
    <w:rsid w:val="00F00FC0"/>
    <w:rsid w:val="00F02B0F"/>
    <w:rsid w:val="00F03EE1"/>
    <w:rsid w:val="00F041FB"/>
    <w:rsid w:val="00F10543"/>
    <w:rsid w:val="00F11467"/>
    <w:rsid w:val="00F11D24"/>
    <w:rsid w:val="00F12657"/>
    <w:rsid w:val="00F17028"/>
    <w:rsid w:val="00F201D9"/>
    <w:rsid w:val="00F216C2"/>
    <w:rsid w:val="00F21A18"/>
    <w:rsid w:val="00F22784"/>
    <w:rsid w:val="00F228D4"/>
    <w:rsid w:val="00F2516E"/>
    <w:rsid w:val="00F32030"/>
    <w:rsid w:val="00F34250"/>
    <w:rsid w:val="00F37D88"/>
    <w:rsid w:val="00F41B75"/>
    <w:rsid w:val="00F458BB"/>
    <w:rsid w:val="00F519B9"/>
    <w:rsid w:val="00F52816"/>
    <w:rsid w:val="00F52A0F"/>
    <w:rsid w:val="00F53BBB"/>
    <w:rsid w:val="00F55462"/>
    <w:rsid w:val="00F563FD"/>
    <w:rsid w:val="00F56A90"/>
    <w:rsid w:val="00F57705"/>
    <w:rsid w:val="00F606F5"/>
    <w:rsid w:val="00F63241"/>
    <w:rsid w:val="00F65D07"/>
    <w:rsid w:val="00F667C2"/>
    <w:rsid w:val="00F70F1F"/>
    <w:rsid w:val="00F7321C"/>
    <w:rsid w:val="00F7362C"/>
    <w:rsid w:val="00F757FB"/>
    <w:rsid w:val="00F75CC4"/>
    <w:rsid w:val="00F8024B"/>
    <w:rsid w:val="00F8090F"/>
    <w:rsid w:val="00F81C7F"/>
    <w:rsid w:val="00F8243F"/>
    <w:rsid w:val="00F8252A"/>
    <w:rsid w:val="00F8322F"/>
    <w:rsid w:val="00F85111"/>
    <w:rsid w:val="00F86FB5"/>
    <w:rsid w:val="00F874AE"/>
    <w:rsid w:val="00F903E8"/>
    <w:rsid w:val="00F90EE7"/>
    <w:rsid w:val="00F91314"/>
    <w:rsid w:val="00F9475D"/>
    <w:rsid w:val="00F975E3"/>
    <w:rsid w:val="00F97ACA"/>
    <w:rsid w:val="00FA0081"/>
    <w:rsid w:val="00FA0C9C"/>
    <w:rsid w:val="00FA0EBE"/>
    <w:rsid w:val="00FA1513"/>
    <w:rsid w:val="00FA186B"/>
    <w:rsid w:val="00FA3410"/>
    <w:rsid w:val="00FA6C3E"/>
    <w:rsid w:val="00FB060C"/>
    <w:rsid w:val="00FB2630"/>
    <w:rsid w:val="00FB33D3"/>
    <w:rsid w:val="00FB5C92"/>
    <w:rsid w:val="00FB6C98"/>
    <w:rsid w:val="00FB7E01"/>
    <w:rsid w:val="00FC1453"/>
    <w:rsid w:val="00FC1B43"/>
    <w:rsid w:val="00FC2675"/>
    <w:rsid w:val="00FC37F3"/>
    <w:rsid w:val="00FC3C80"/>
    <w:rsid w:val="00FC410D"/>
    <w:rsid w:val="00FC6609"/>
    <w:rsid w:val="00FC67AB"/>
    <w:rsid w:val="00FD1447"/>
    <w:rsid w:val="00FD2220"/>
    <w:rsid w:val="00FD26D0"/>
    <w:rsid w:val="00FD5979"/>
    <w:rsid w:val="00FD5DB5"/>
    <w:rsid w:val="00FE1C47"/>
    <w:rsid w:val="00FE1DAD"/>
    <w:rsid w:val="00FE3536"/>
    <w:rsid w:val="00FE4BB2"/>
    <w:rsid w:val="00FF14B9"/>
    <w:rsid w:val="00FF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DD591"/>
  <w15:chartTrackingRefBased/>
  <w15:docId w15:val="{D502BF47-FD4B-4C4D-89F6-CABCA1FF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3410"/>
    <w:pPr>
      <w:spacing w:after="120"/>
      <w:jc w:val="both"/>
    </w:pPr>
    <w:rPr>
      <w:rFonts w:ascii="Verdana" w:hAnsi="Verdana"/>
      <w:sz w:val="20"/>
    </w:rPr>
  </w:style>
  <w:style w:type="paragraph" w:styleId="Naslov1">
    <w:name w:val="heading 1"/>
    <w:basedOn w:val="Navaden"/>
    <w:next w:val="Navaden"/>
    <w:link w:val="Naslov1Znak"/>
    <w:uiPriority w:val="9"/>
    <w:qFormat/>
    <w:rsid w:val="00FD2220"/>
    <w:pPr>
      <w:keepNext/>
      <w:keepLines/>
      <w:numPr>
        <w:numId w:val="5"/>
      </w:numPr>
      <w:outlineLvl w:val="0"/>
    </w:pPr>
    <w:rPr>
      <w:rFonts w:eastAsiaTheme="majorEastAsia" w:cstheme="majorBidi"/>
      <w:b/>
      <w:color w:val="032D5B" w:themeColor="accent1"/>
      <w:sz w:val="24"/>
      <w:szCs w:val="32"/>
    </w:rPr>
  </w:style>
  <w:style w:type="paragraph" w:styleId="Naslov2">
    <w:name w:val="heading 2"/>
    <w:basedOn w:val="Navaden"/>
    <w:next w:val="Navaden"/>
    <w:link w:val="Naslov2Znak"/>
    <w:uiPriority w:val="9"/>
    <w:unhideWhenUsed/>
    <w:qFormat/>
    <w:rsid w:val="0077373F"/>
    <w:pPr>
      <w:keepNext/>
      <w:keepLines/>
      <w:numPr>
        <w:ilvl w:val="1"/>
        <w:numId w:val="5"/>
      </w:numPr>
      <w:spacing w:before="40" w:after="0"/>
      <w:outlineLvl w:val="1"/>
    </w:pPr>
    <w:rPr>
      <w:rFonts w:eastAsiaTheme="majorEastAsia" w:cstheme="majorBidi"/>
      <w:color w:val="022144" w:themeColor="accent1" w:themeShade="BF"/>
      <w:sz w:val="22"/>
      <w:szCs w:val="26"/>
    </w:rPr>
  </w:style>
  <w:style w:type="paragraph" w:styleId="Naslov3">
    <w:name w:val="heading 3"/>
    <w:basedOn w:val="Navaden"/>
    <w:next w:val="Navaden"/>
    <w:link w:val="Naslov3Znak"/>
    <w:uiPriority w:val="9"/>
    <w:unhideWhenUsed/>
    <w:qFormat/>
    <w:rsid w:val="00794E6E"/>
    <w:pPr>
      <w:outlineLvl w:val="2"/>
    </w:pPr>
    <w:rPr>
      <w:b/>
      <w:bCs/>
      <w:color w:val="0A131B" w:themeColor="text2"/>
      <w:lang w:val="sl-SI"/>
    </w:rPr>
  </w:style>
  <w:style w:type="paragraph" w:styleId="Naslov4">
    <w:name w:val="heading 4"/>
    <w:basedOn w:val="Navaden"/>
    <w:next w:val="Navaden"/>
    <w:link w:val="Naslov4Znak"/>
    <w:uiPriority w:val="9"/>
    <w:semiHidden/>
    <w:unhideWhenUsed/>
    <w:qFormat/>
    <w:rsid w:val="00736F2B"/>
    <w:pPr>
      <w:keepNext/>
      <w:keepLines/>
      <w:numPr>
        <w:ilvl w:val="3"/>
        <w:numId w:val="5"/>
      </w:numPr>
      <w:spacing w:before="40" w:after="0"/>
      <w:outlineLvl w:val="3"/>
    </w:pPr>
    <w:rPr>
      <w:rFonts w:asciiTheme="majorHAnsi" w:eastAsiaTheme="majorEastAsia" w:hAnsiTheme="majorHAnsi" w:cstheme="majorBidi"/>
      <w:i/>
      <w:iCs/>
      <w:color w:val="022144" w:themeColor="accent1" w:themeShade="BF"/>
    </w:rPr>
  </w:style>
  <w:style w:type="paragraph" w:styleId="Naslov5">
    <w:name w:val="heading 5"/>
    <w:basedOn w:val="Navaden"/>
    <w:next w:val="Navaden"/>
    <w:link w:val="Naslov5Znak"/>
    <w:uiPriority w:val="9"/>
    <w:semiHidden/>
    <w:unhideWhenUsed/>
    <w:qFormat/>
    <w:rsid w:val="00736F2B"/>
    <w:pPr>
      <w:keepNext/>
      <w:keepLines/>
      <w:numPr>
        <w:ilvl w:val="4"/>
        <w:numId w:val="5"/>
      </w:numPr>
      <w:spacing w:before="40" w:after="0"/>
      <w:outlineLvl w:val="4"/>
    </w:pPr>
    <w:rPr>
      <w:rFonts w:asciiTheme="majorHAnsi" w:eastAsiaTheme="majorEastAsia" w:hAnsiTheme="majorHAnsi" w:cstheme="majorBidi"/>
      <w:color w:val="022144" w:themeColor="accent1" w:themeShade="BF"/>
    </w:rPr>
  </w:style>
  <w:style w:type="paragraph" w:styleId="Naslov6">
    <w:name w:val="heading 6"/>
    <w:basedOn w:val="Navaden"/>
    <w:next w:val="Navaden"/>
    <w:link w:val="Naslov6Znak"/>
    <w:uiPriority w:val="9"/>
    <w:semiHidden/>
    <w:unhideWhenUsed/>
    <w:qFormat/>
    <w:rsid w:val="00736F2B"/>
    <w:pPr>
      <w:keepNext/>
      <w:keepLines/>
      <w:numPr>
        <w:ilvl w:val="5"/>
        <w:numId w:val="5"/>
      </w:numPr>
      <w:spacing w:before="40" w:after="0"/>
      <w:outlineLvl w:val="5"/>
    </w:pPr>
    <w:rPr>
      <w:rFonts w:asciiTheme="majorHAnsi" w:eastAsiaTheme="majorEastAsia" w:hAnsiTheme="majorHAnsi" w:cstheme="majorBidi"/>
      <w:color w:val="01162D" w:themeColor="accent1" w:themeShade="7F"/>
    </w:rPr>
  </w:style>
  <w:style w:type="paragraph" w:styleId="Naslov7">
    <w:name w:val="heading 7"/>
    <w:basedOn w:val="Navaden"/>
    <w:next w:val="Navaden"/>
    <w:link w:val="Naslov7Znak"/>
    <w:uiPriority w:val="9"/>
    <w:semiHidden/>
    <w:unhideWhenUsed/>
    <w:qFormat/>
    <w:rsid w:val="00736F2B"/>
    <w:pPr>
      <w:keepNext/>
      <w:keepLines/>
      <w:numPr>
        <w:ilvl w:val="6"/>
        <w:numId w:val="5"/>
      </w:numPr>
      <w:spacing w:before="40" w:after="0"/>
      <w:outlineLvl w:val="6"/>
    </w:pPr>
    <w:rPr>
      <w:rFonts w:asciiTheme="majorHAnsi" w:eastAsiaTheme="majorEastAsia" w:hAnsiTheme="majorHAnsi" w:cstheme="majorBidi"/>
      <w:i/>
      <w:iCs/>
      <w:color w:val="01162D" w:themeColor="accent1" w:themeShade="7F"/>
    </w:rPr>
  </w:style>
  <w:style w:type="paragraph" w:styleId="Naslov8">
    <w:name w:val="heading 8"/>
    <w:basedOn w:val="Navaden"/>
    <w:next w:val="Navaden"/>
    <w:link w:val="Naslov8Znak"/>
    <w:uiPriority w:val="9"/>
    <w:semiHidden/>
    <w:unhideWhenUsed/>
    <w:qFormat/>
    <w:rsid w:val="00736F2B"/>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736F2B"/>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E0D26"/>
    <w:pPr>
      <w:tabs>
        <w:tab w:val="center" w:pos="4513"/>
        <w:tab w:val="right" w:pos="9026"/>
      </w:tabs>
    </w:pPr>
  </w:style>
  <w:style w:type="character" w:customStyle="1" w:styleId="GlavaZnak">
    <w:name w:val="Glava Znak"/>
    <w:basedOn w:val="Privzetapisavaodstavka"/>
    <w:link w:val="Glava"/>
    <w:uiPriority w:val="99"/>
    <w:rsid w:val="002E0D26"/>
  </w:style>
  <w:style w:type="paragraph" w:styleId="Noga">
    <w:name w:val="footer"/>
    <w:basedOn w:val="Navaden"/>
    <w:link w:val="NogaZnak"/>
    <w:uiPriority w:val="99"/>
    <w:unhideWhenUsed/>
    <w:rsid w:val="002E0D26"/>
    <w:pPr>
      <w:tabs>
        <w:tab w:val="center" w:pos="4513"/>
        <w:tab w:val="right" w:pos="9026"/>
      </w:tabs>
    </w:pPr>
  </w:style>
  <w:style w:type="character" w:customStyle="1" w:styleId="NogaZnak">
    <w:name w:val="Noga Znak"/>
    <w:basedOn w:val="Privzetapisavaodstavka"/>
    <w:link w:val="Noga"/>
    <w:uiPriority w:val="99"/>
    <w:rsid w:val="002E0D26"/>
  </w:style>
  <w:style w:type="character" w:customStyle="1" w:styleId="Naslov1Znak">
    <w:name w:val="Naslov 1 Znak"/>
    <w:basedOn w:val="Privzetapisavaodstavka"/>
    <w:link w:val="Naslov1"/>
    <w:uiPriority w:val="9"/>
    <w:rsid w:val="00FD2220"/>
    <w:rPr>
      <w:rFonts w:ascii="Verdana" w:eastAsiaTheme="majorEastAsia" w:hAnsi="Verdana" w:cstheme="majorBidi"/>
      <w:b/>
      <w:color w:val="032D5B" w:themeColor="accent1"/>
      <w:szCs w:val="32"/>
    </w:rPr>
  </w:style>
  <w:style w:type="paragraph" w:styleId="Odstavekseznama">
    <w:name w:val="List Paragraph"/>
    <w:basedOn w:val="Navaden"/>
    <w:uiPriority w:val="34"/>
    <w:qFormat/>
    <w:rsid w:val="00CF0E5C"/>
    <w:pPr>
      <w:ind w:left="720"/>
      <w:contextualSpacing/>
    </w:pPr>
  </w:style>
  <w:style w:type="character" w:customStyle="1" w:styleId="apple-converted-space">
    <w:name w:val="apple-converted-space"/>
    <w:basedOn w:val="Privzetapisavaodstavka"/>
    <w:rsid w:val="00A44190"/>
  </w:style>
  <w:style w:type="paragraph" w:styleId="Napis">
    <w:name w:val="caption"/>
    <w:basedOn w:val="Navaden"/>
    <w:next w:val="Navaden"/>
    <w:uiPriority w:val="35"/>
    <w:unhideWhenUsed/>
    <w:qFormat/>
    <w:rsid w:val="00ED1F54"/>
    <w:pPr>
      <w:spacing w:after="200"/>
    </w:pPr>
    <w:rPr>
      <w:i/>
      <w:iCs/>
      <w:color w:val="0A131B" w:themeColor="text2"/>
      <w:sz w:val="18"/>
      <w:szCs w:val="18"/>
    </w:rPr>
  </w:style>
  <w:style w:type="character" w:customStyle="1" w:styleId="Naslov2Znak">
    <w:name w:val="Naslov 2 Znak"/>
    <w:basedOn w:val="Privzetapisavaodstavka"/>
    <w:link w:val="Naslov2"/>
    <w:uiPriority w:val="9"/>
    <w:rsid w:val="0077373F"/>
    <w:rPr>
      <w:rFonts w:ascii="Verdana" w:eastAsiaTheme="majorEastAsia" w:hAnsi="Verdana" w:cstheme="majorBidi"/>
      <w:color w:val="022144" w:themeColor="accent1" w:themeShade="BF"/>
      <w:sz w:val="22"/>
      <w:szCs w:val="26"/>
    </w:rPr>
  </w:style>
  <w:style w:type="character" w:customStyle="1" w:styleId="Naslov3Znak">
    <w:name w:val="Naslov 3 Znak"/>
    <w:basedOn w:val="Privzetapisavaodstavka"/>
    <w:link w:val="Naslov3"/>
    <w:uiPriority w:val="9"/>
    <w:rsid w:val="00794E6E"/>
    <w:rPr>
      <w:rFonts w:ascii="Verdana" w:hAnsi="Verdana"/>
      <w:b/>
      <w:bCs/>
      <w:color w:val="0A131B" w:themeColor="text2"/>
      <w:sz w:val="20"/>
      <w:lang w:val="sl-SI"/>
    </w:rPr>
  </w:style>
  <w:style w:type="character" w:customStyle="1" w:styleId="Naslov4Znak">
    <w:name w:val="Naslov 4 Znak"/>
    <w:basedOn w:val="Privzetapisavaodstavka"/>
    <w:link w:val="Naslov4"/>
    <w:uiPriority w:val="9"/>
    <w:semiHidden/>
    <w:rsid w:val="00736F2B"/>
    <w:rPr>
      <w:rFonts w:asciiTheme="majorHAnsi" w:eastAsiaTheme="majorEastAsia" w:hAnsiTheme="majorHAnsi" w:cstheme="majorBidi"/>
      <w:i/>
      <w:iCs/>
      <w:color w:val="022144" w:themeColor="accent1" w:themeShade="BF"/>
      <w:sz w:val="20"/>
    </w:rPr>
  </w:style>
  <w:style w:type="character" w:customStyle="1" w:styleId="Naslov5Znak">
    <w:name w:val="Naslov 5 Znak"/>
    <w:basedOn w:val="Privzetapisavaodstavka"/>
    <w:link w:val="Naslov5"/>
    <w:uiPriority w:val="9"/>
    <w:semiHidden/>
    <w:rsid w:val="00736F2B"/>
    <w:rPr>
      <w:rFonts w:asciiTheme="majorHAnsi" w:eastAsiaTheme="majorEastAsia" w:hAnsiTheme="majorHAnsi" w:cstheme="majorBidi"/>
      <w:color w:val="022144" w:themeColor="accent1" w:themeShade="BF"/>
      <w:sz w:val="20"/>
    </w:rPr>
  </w:style>
  <w:style w:type="character" w:customStyle="1" w:styleId="Naslov6Znak">
    <w:name w:val="Naslov 6 Znak"/>
    <w:basedOn w:val="Privzetapisavaodstavka"/>
    <w:link w:val="Naslov6"/>
    <w:uiPriority w:val="9"/>
    <w:semiHidden/>
    <w:rsid w:val="00736F2B"/>
    <w:rPr>
      <w:rFonts w:asciiTheme="majorHAnsi" w:eastAsiaTheme="majorEastAsia" w:hAnsiTheme="majorHAnsi" w:cstheme="majorBidi"/>
      <w:color w:val="01162D" w:themeColor="accent1" w:themeShade="7F"/>
      <w:sz w:val="20"/>
    </w:rPr>
  </w:style>
  <w:style w:type="character" w:customStyle="1" w:styleId="Naslov7Znak">
    <w:name w:val="Naslov 7 Znak"/>
    <w:basedOn w:val="Privzetapisavaodstavka"/>
    <w:link w:val="Naslov7"/>
    <w:uiPriority w:val="9"/>
    <w:semiHidden/>
    <w:rsid w:val="00736F2B"/>
    <w:rPr>
      <w:rFonts w:asciiTheme="majorHAnsi" w:eastAsiaTheme="majorEastAsia" w:hAnsiTheme="majorHAnsi" w:cstheme="majorBidi"/>
      <w:i/>
      <w:iCs/>
      <w:color w:val="01162D" w:themeColor="accent1" w:themeShade="7F"/>
      <w:sz w:val="20"/>
    </w:rPr>
  </w:style>
  <w:style w:type="character" w:customStyle="1" w:styleId="Naslov8Znak">
    <w:name w:val="Naslov 8 Znak"/>
    <w:basedOn w:val="Privzetapisavaodstavka"/>
    <w:link w:val="Naslov8"/>
    <w:uiPriority w:val="9"/>
    <w:semiHidden/>
    <w:rsid w:val="00736F2B"/>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736F2B"/>
    <w:rPr>
      <w:rFonts w:asciiTheme="majorHAnsi" w:eastAsiaTheme="majorEastAsia" w:hAnsiTheme="majorHAnsi" w:cstheme="majorBidi"/>
      <w:i/>
      <w:iCs/>
      <w:color w:val="272727" w:themeColor="text1" w:themeTint="D8"/>
      <w:sz w:val="21"/>
      <w:szCs w:val="21"/>
    </w:rPr>
  </w:style>
  <w:style w:type="table" w:styleId="Tabelamrea4poudarek2">
    <w:name w:val="Grid Table 4 Accent 2"/>
    <w:basedOn w:val="Navadnatabela"/>
    <w:uiPriority w:val="49"/>
    <w:rsid w:val="00415F3C"/>
    <w:tblPr>
      <w:tblStyleRowBandSize w:val="1"/>
      <w:tblStyleColBandSize w:val="1"/>
      <w:tblInd w:w="0" w:type="nil"/>
      <w:tblBorders>
        <w:insideV w:val="single" w:sz="4" w:space="0" w:color="0A131B" w:themeColor="text2"/>
      </w:tblBorders>
    </w:tblPr>
    <w:tblStylePr w:type="firstRow">
      <w:rPr>
        <w:b/>
        <w:bCs/>
        <w:color w:val="FFFFFF" w:themeColor="background1"/>
      </w:rPr>
      <w:tblPr/>
      <w:tcPr>
        <w:shd w:val="clear" w:color="auto" w:fill="0A131B" w:themeFill="text2"/>
      </w:tcPr>
    </w:tblStylePr>
    <w:tblStylePr w:type="lastRow">
      <w:rPr>
        <w:b/>
        <w:bCs/>
      </w:rPr>
      <w:tblPr/>
      <w:tcPr>
        <w:tcBorders>
          <w:top w:val="double" w:sz="4" w:space="0" w:color="23B6C1" w:themeColor="accent2"/>
        </w:tcBorders>
      </w:tcPr>
    </w:tblStylePr>
    <w:tblStylePr w:type="firstCol">
      <w:rPr>
        <w:b/>
        <w:bCs/>
      </w:rPr>
    </w:tblStylePr>
    <w:tblStylePr w:type="lastCol">
      <w:rPr>
        <w:b/>
        <w:bCs/>
      </w:rPr>
    </w:tblStylePr>
    <w:tblStylePr w:type="band1Vert">
      <w:tblPr/>
      <w:tcPr>
        <w:shd w:val="clear" w:color="auto" w:fill="CFF3F6" w:themeFill="accent2" w:themeFillTint="33"/>
      </w:tcPr>
    </w:tblStylePr>
    <w:tblStylePr w:type="band1Horz">
      <w:tblPr/>
      <w:tcPr>
        <w:shd w:val="clear" w:color="auto" w:fill="DBE7F2" w:themeFill="text2" w:themeFillTint="1A"/>
      </w:tcPr>
    </w:tblStylePr>
  </w:style>
  <w:style w:type="paragraph" w:styleId="Sprotnaopomba-besedilo">
    <w:name w:val="footnote text"/>
    <w:basedOn w:val="Navaden"/>
    <w:link w:val="Sprotnaopomba-besediloZnak"/>
    <w:uiPriority w:val="99"/>
    <w:semiHidden/>
    <w:unhideWhenUsed/>
    <w:rsid w:val="00B76F20"/>
    <w:pPr>
      <w:spacing w:after="0"/>
    </w:pPr>
    <w:rPr>
      <w:szCs w:val="20"/>
    </w:rPr>
  </w:style>
  <w:style w:type="character" w:customStyle="1" w:styleId="Sprotnaopomba-besediloZnak">
    <w:name w:val="Sprotna opomba - besedilo Znak"/>
    <w:basedOn w:val="Privzetapisavaodstavka"/>
    <w:link w:val="Sprotnaopomba-besedilo"/>
    <w:uiPriority w:val="99"/>
    <w:semiHidden/>
    <w:rsid w:val="00B76F20"/>
    <w:rPr>
      <w:rFonts w:ascii="Verdana" w:hAnsi="Verdana"/>
      <w:sz w:val="20"/>
      <w:szCs w:val="20"/>
    </w:rPr>
  </w:style>
  <w:style w:type="character" w:styleId="Sprotnaopomba-sklic">
    <w:name w:val="footnote reference"/>
    <w:basedOn w:val="Privzetapisavaodstavka"/>
    <w:uiPriority w:val="99"/>
    <w:semiHidden/>
    <w:unhideWhenUsed/>
    <w:rsid w:val="00B76F20"/>
    <w:rPr>
      <w:vertAlign w:val="superscript"/>
    </w:rPr>
  </w:style>
  <w:style w:type="paragraph" w:styleId="NaslovTOC">
    <w:name w:val="TOC Heading"/>
    <w:basedOn w:val="Naslov1"/>
    <w:next w:val="Navaden"/>
    <w:uiPriority w:val="39"/>
    <w:unhideWhenUsed/>
    <w:qFormat/>
    <w:rsid w:val="004F4D37"/>
    <w:pPr>
      <w:numPr>
        <w:numId w:val="0"/>
      </w:numPr>
      <w:spacing w:before="240" w:after="0" w:line="259" w:lineRule="auto"/>
      <w:jc w:val="left"/>
      <w:outlineLvl w:val="9"/>
    </w:pPr>
    <w:rPr>
      <w:rFonts w:asciiTheme="majorHAnsi" w:hAnsiTheme="majorHAnsi"/>
      <w:b w:val="0"/>
      <w:color w:val="022144" w:themeColor="accent1" w:themeShade="BF"/>
      <w:sz w:val="32"/>
    </w:rPr>
  </w:style>
  <w:style w:type="paragraph" w:styleId="Kazalovsebine1">
    <w:name w:val="toc 1"/>
    <w:basedOn w:val="Navaden"/>
    <w:next w:val="Navaden"/>
    <w:autoRedefine/>
    <w:uiPriority w:val="39"/>
    <w:unhideWhenUsed/>
    <w:rsid w:val="004F4D37"/>
    <w:pPr>
      <w:spacing w:after="100"/>
    </w:pPr>
  </w:style>
  <w:style w:type="paragraph" w:styleId="Kazalovsebine2">
    <w:name w:val="toc 2"/>
    <w:basedOn w:val="Navaden"/>
    <w:next w:val="Navaden"/>
    <w:autoRedefine/>
    <w:uiPriority w:val="39"/>
    <w:unhideWhenUsed/>
    <w:rsid w:val="0018542D"/>
    <w:pPr>
      <w:tabs>
        <w:tab w:val="left" w:pos="880"/>
        <w:tab w:val="right" w:leader="dot" w:pos="9016"/>
      </w:tabs>
      <w:spacing w:after="100"/>
      <w:ind w:left="200"/>
    </w:pPr>
    <w:rPr>
      <w:noProof/>
      <w:sz w:val="18"/>
      <w:szCs w:val="22"/>
      <w:lang w:val="sl-SI"/>
    </w:rPr>
  </w:style>
  <w:style w:type="paragraph" w:styleId="Kazalovsebine3">
    <w:name w:val="toc 3"/>
    <w:basedOn w:val="Navaden"/>
    <w:next w:val="Navaden"/>
    <w:autoRedefine/>
    <w:uiPriority w:val="39"/>
    <w:unhideWhenUsed/>
    <w:rsid w:val="004F4D37"/>
    <w:pPr>
      <w:spacing w:after="100"/>
      <w:ind w:left="400"/>
    </w:pPr>
  </w:style>
  <w:style w:type="character" w:styleId="Hiperpovezava">
    <w:name w:val="Hyperlink"/>
    <w:basedOn w:val="Privzetapisavaodstavka"/>
    <w:uiPriority w:val="99"/>
    <w:unhideWhenUsed/>
    <w:rsid w:val="004F4D37"/>
    <w:rPr>
      <w:color w:val="0563C1" w:themeColor="hyperlink"/>
      <w:u w:val="single"/>
    </w:rPr>
  </w:style>
  <w:style w:type="character" w:styleId="Pripombasklic">
    <w:name w:val="annotation reference"/>
    <w:basedOn w:val="Privzetapisavaodstavka"/>
    <w:uiPriority w:val="99"/>
    <w:semiHidden/>
    <w:unhideWhenUsed/>
    <w:rsid w:val="00AD3ED4"/>
    <w:rPr>
      <w:sz w:val="16"/>
      <w:szCs w:val="16"/>
    </w:rPr>
  </w:style>
  <w:style w:type="paragraph" w:styleId="Pripombabesedilo">
    <w:name w:val="annotation text"/>
    <w:basedOn w:val="Navaden"/>
    <w:link w:val="PripombabesediloZnak"/>
    <w:uiPriority w:val="99"/>
    <w:semiHidden/>
    <w:unhideWhenUsed/>
    <w:rsid w:val="00AD3ED4"/>
    <w:rPr>
      <w:szCs w:val="20"/>
    </w:rPr>
  </w:style>
  <w:style w:type="character" w:customStyle="1" w:styleId="PripombabesediloZnak">
    <w:name w:val="Pripomba – besedilo Znak"/>
    <w:basedOn w:val="Privzetapisavaodstavka"/>
    <w:link w:val="Pripombabesedilo"/>
    <w:uiPriority w:val="99"/>
    <w:semiHidden/>
    <w:rsid w:val="00AD3ED4"/>
    <w:rPr>
      <w:rFonts w:ascii="Verdana" w:hAnsi="Verdana"/>
      <w:sz w:val="20"/>
      <w:szCs w:val="20"/>
    </w:rPr>
  </w:style>
  <w:style w:type="paragraph" w:styleId="Zadevapripombe">
    <w:name w:val="annotation subject"/>
    <w:basedOn w:val="Pripombabesedilo"/>
    <w:next w:val="Pripombabesedilo"/>
    <w:link w:val="ZadevapripombeZnak"/>
    <w:uiPriority w:val="99"/>
    <w:semiHidden/>
    <w:unhideWhenUsed/>
    <w:rsid w:val="00AD3ED4"/>
    <w:rPr>
      <w:b/>
      <w:bCs/>
    </w:rPr>
  </w:style>
  <w:style w:type="character" w:customStyle="1" w:styleId="ZadevapripombeZnak">
    <w:name w:val="Zadeva pripombe Znak"/>
    <w:basedOn w:val="PripombabesediloZnak"/>
    <w:link w:val="Zadevapripombe"/>
    <w:uiPriority w:val="99"/>
    <w:semiHidden/>
    <w:rsid w:val="00AD3ED4"/>
    <w:rPr>
      <w:rFonts w:ascii="Verdana" w:hAnsi="Verdana"/>
      <w:b/>
      <w:bCs/>
      <w:sz w:val="20"/>
      <w:szCs w:val="20"/>
    </w:rPr>
  </w:style>
  <w:style w:type="character" w:styleId="Omemba">
    <w:name w:val="Mention"/>
    <w:basedOn w:val="Privzetapisavaodstavka"/>
    <w:uiPriority w:val="99"/>
    <w:unhideWhenUsed/>
    <w:rsid w:val="00AD3ED4"/>
    <w:rPr>
      <w:color w:val="2B579A"/>
      <w:shd w:val="clear" w:color="auto" w:fill="E1DFDD"/>
    </w:rPr>
  </w:style>
  <w:style w:type="table" w:styleId="Tabelatemnamrea5">
    <w:name w:val="Grid Table 5 Dark"/>
    <w:basedOn w:val="Navadnatabela"/>
    <w:uiPriority w:val="50"/>
    <w:rsid w:val="002470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eznam4poudarek1">
    <w:name w:val="List Table 4 Accent 1"/>
    <w:basedOn w:val="Navadnatabela"/>
    <w:uiPriority w:val="49"/>
    <w:rsid w:val="007A7634"/>
    <w:tblPr>
      <w:tblStyleRowBandSize w:val="1"/>
      <w:tblStyleColBandSize w:val="1"/>
      <w:tblBorders>
        <w:top w:val="single" w:sz="4" w:space="0" w:color="0D7CF7" w:themeColor="accent1" w:themeTint="99"/>
        <w:left w:val="single" w:sz="4" w:space="0" w:color="0D7CF7" w:themeColor="accent1" w:themeTint="99"/>
        <w:bottom w:val="single" w:sz="4" w:space="0" w:color="0D7CF7" w:themeColor="accent1" w:themeTint="99"/>
        <w:right w:val="single" w:sz="4" w:space="0" w:color="0D7CF7" w:themeColor="accent1" w:themeTint="99"/>
        <w:insideH w:val="single" w:sz="4" w:space="0" w:color="0D7CF7" w:themeColor="accent1" w:themeTint="99"/>
      </w:tblBorders>
    </w:tblPr>
    <w:tblStylePr w:type="firstRow">
      <w:rPr>
        <w:b/>
        <w:bCs/>
        <w:color w:val="FFFFFF" w:themeColor="background1"/>
      </w:rPr>
      <w:tblPr/>
      <w:tcPr>
        <w:tcBorders>
          <w:top w:val="single" w:sz="4" w:space="0" w:color="032D5B" w:themeColor="accent1"/>
          <w:left w:val="single" w:sz="4" w:space="0" w:color="032D5B" w:themeColor="accent1"/>
          <w:bottom w:val="single" w:sz="4" w:space="0" w:color="032D5B" w:themeColor="accent1"/>
          <w:right w:val="single" w:sz="4" w:space="0" w:color="032D5B" w:themeColor="accent1"/>
          <w:insideH w:val="nil"/>
        </w:tcBorders>
        <w:shd w:val="clear" w:color="auto" w:fill="032D5B" w:themeFill="accent1"/>
      </w:tcPr>
    </w:tblStylePr>
    <w:tblStylePr w:type="lastRow">
      <w:rPr>
        <w:b/>
        <w:bCs/>
      </w:rPr>
      <w:tblPr/>
      <w:tcPr>
        <w:tcBorders>
          <w:top w:val="double" w:sz="4" w:space="0" w:color="0D7CF7" w:themeColor="accent1" w:themeTint="99"/>
        </w:tcBorders>
      </w:tcPr>
    </w:tblStylePr>
    <w:tblStylePr w:type="firstCol">
      <w:rPr>
        <w:b/>
        <w:bCs/>
      </w:rPr>
    </w:tblStylePr>
    <w:tblStylePr w:type="lastCol">
      <w:rPr>
        <w:b/>
        <w:bCs/>
      </w:rPr>
    </w:tblStylePr>
    <w:tblStylePr w:type="band1Vert">
      <w:tblPr/>
      <w:tcPr>
        <w:shd w:val="clear" w:color="auto" w:fill="AED3FC" w:themeFill="accent1" w:themeFillTint="33"/>
      </w:tcPr>
    </w:tblStylePr>
    <w:tblStylePr w:type="band1Horz">
      <w:tblPr/>
      <w:tcPr>
        <w:shd w:val="clear" w:color="auto" w:fill="AED3FC" w:themeFill="accent1" w:themeFillTint="33"/>
      </w:tcPr>
    </w:tblStylePr>
  </w:style>
  <w:style w:type="table" w:styleId="Tabelabarvniseznam7">
    <w:name w:val="List Table 7 Colorful"/>
    <w:basedOn w:val="Navadnatabela"/>
    <w:uiPriority w:val="52"/>
    <w:rsid w:val="007A763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5">
    <w:name w:val="Plain Table 5"/>
    <w:basedOn w:val="Navadnatabela"/>
    <w:uiPriority w:val="45"/>
    <w:rsid w:val="00C8163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erazreenaomemba">
    <w:name w:val="Unresolved Mention"/>
    <w:basedOn w:val="Privzetapisavaodstavka"/>
    <w:uiPriority w:val="99"/>
    <w:semiHidden/>
    <w:unhideWhenUsed/>
    <w:rsid w:val="00D46049"/>
    <w:rPr>
      <w:color w:val="605E5C"/>
      <w:shd w:val="clear" w:color="auto" w:fill="E1DFDD"/>
    </w:rPr>
  </w:style>
  <w:style w:type="paragraph" w:styleId="Kazalovsebine4">
    <w:name w:val="toc 4"/>
    <w:basedOn w:val="Navaden"/>
    <w:next w:val="Navaden"/>
    <w:autoRedefine/>
    <w:uiPriority w:val="39"/>
    <w:unhideWhenUsed/>
    <w:rsid w:val="00FD1447"/>
    <w:pPr>
      <w:spacing w:after="100" w:line="259" w:lineRule="auto"/>
      <w:ind w:left="660"/>
      <w:jc w:val="left"/>
    </w:pPr>
    <w:rPr>
      <w:rFonts w:asciiTheme="minorHAnsi" w:eastAsiaTheme="minorEastAsia" w:hAnsiTheme="minorHAnsi"/>
      <w:sz w:val="22"/>
      <w:szCs w:val="22"/>
    </w:rPr>
  </w:style>
  <w:style w:type="paragraph" w:styleId="Kazalovsebine5">
    <w:name w:val="toc 5"/>
    <w:basedOn w:val="Navaden"/>
    <w:next w:val="Navaden"/>
    <w:autoRedefine/>
    <w:uiPriority w:val="39"/>
    <w:unhideWhenUsed/>
    <w:rsid w:val="00FD1447"/>
    <w:pPr>
      <w:spacing w:after="100" w:line="259" w:lineRule="auto"/>
      <w:ind w:left="880"/>
      <w:jc w:val="left"/>
    </w:pPr>
    <w:rPr>
      <w:rFonts w:asciiTheme="minorHAnsi" w:eastAsiaTheme="minorEastAsia" w:hAnsiTheme="minorHAnsi"/>
      <w:sz w:val="22"/>
      <w:szCs w:val="22"/>
    </w:rPr>
  </w:style>
  <w:style w:type="paragraph" w:styleId="Kazalovsebine6">
    <w:name w:val="toc 6"/>
    <w:basedOn w:val="Navaden"/>
    <w:next w:val="Navaden"/>
    <w:autoRedefine/>
    <w:uiPriority w:val="39"/>
    <w:unhideWhenUsed/>
    <w:rsid w:val="00FD1447"/>
    <w:pPr>
      <w:spacing w:after="100" w:line="259" w:lineRule="auto"/>
      <w:ind w:left="1100"/>
      <w:jc w:val="left"/>
    </w:pPr>
    <w:rPr>
      <w:rFonts w:asciiTheme="minorHAnsi" w:eastAsiaTheme="minorEastAsia" w:hAnsiTheme="minorHAnsi"/>
      <w:sz w:val="22"/>
      <w:szCs w:val="22"/>
    </w:rPr>
  </w:style>
  <w:style w:type="paragraph" w:styleId="Kazalovsebine7">
    <w:name w:val="toc 7"/>
    <w:basedOn w:val="Navaden"/>
    <w:next w:val="Navaden"/>
    <w:autoRedefine/>
    <w:uiPriority w:val="39"/>
    <w:unhideWhenUsed/>
    <w:rsid w:val="00FD1447"/>
    <w:pPr>
      <w:spacing w:after="100" w:line="259" w:lineRule="auto"/>
      <w:ind w:left="1320"/>
      <w:jc w:val="left"/>
    </w:pPr>
    <w:rPr>
      <w:rFonts w:asciiTheme="minorHAnsi" w:eastAsiaTheme="minorEastAsia" w:hAnsiTheme="minorHAnsi"/>
      <w:sz w:val="22"/>
      <w:szCs w:val="22"/>
    </w:rPr>
  </w:style>
  <w:style w:type="paragraph" w:styleId="Kazalovsebine8">
    <w:name w:val="toc 8"/>
    <w:basedOn w:val="Navaden"/>
    <w:next w:val="Navaden"/>
    <w:autoRedefine/>
    <w:uiPriority w:val="39"/>
    <w:unhideWhenUsed/>
    <w:rsid w:val="00FD1447"/>
    <w:pPr>
      <w:spacing w:after="100" w:line="259" w:lineRule="auto"/>
      <w:ind w:left="1540"/>
      <w:jc w:val="left"/>
    </w:pPr>
    <w:rPr>
      <w:rFonts w:asciiTheme="minorHAnsi" w:eastAsiaTheme="minorEastAsia" w:hAnsiTheme="minorHAnsi"/>
      <w:sz w:val="22"/>
      <w:szCs w:val="22"/>
    </w:rPr>
  </w:style>
  <w:style w:type="paragraph" w:styleId="Kazalovsebine9">
    <w:name w:val="toc 9"/>
    <w:basedOn w:val="Navaden"/>
    <w:next w:val="Navaden"/>
    <w:autoRedefine/>
    <w:uiPriority w:val="39"/>
    <w:unhideWhenUsed/>
    <w:rsid w:val="00FD1447"/>
    <w:pPr>
      <w:spacing w:after="100" w:line="259" w:lineRule="auto"/>
      <w:ind w:left="1760"/>
      <w:jc w:val="left"/>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019">
      <w:bodyDiv w:val="1"/>
      <w:marLeft w:val="0"/>
      <w:marRight w:val="0"/>
      <w:marTop w:val="0"/>
      <w:marBottom w:val="0"/>
      <w:divBdr>
        <w:top w:val="none" w:sz="0" w:space="0" w:color="auto"/>
        <w:left w:val="none" w:sz="0" w:space="0" w:color="auto"/>
        <w:bottom w:val="none" w:sz="0" w:space="0" w:color="auto"/>
        <w:right w:val="none" w:sz="0" w:space="0" w:color="auto"/>
      </w:divBdr>
    </w:div>
    <w:div w:id="48581974">
      <w:bodyDiv w:val="1"/>
      <w:marLeft w:val="0"/>
      <w:marRight w:val="0"/>
      <w:marTop w:val="0"/>
      <w:marBottom w:val="0"/>
      <w:divBdr>
        <w:top w:val="none" w:sz="0" w:space="0" w:color="auto"/>
        <w:left w:val="none" w:sz="0" w:space="0" w:color="auto"/>
        <w:bottom w:val="none" w:sz="0" w:space="0" w:color="auto"/>
        <w:right w:val="none" w:sz="0" w:space="0" w:color="auto"/>
      </w:divBdr>
    </w:div>
    <w:div w:id="279728130">
      <w:bodyDiv w:val="1"/>
      <w:marLeft w:val="0"/>
      <w:marRight w:val="0"/>
      <w:marTop w:val="0"/>
      <w:marBottom w:val="0"/>
      <w:divBdr>
        <w:top w:val="none" w:sz="0" w:space="0" w:color="auto"/>
        <w:left w:val="none" w:sz="0" w:space="0" w:color="auto"/>
        <w:bottom w:val="none" w:sz="0" w:space="0" w:color="auto"/>
        <w:right w:val="none" w:sz="0" w:space="0" w:color="auto"/>
      </w:divBdr>
    </w:div>
    <w:div w:id="321080616">
      <w:bodyDiv w:val="1"/>
      <w:marLeft w:val="0"/>
      <w:marRight w:val="0"/>
      <w:marTop w:val="0"/>
      <w:marBottom w:val="0"/>
      <w:divBdr>
        <w:top w:val="none" w:sz="0" w:space="0" w:color="auto"/>
        <w:left w:val="none" w:sz="0" w:space="0" w:color="auto"/>
        <w:bottom w:val="none" w:sz="0" w:space="0" w:color="auto"/>
        <w:right w:val="none" w:sz="0" w:space="0" w:color="auto"/>
      </w:divBdr>
    </w:div>
    <w:div w:id="507910128">
      <w:bodyDiv w:val="1"/>
      <w:marLeft w:val="0"/>
      <w:marRight w:val="0"/>
      <w:marTop w:val="0"/>
      <w:marBottom w:val="0"/>
      <w:divBdr>
        <w:top w:val="none" w:sz="0" w:space="0" w:color="auto"/>
        <w:left w:val="none" w:sz="0" w:space="0" w:color="auto"/>
        <w:bottom w:val="none" w:sz="0" w:space="0" w:color="auto"/>
        <w:right w:val="none" w:sz="0" w:space="0" w:color="auto"/>
      </w:divBdr>
      <w:divsChild>
        <w:div w:id="1865826216">
          <w:marLeft w:val="0"/>
          <w:marRight w:val="0"/>
          <w:marTop w:val="0"/>
          <w:marBottom w:val="0"/>
          <w:divBdr>
            <w:top w:val="none" w:sz="0" w:space="0" w:color="auto"/>
            <w:left w:val="none" w:sz="0" w:space="0" w:color="auto"/>
            <w:bottom w:val="none" w:sz="0" w:space="0" w:color="auto"/>
            <w:right w:val="none" w:sz="0" w:space="0" w:color="auto"/>
          </w:divBdr>
          <w:divsChild>
            <w:div w:id="1080951664">
              <w:marLeft w:val="0"/>
              <w:marRight w:val="0"/>
              <w:marTop w:val="0"/>
              <w:marBottom w:val="0"/>
              <w:divBdr>
                <w:top w:val="none" w:sz="0" w:space="0" w:color="auto"/>
                <w:left w:val="none" w:sz="0" w:space="0" w:color="auto"/>
                <w:bottom w:val="none" w:sz="0" w:space="0" w:color="auto"/>
                <w:right w:val="none" w:sz="0" w:space="0" w:color="auto"/>
              </w:divBdr>
              <w:divsChild>
                <w:div w:id="19653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30832">
      <w:bodyDiv w:val="1"/>
      <w:marLeft w:val="0"/>
      <w:marRight w:val="0"/>
      <w:marTop w:val="0"/>
      <w:marBottom w:val="0"/>
      <w:divBdr>
        <w:top w:val="none" w:sz="0" w:space="0" w:color="auto"/>
        <w:left w:val="none" w:sz="0" w:space="0" w:color="auto"/>
        <w:bottom w:val="none" w:sz="0" w:space="0" w:color="auto"/>
        <w:right w:val="none" w:sz="0" w:space="0" w:color="auto"/>
      </w:divBdr>
    </w:div>
    <w:div w:id="637493037">
      <w:bodyDiv w:val="1"/>
      <w:marLeft w:val="0"/>
      <w:marRight w:val="0"/>
      <w:marTop w:val="0"/>
      <w:marBottom w:val="0"/>
      <w:divBdr>
        <w:top w:val="none" w:sz="0" w:space="0" w:color="auto"/>
        <w:left w:val="none" w:sz="0" w:space="0" w:color="auto"/>
        <w:bottom w:val="none" w:sz="0" w:space="0" w:color="auto"/>
        <w:right w:val="none" w:sz="0" w:space="0" w:color="auto"/>
      </w:divBdr>
    </w:div>
    <w:div w:id="682709474">
      <w:bodyDiv w:val="1"/>
      <w:marLeft w:val="0"/>
      <w:marRight w:val="0"/>
      <w:marTop w:val="0"/>
      <w:marBottom w:val="0"/>
      <w:divBdr>
        <w:top w:val="none" w:sz="0" w:space="0" w:color="auto"/>
        <w:left w:val="none" w:sz="0" w:space="0" w:color="auto"/>
        <w:bottom w:val="none" w:sz="0" w:space="0" w:color="auto"/>
        <w:right w:val="none" w:sz="0" w:space="0" w:color="auto"/>
      </w:divBdr>
    </w:div>
    <w:div w:id="796800727">
      <w:bodyDiv w:val="1"/>
      <w:marLeft w:val="0"/>
      <w:marRight w:val="0"/>
      <w:marTop w:val="0"/>
      <w:marBottom w:val="0"/>
      <w:divBdr>
        <w:top w:val="none" w:sz="0" w:space="0" w:color="auto"/>
        <w:left w:val="none" w:sz="0" w:space="0" w:color="auto"/>
        <w:bottom w:val="none" w:sz="0" w:space="0" w:color="auto"/>
        <w:right w:val="none" w:sz="0" w:space="0" w:color="auto"/>
      </w:divBdr>
    </w:div>
    <w:div w:id="877201067">
      <w:bodyDiv w:val="1"/>
      <w:marLeft w:val="0"/>
      <w:marRight w:val="0"/>
      <w:marTop w:val="0"/>
      <w:marBottom w:val="0"/>
      <w:divBdr>
        <w:top w:val="none" w:sz="0" w:space="0" w:color="auto"/>
        <w:left w:val="none" w:sz="0" w:space="0" w:color="auto"/>
        <w:bottom w:val="none" w:sz="0" w:space="0" w:color="auto"/>
        <w:right w:val="none" w:sz="0" w:space="0" w:color="auto"/>
      </w:divBdr>
      <w:divsChild>
        <w:div w:id="840000110">
          <w:marLeft w:val="0"/>
          <w:marRight w:val="0"/>
          <w:marTop w:val="0"/>
          <w:marBottom w:val="120"/>
          <w:divBdr>
            <w:top w:val="none" w:sz="0" w:space="0" w:color="auto"/>
            <w:left w:val="none" w:sz="0" w:space="0" w:color="auto"/>
            <w:bottom w:val="none" w:sz="0" w:space="0" w:color="auto"/>
            <w:right w:val="none" w:sz="0" w:space="0" w:color="auto"/>
          </w:divBdr>
          <w:divsChild>
            <w:div w:id="1871184227">
              <w:marLeft w:val="0"/>
              <w:marRight w:val="0"/>
              <w:marTop w:val="0"/>
              <w:marBottom w:val="0"/>
              <w:divBdr>
                <w:top w:val="none" w:sz="0" w:space="0" w:color="auto"/>
                <w:left w:val="none" w:sz="0" w:space="0" w:color="auto"/>
                <w:bottom w:val="none" w:sz="0" w:space="0" w:color="auto"/>
                <w:right w:val="none" w:sz="0" w:space="0" w:color="auto"/>
              </w:divBdr>
            </w:div>
          </w:divsChild>
        </w:div>
        <w:div w:id="906578085">
          <w:marLeft w:val="0"/>
          <w:marRight w:val="0"/>
          <w:marTop w:val="0"/>
          <w:marBottom w:val="120"/>
          <w:divBdr>
            <w:top w:val="none" w:sz="0" w:space="0" w:color="auto"/>
            <w:left w:val="none" w:sz="0" w:space="0" w:color="auto"/>
            <w:bottom w:val="none" w:sz="0" w:space="0" w:color="auto"/>
            <w:right w:val="none" w:sz="0" w:space="0" w:color="auto"/>
          </w:divBdr>
          <w:divsChild>
            <w:div w:id="1372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9535">
      <w:bodyDiv w:val="1"/>
      <w:marLeft w:val="0"/>
      <w:marRight w:val="0"/>
      <w:marTop w:val="0"/>
      <w:marBottom w:val="0"/>
      <w:divBdr>
        <w:top w:val="none" w:sz="0" w:space="0" w:color="auto"/>
        <w:left w:val="none" w:sz="0" w:space="0" w:color="auto"/>
        <w:bottom w:val="none" w:sz="0" w:space="0" w:color="auto"/>
        <w:right w:val="none" w:sz="0" w:space="0" w:color="auto"/>
      </w:divBdr>
    </w:div>
    <w:div w:id="1081636290">
      <w:bodyDiv w:val="1"/>
      <w:marLeft w:val="0"/>
      <w:marRight w:val="0"/>
      <w:marTop w:val="0"/>
      <w:marBottom w:val="0"/>
      <w:divBdr>
        <w:top w:val="none" w:sz="0" w:space="0" w:color="auto"/>
        <w:left w:val="none" w:sz="0" w:space="0" w:color="auto"/>
        <w:bottom w:val="none" w:sz="0" w:space="0" w:color="auto"/>
        <w:right w:val="none" w:sz="0" w:space="0" w:color="auto"/>
      </w:divBdr>
    </w:div>
    <w:div w:id="1152796654">
      <w:bodyDiv w:val="1"/>
      <w:marLeft w:val="0"/>
      <w:marRight w:val="0"/>
      <w:marTop w:val="0"/>
      <w:marBottom w:val="0"/>
      <w:divBdr>
        <w:top w:val="none" w:sz="0" w:space="0" w:color="auto"/>
        <w:left w:val="none" w:sz="0" w:space="0" w:color="auto"/>
        <w:bottom w:val="none" w:sz="0" w:space="0" w:color="auto"/>
        <w:right w:val="none" w:sz="0" w:space="0" w:color="auto"/>
      </w:divBdr>
    </w:div>
    <w:div w:id="1249540313">
      <w:bodyDiv w:val="1"/>
      <w:marLeft w:val="0"/>
      <w:marRight w:val="0"/>
      <w:marTop w:val="0"/>
      <w:marBottom w:val="0"/>
      <w:divBdr>
        <w:top w:val="none" w:sz="0" w:space="0" w:color="auto"/>
        <w:left w:val="none" w:sz="0" w:space="0" w:color="auto"/>
        <w:bottom w:val="none" w:sz="0" w:space="0" w:color="auto"/>
        <w:right w:val="none" w:sz="0" w:space="0" w:color="auto"/>
      </w:divBdr>
    </w:div>
    <w:div w:id="1364283749">
      <w:bodyDiv w:val="1"/>
      <w:marLeft w:val="0"/>
      <w:marRight w:val="0"/>
      <w:marTop w:val="0"/>
      <w:marBottom w:val="0"/>
      <w:divBdr>
        <w:top w:val="none" w:sz="0" w:space="0" w:color="auto"/>
        <w:left w:val="none" w:sz="0" w:space="0" w:color="auto"/>
        <w:bottom w:val="none" w:sz="0" w:space="0" w:color="auto"/>
        <w:right w:val="none" w:sz="0" w:space="0" w:color="auto"/>
      </w:divBdr>
    </w:div>
    <w:div w:id="1382560161">
      <w:bodyDiv w:val="1"/>
      <w:marLeft w:val="0"/>
      <w:marRight w:val="0"/>
      <w:marTop w:val="0"/>
      <w:marBottom w:val="0"/>
      <w:divBdr>
        <w:top w:val="none" w:sz="0" w:space="0" w:color="auto"/>
        <w:left w:val="none" w:sz="0" w:space="0" w:color="auto"/>
        <w:bottom w:val="none" w:sz="0" w:space="0" w:color="auto"/>
        <w:right w:val="none" w:sz="0" w:space="0" w:color="auto"/>
      </w:divBdr>
    </w:div>
    <w:div w:id="1464881192">
      <w:bodyDiv w:val="1"/>
      <w:marLeft w:val="0"/>
      <w:marRight w:val="0"/>
      <w:marTop w:val="0"/>
      <w:marBottom w:val="0"/>
      <w:divBdr>
        <w:top w:val="none" w:sz="0" w:space="0" w:color="auto"/>
        <w:left w:val="none" w:sz="0" w:space="0" w:color="auto"/>
        <w:bottom w:val="none" w:sz="0" w:space="0" w:color="auto"/>
        <w:right w:val="none" w:sz="0" w:space="0" w:color="auto"/>
      </w:divBdr>
    </w:div>
    <w:div w:id="1609116309">
      <w:bodyDiv w:val="1"/>
      <w:marLeft w:val="0"/>
      <w:marRight w:val="0"/>
      <w:marTop w:val="0"/>
      <w:marBottom w:val="0"/>
      <w:divBdr>
        <w:top w:val="none" w:sz="0" w:space="0" w:color="auto"/>
        <w:left w:val="none" w:sz="0" w:space="0" w:color="auto"/>
        <w:bottom w:val="none" w:sz="0" w:space="0" w:color="auto"/>
        <w:right w:val="none" w:sz="0" w:space="0" w:color="auto"/>
      </w:divBdr>
    </w:div>
    <w:div w:id="1631548959">
      <w:bodyDiv w:val="1"/>
      <w:marLeft w:val="0"/>
      <w:marRight w:val="0"/>
      <w:marTop w:val="0"/>
      <w:marBottom w:val="0"/>
      <w:divBdr>
        <w:top w:val="none" w:sz="0" w:space="0" w:color="auto"/>
        <w:left w:val="none" w:sz="0" w:space="0" w:color="auto"/>
        <w:bottom w:val="none" w:sz="0" w:space="0" w:color="auto"/>
        <w:right w:val="none" w:sz="0" w:space="0" w:color="auto"/>
      </w:divBdr>
    </w:div>
    <w:div w:id="1690568995">
      <w:bodyDiv w:val="1"/>
      <w:marLeft w:val="0"/>
      <w:marRight w:val="0"/>
      <w:marTop w:val="0"/>
      <w:marBottom w:val="0"/>
      <w:divBdr>
        <w:top w:val="none" w:sz="0" w:space="0" w:color="auto"/>
        <w:left w:val="none" w:sz="0" w:space="0" w:color="auto"/>
        <w:bottom w:val="none" w:sz="0" w:space="0" w:color="auto"/>
        <w:right w:val="none" w:sz="0" w:space="0" w:color="auto"/>
      </w:divBdr>
    </w:div>
    <w:div w:id="1790930598">
      <w:bodyDiv w:val="1"/>
      <w:marLeft w:val="0"/>
      <w:marRight w:val="0"/>
      <w:marTop w:val="0"/>
      <w:marBottom w:val="0"/>
      <w:divBdr>
        <w:top w:val="none" w:sz="0" w:space="0" w:color="auto"/>
        <w:left w:val="none" w:sz="0" w:space="0" w:color="auto"/>
        <w:bottom w:val="none" w:sz="0" w:space="0" w:color="auto"/>
        <w:right w:val="none" w:sz="0" w:space="0" w:color="auto"/>
      </w:divBdr>
    </w:div>
    <w:div w:id="1819111505">
      <w:bodyDiv w:val="1"/>
      <w:marLeft w:val="0"/>
      <w:marRight w:val="0"/>
      <w:marTop w:val="0"/>
      <w:marBottom w:val="0"/>
      <w:divBdr>
        <w:top w:val="none" w:sz="0" w:space="0" w:color="auto"/>
        <w:left w:val="none" w:sz="0" w:space="0" w:color="auto"/>
        <w:bottom w:val="none" w:sz="0" w:space="0" w:color="auto"/>
        <w:right w:val="none" w:sz="0" w:space="0" w:color="auto"/>
      </w:divBdr>
    </w:div>
    <w:div w:id="1845167543">
      <w:bodyDiv w:val="1"/>
      <w:marLeft w:val="0"/>
      <w:marRight w:val="0"/>
      <w:marTop w:val="0"/>
      <w:marBottom w:val="0"/>
      <w:divBdr>
        <w:top w:val="none" w:sz="0" w:space="0" w:color="auto"/>
        <w:left w:val="none" w:sz="0" w:space="0" w:color="auto"/>
        <w:bottom w:val="none" w:sz="0" w:space="0" w:color="auto"/>
        <w:right w:val="none" w:sz="0" w:space="0" w:color="auto"/>
      </w:divBdr>
    </w:div>
    <w:div w:id="1899121194">
      <w:bodyDiv w:val="1"/>
      <w:marLeft w:val="0"/>
      <w:marRight w:val="0"/>
      <w:marTop w:val="0"/>
      <w:marBottom w:val="0"/>
      <w:divBdr>
        <w:top w:val="none" w:sz="0" w:space="0" w:color="auto"/>
        <w:left w:val="none" w:sz="0" w:space="0" w:color="auto"/>
        <w:bottom w:val="none" w:sz="0" w:space="0" w:color="auto"/>
        <w:right w:val="none" w:sz="0" w:space="0" w:color="auto"/>
      </w:divBdr>
    </w:div>
    <w:div w:id="1900675670">
      <w:bodyDiv w:val="1"/>
      <w:marLeft w:val="0"/>
      <w:marRight w:val="0"/>
      <w:marTop w:val="0"/>
      <w:marBottom w:val="0"/>
      <w:divBdr>
        <w:top w:val="none" w:sz="0" w:space="0" w:color="auto"/>
        <w:left w:val="none" w:sz="0" w:space="0" w:color="auto"/>
        <w:bottom w:val="none" w:sz="0" w:space="0" w:color="auto"/>
        <w:right w:val="none" w:sz="0" w:space="0" w:color="auto"/>
      </w:divBdr>
    </w:div>
    <w:div w:id="2065712686">
      <w:bodyDiv w:val="1"/>
      <w:marLeft w:val="0"/>
      <w:marRight w:val="0"/>
      <w:marTop w:val="0"/>
      <w:marBottom w:val="0"/>
      <w:divBdr>
        <w:top w:val="none" w:sz="0" w:space="0" w:color="auto"/>
        <w:left w:val="none" w:sz="0" w:space="0" w:color="auto"/>
        <w:bottom w:val="none" w:sz="0" w:space="0" w:color="auto"/>
        <w:right w:val="none" w:sz="0" w:space="0" w:color="auto"/>
      </w:divBdr>
    </w:div>
    <w:div w:id="2077705128">
      <w:bodyDiv w:val="1"/>
      <w:marLeft w:val="0"/>
      <w:marRight w:val="0"/>
      <w:marTop w:val="0"/>
      <w:marBottom w:val="0"/>
      <w:divBdr>
        <w:top w:val="none" w:sz="0" w:space="0" w:color="auto"/>
        <w:left w:val="none" w:sz="0" w:space="0" w:color="auto"/>
        <w:bottom w:val="none" w:sz="0" w:space="0" w:color="auto"/>
        <w:right w:val="none" w:sz="0" w:space="0" w:color="auto"/>
      </w:divBdr>
    </w:div>
    <w:div w:id="21469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emf"/><Relationship Id="rId26" Type="http://schemas.openxmlformats.org/officeDocument/2006/relationships/header" Target="header1.xml"/><Relationship Id="rId21" Type="http://schemas.openxmlformats.org/officeDocument/2006/relationships/image" Target="media/image13.svg"/><Relationship Id="rId34" Type="http://schemas.openxmlformats.org/officeDocument/2006/relationships/hyperlink" Target="https://www.prodesa.eu/?lang=e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7.svg"/><Relationship Id="rId33" Type="http://schemas.openxmlformats.org/officeDocument/2006/relationships/hyperlink" Target="https://energy.ec.europa.eu/system/files/2021-08/lt_2020_ltrs_en_0.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https://energy.ec.europa.eu/system/files/2020-04/nl_2020_ltrs_en_0.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5.emf"/><Relationship Id="rId28" Type="http://schemas.openxmlformats.org/officeDocument/2006/relationships/image" Target="media/image18.jp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1ka.si" TargetMode="External"/><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emf"/><Relationship Id="rId27" Type="http://schemas.openxmlformats.org/officeDocument/2006/relationships/footer" Target="footer1.xml"/><Relationship Id="rId30" Type="http://schemas.openxmlformats.org/officeDocument/2006/relationships/image" Target="media/image20.emf"/><Relationship Id="rId35" Type="http://schemas.openxmlformats.org/officeDocument/2006/relationships/image" Target="media/image22.emf"/><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etika-portal.si/fileadmin/dokumenti/podrocja/energetika/javne_stavbe/smernice_kd_23.2.2017.pdf" TargetMode="External"/></Relationships>
</file>

<file path=word/theme/theme1.xml><?xml version="1.0" encoding="utf-8"?>
<a:theme xmlns:a="http://schemas.openxmlformats.org/drawingml/2006/main" name="Office Theme">
  <a:themeElements>
    <a:clrScheme name="Cedars Theme">
      <a:dk1>
        <a:srgbClr val="000000"/>
      </a:dk1>
      <a:lt1>
        <a:srgbClr val="FFFFFF"/>
      </a:lt1>
      <a:dk2>
        <a:srgbClr val="0A131B"/>
      </a:dk2>
      <a:lt2>
        <a:srgbClr val="C4B5A8"/>
      </a:lt2>
      <a:accent1>
        <a:srgbClr val="032D5B"/>
      </a:accent1>
      <a:accent2>
        <a:srgbClr val="23B6C1"/>
      </a:accent2>
      <a:accent3>
        <a:srgbClr val="26700A"/>
      </a:accent3>
      <a:accent4>
        <a:srgbClr val="BDC61A"/>
      </a:accent4>
      <a:accent5>
        <a:srgbClr val="E25B24"/>
      </a:accent5>
      <a:accent6>
        <a:srgbClr val="F0B03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24FB-FA27-8945-B339-DAB56C16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34</Pages>
  <Words>13383</Words>
  <Characters>76286</Characters>
  <Application>Microsoft Office Word</Application>
  <DocSecurity>0</DocSecurity>
  <Lines>635</Lines>
  <Paragraphs>178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89491</CharactersWithSpaces>
  <SharedDoc>false</SharedDoc>
  <HLinks>
    <vt:vector size="96" baseType="variant">
      <vt:variant>
        <vt:i4>2556028</vt:i4>
      </vt:variant>
      <vt:variant>
        <vt:i4>90</vt:i4>
      </vt:variant>
      <vt:variant>
        <vt:i4>0</vt:i4>
      </vt:variant>
      <vt:variant>
        <vt:i4>5</vt:i4>
      </vt:variant>
      <vt:variant>
        <vt:lpwstr>http://www.1ka.si/</vt:lpwstr>
      </vt:variant>
      <vt:variant>
        <vt:lpwstr/>
      </vt:variant>
      <vt:variant>
        <vt:i4>1179700</vt:i4>
      </vt:variant>
      <vt:variant>
        <vt:i4>80</vt:i4>
      </vt:variant>
      <vt:variant>
        <vt:i4>0</vt:i4>
      </vt:variant>
      <vt:variant>
        <vt:i4>5</vt:i4>
      </vt:variant>
      <vt:variant>
        <vt:lpwstr/>
      </vt:variant>
      <vt:variant>
        <vt:lpwstr>_Toc131352170</vt:lpwstr>
      </vt:variant>
      <vt:variant>
        <vt:i4>1245236</vt:i4>
      </vt:variant>
      <vt:variant>
        <vt:i4>74</vt:i4>
      </vt:variant>
      <vt:variant>
        <vt:i4>0</vt:i4>
      </vt:variant>
      <vt:variant>
        <vt:i4>5</vt:i4>
      </vt:variant>
      <vt:variant>
        <vt:lpwstr/>
      </vt:variant>
      <vt:variant>
        <vt:lpwstr>_Toc131352165</vt:lpwstr>
      </vt:variant>
      <vt:variant>
        <vt:i4>1310772</vt:i4>
      </vt:variant>
      <vt:variant>
        <vt:i4>68</vt:i4>
      </vt:variant>
      <vt:variant>
        <vt:i4>0</vt:i4>
      </vt:variant>
      <vt:variant>
        <vt:i4>5</vt:i4>
      </vt:variant>
      <vt:variant>
        <vt:lpwstr/>
      </vt:variant>
      <vt:variant>
        <vt:lpwstr>_Toc131352115</vt:lpwstr>
      </vt:variant>
      <vt:variant>
        <vt:i4>1310772</vt:i4>
      </vt:variant>
      <vt:variant>
        <vt:i4>62</vt:i4>
      </vt:variant>
      <vt:variant>
        <vt:i4>0</vt:i4>
      </vt:variant>
      <vt:variant>
        <vt:i4>5</vt:i4>
      </vt:variant>
      <vt:variant>
        <vt:lpwstr/>
      </vt:variant>
      <vt:variant>
        <vt:lpwstr>_Toc131352114</vt:lpwstr>
      </vt:variant>
      <vt:variant>
        <vt:i4>1310772</vt:i4>
      </vt:variant>
      <vt:variant>
        <vt:i4>56</vt:i4>
      </vt:variant>
      <vt:variant>
        <vt:i4>0</vt:i4>
      </vt:variant>
      <vt:variant>
        <vt:i4>5</vt:i4>
      </vt:variant>
      <vt:variant>
        <vt:lpwstr/>
      </vt:variant>
      <vt:variant>
        <vt:lpwstr>_Toc131352112</vt:lpwstr>
      </vt:variant>
      <vt:variant>
        <vt:i4>1310772</vt:i4>
      </vt:variant>
      <vt:variant>
        <vt:i4>50</vt:i4>
      </vt:variant>
      <vt:variant>
        <vt:i4>0</vt:i4>
      </vt:variant>
      <vt:variant>
        <vt:i4>5</vt:i4>
      </vt:variant>
      <vt:variant>
        <vt:lpwstr/>
      </vt:variant>
      <vt:variant>
        <vt:lpwstr>_Toc131352111</vt:lpwstr>
      </vt:variant>
      <vt:variant>
        <vt:i4>1310772</vt:i4>
      </vt:variant>
      <vt:variant>
        <vt:i4>44</vt:i4>
      </vt:variant>
      <vt:variant>
        <vt:i4>0</vt:i4>
      </vt:variant>
      <vt:variant>
        <vt:i4>5</vt:i4>
      </vt:variant>
      <vt:variant>
        <vt:lpwstr/>
      </vt:variant>
      <vt:variant>
        <vt:lpwstr>_Toc131352110</vt:lpwstr>
      </vt:variant>
      <vt:variant>
        <vt:i4>1376308</vt:i4>
      </vt:variant>
      <vt:variant>
        <vt:i4>38</vt:i4>
      </vt:variant>
      <vt:variant>
        <vt:i4>0</vt:i4>
      </vt:variant>
      <vt:variant>
        <vt:i4>5</vt:i4>
      </vt:variant>
      <vt:variant>
        <vt:lpwstr/>
      </vt:variant>
      <vt:variant>
        <vt:lpwstr>_Toc131352109</vt:lpwstr>
      </vt:variant>
      <vt:variant>
        <vt:i4>1376308</vt:i4>
      </vt:variant>
      <vt:variant>
        <vt:i4>32</vt:i4>
      </vt:variant>
      <vt:variant>
        <vt:i4>0</vt:i4>
      </vt:variant>
      <vt:variant>
        <vt:i4>5</vt:i4>
      </vt:variant>
      <vt:variant>
        <vt:lpwstr/>
      </vt:variant>
      <vt:variant>
        <vt:lpwstr>_Toc131352108</vt:lpwstr>
      </vt:variant>
      <vt:variant>
        <vt:i4>1376308</vt:i4>
      </vt:variant>
      <vt:variant>
        <vt:i4>26</vt:i4>
      </vt:variant>
      <vt:variant>
        <vt:i4>0</vt:i4>
      </vt:variant>
      <vt:variant>
        <vt:i4>5</vt:i4>
      </vt:variant>
      <vt:variant>
        <vt:lpwstr/>
      </vt:variant>
      <vt:variant>
        <vt:lpwstr>_Toc131352107</vt:lpwstr>
      </vt:variant>
      <vt:variant>
        <vt:i4>1376308</vt:i4>
      </vt:variant>
      <vt:variant>
        <vt:i4>20</vt:i4>
      </vt:variant>
      <vt:variant>
        <vt:i4>0</vt:i4>
      </vt:variant>
      <vt:variant>
        <vt:i4>5</vt:i4>
      </vt:variant>
      <vt:variant>
        <vt:lpwstr/>
      </vt:variant>
      <vt:variant>
        <vt:lpwstr>_Toc131352106</vt:lpwstr>
      </vt:variant>
      <vt:variant>
        <vt:i4>1376308</vt:i4>
      </vt:variant>
      <vt:variant>
        <vt:i4>14</vt:i4>
      </vt:variant>
      <vt:variant>
        <vt:i4>0</vt:i4>
      </vt:variant>
      <vt:variant>
        <vt:i4>5</vt:i4>
      </vt:variant>
      <vt:variant>
        <vt:lpwstr/>
      </vt:variant>
      <vt:variant>
        <vt:lpwstr>_Toc131352105</vt:lpwstr>
      </vt:variant>
      <vt:variant>
        <vt:i4>1376308</vt:i4>
      </vt:variant>
      <vt:variant>
        <vt:i4>8</vt:i4>
      </vt:variant>
      <vt:variant>
        <vt:i4>0</vt:i4>
      </vt:variant>
      <vt:variant>
        <vt:i4>5</vt:i4>
      </vt:variant>
      <vt:variant>
        <vt:lpwstr/>
      </vt:variant>
      <vt:variant>
        <vt:lpwstr>_Toc131352104</vt:lpwstr>
      </vt:variant>
      <vt:variant>
        <vt:i4>1376308</vt:i4>
      </vt:variant>
      <vt:variant>
        <vt:i4>2</vt:i4>
      </vt:variant>
      <vt:variant>
        <vt:i4>0</vt:i4>
      </vt:variant>
      <vt:variant>
        <vt:i4>5</vt:i4>
      </vt:variant>
      <vt:variant>
        <vt:lpwstr/>
      </vt:variant>
      <vt:variant>
        <vt:lpwstr>_Toc131352103</vt:lpwstr>
      </vt:variant>
      <vt:variant>
        <vt:i4>5505136</vt:i4>
      </vt:variant>
      <vt:variant>
        <vt:i4>0</vt:i4>
      </vt:variant>
      <vt:variant>
        <vt:i4>0</vt:i4>
      </vt:variant>
      <vt:variant>
        <vt:i4>5</vt:i4>
      </vt:variant>
      <vt:variant>
        <vt:lpwstr>mailto:polona@cedars.si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Terzić</dc:creator>
  <cp:keywords/>
  <dc:description/>
  <cp:lastModifiedBy>Polona</cp:lastModifiedBy>
  <cp:revision>26</cp:revision>
  <cp:lastPrinted>2023-03-07T14:53:00Z</cp:lastPrinted>
  <dcterms:created xsi:type="dcterms:W3CDTF">2023-05-31T11:53:00Z</dcterms:created>
  <dcterms:modified xsi:type="dcterms:W3CDTF">2023-05-31T20:27:00Z</dcterms:modified>
</cp:coreProperties>
</file>