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9" w:rsidRPr="009A40FF" w:rsidRDefault="00226619" w:rsidP="00226619">
      <w:pPr>
        <w:shd w:val="clear" w:color="auto" w:fill="FFFFFF"/>
        <w:jc w:val="center"/>
        <w:textAlignment w:val="top"/>
        <w:rPr>
          <w:rFonts w:ascii="Verdana" w:hAnsi="Verdana"/>
          <w:color w:val="676767"/>
          <w:sz w:val="36"/>
          <w:szCs w:val="36"/>
        </w:rPr>
      </w:pPr>
      <w:r w:rsidRPr="009A40FF">
        <w:rPr>
          <w:rFonts w:ascii="Verdana" w:hAnsi="Verdana"/>
          <w:color w:val="676767"/>
          <w:sz w:val="36"/>
          <w:szCs w:val="36"/>
        </w:rPr>
        <w:t xml:space="preserve">Pogosto zastavljena vprašanja </w:t>
      </w:r>
    </w:p>
    <w:p w:rsidR="00226619" w:rsidRPr="009A40FF" w:rsidRDefault="00226619" w:rsidP="00226619">
      <w:pPr>
        <w:shd w:val="clear" w:color="auto" w:fill="FFFFFF"/>
        <w:jc w:val="center"/>
        <w:textAlignment w:val="top"/>
        <w:rPr>
          <w:rFonts w:ascii="Verdana" w:hAnsi="Verdana"/>
          <w:color w:val="676767"/>
          <w:sz w:val="16"/>
          <w:szCs w:val="16"/>
        </w:rPr>
      </w:pPr>
      <w:r w:rsidRPr="009A40FF">
        <w:rPr>
          <w:rFonts w:ascii="Verdana" w:hAnsi="Verdana"/>
          <w:color w:val="676767"/>
          <w:sz w:val="36"/>
          <w:szCs w:val="36"/>
        </w:rPr>
        <w:t>in odgovori</w:t>
      </w:r>
      <w:r w:rsidR="00AC75D4" w:rsidRPr="009A40FF">
        <w:rPr>
          <w:rFonts w:ascii="Verdana" w:hAnsi="Verdana"/>
          <w:color w:val="676767"/>
          <w:sz w:val="36"/>
          <w:szCs w:val="36"/>
        </w:rPr>
        <w:t xml:space="preserve"> (FAQ)</w:t>
      </w:r>
    </w:p>
    <w:p w:rsidR="003F6A20" w:rsidRPr="009A40FF" w:rsidRDefault="003F6A20" w:rsidP="003F6A20">
      <w:pPr>
        <w:pStyle w:val="Navadensplet"/>
        <w:jc w:val="center"/>
        <w:rPr>
          <w:rFonts w:ascii="Verdana" w:hAnsi="Verdana"/>
          <w:b/>
          <w:color w:val="676767"/>
          <w:sz w:val="36"/>
          <w:szCs w:val="36"/>
        </w:rPr>
      </w:pPr>
    </w:p>
    <w:p w:rsidR="003F6A20" w:rsidRPr="009A40FF" w:rsidRDefault="003F6A20" w:rsidP="003F6A20">
      <w:pPr>
        <w:pStyle w:val="Navadensplet"/>
        <w:jc w:val="center"/>
        <w:rPr>
          <w:rFonts w:ascii="Verdana" w:hAnsi="Verdana"/>
          <w:b/>
          <w:color w:val="676767"/>
          <w:sz w:val="36"/>
          <w:szCs w:val="36"/>
        </w:rPr>
      </w:pPr>
      <w:r w:rsidRPr="009A40FF">
        <w:rPr>
          <w:rFonts w:ascii="Verdana" w:hAnsi="Verdana"/>
          <w:b/>
          <w:color w:val="676767"/>
          <w:sz w:val="36"/>
          <w:szCs w:val="36"/>
        </w:rPr>
        <w:t>Vloga za odločitev o podpori</w:t>
      </w:r>
    </w:p>
    <w:p w:rsidR="00226619" w:rsidRPr="009A40FF" w:rsidRDefault="00226619" w:rsidP="003F6A20">
      <w:pPr>
        <w:shd w:val="clear" w:color="auto" w:fill="FFFFFF"/>
        <w:jc w:val="center"/>
        <w:textAlignment w:val="top"/>
        <w:rPr>
          <w:rFonts w:ascii="Verdana" w:hAnsi="Verdana"/>
          <w:color w:val="676767"/>
          <w:sz w:val="16"/>
          <w:szCs w:val="16"/>
        </w:rPr>
      </w:pPr>
    </w:p>
    <w:p w:rsidR="003F6A20" w:rsidRPr="009A40FF" w:rsidRDefault="003F6A20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</w:rPr>
      </w:pPr>
      <w:r w:rsidRPr="009A40FF">
        <w:rPr>
          <w:rFonts w:ascii="Verdana" w:hAnsi="Verdana"/>
          <w:color w:val="676767"/>
        </w:rPr>
        <w:t xml:space="preserve">Pogosto zastavljena vprašanja in odgovori (FAQ) so v smiselne sklope urejena pogosto zastavljena vprašanja uporabnikov z namenom, da si lahko uporabniki sami pomagajo pri iskanju rešitev oziroma odgovorov na vprašanja. </w:t>
      </w:r>
    </w:p>
    <w:p w:rsidR="00226619" w:rsidRPr="009A40FF" w:rsidRDefault="003F6A20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</w:rPr>
      </w:pPr>
      <w:r w:rsidRPr="009A40FF">
        <w:rPr>
          <w:rFonts w:ascii="Verdana" w:hAnsi="Verdana"/>
          <w:color w:val="676767"/>
        </w:rPr>
        <w:t xml:space="preserve">Dokument se sproti dopolnjuje. V tem dokumentu so opisana vprašanja, vezana na vnos podatkov v sklopu Vloga za odločitev o podpori. </w:t>
      </w:r>
    </w:p>
    <w:p w:rsidR="003E39AA" w:rsidRDefault="003E39AA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Pr="001533F5" w:rsidRDefault="00B945D7" w:rsidP="00B945D7">
      <w:pPr>
        <w:pStyle w:val="EMAPREDNASLOV"/>
        <w:rPr>
          <w:rFonts w:ascii="Verdana" w:hAnsi="Verdana"/>
          <w:sz w:val="22"/>
          <w:szCs w:val="22"/>
        </w:rPr>
      </w:pPr>
      <w:r w:rsidRPr="001533F5">
        <w:rPr>
          <w:rFonts w:ascii="Verdana" w:hAnsi="Verdana"/>
          <w:sz w:val="22"/>
          <w:szCs w:val="22"/>
        </w:rPr>
        <w:t>ZGODOVINA RAZLIČIC</w:t>
      </w:r>
    </w:p>
    <w:p w:rsidR="00B945D7" w:rsidRPr="001533F5" w:rsidRDefault="00B945D7" w:rsidP="00B945D7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5067"/>
      </w:tblGrid>
      <w:tr w:rsidR="00B945D7" w:rsidRPr="001533F5" w:rsidTr="00653F99">
        <w:trPr>
          <w:trHeight w:val="521"/>
        </w:trPr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Različica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Datum zadnje spremembe</w:t>
            </w: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Opombe</w:t>
            </w: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1.0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2017</w:t>
            </w: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Začetna verzija</w:t>
            </w: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1.1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1.2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1.3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1.4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1.5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 xml:space="preserve">1.6 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1.7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1.8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945D7" w:rsidRPr="001533F5" w:rsidTr="00653F99">
        <w:tc>
          <w:tcPr>
            <w:tcW w:w="1418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1.9</w:t>
            </w:r>
          </w:p>
        </w:tc>
        <w:tc>
          <w:tcPr>
            <w:tcW w:w="2552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B945D7" w:rsidRPr="001533F5" w:rsidRDefault="00B945D7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B945D7" w:rsidRPr="001533F5" w:rsidRDefault="00B945D7" w:rsidP="00B945D7">
      <w:pPr>
        <w:shd w:val="clear" w:color="auto" w:fill="FFFFFF"/>
        <w:jc w:val="both"/>
        <w:textAlignment w:val="top"/>
        <w:rPr>
          <w:rFonts w:ascii="Verdana" w:hAnsi="Verdana"/>
          <w:color w:val="676767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B945D7" w:rsidRDefault="00B945D7" w:rsidP="003F6A20">
      <w:pPr>
        <w:shd w:val="clear" w:color="auto" w:fill="FFFFFF"/>
        <w:jc w:val="both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  <w:bookmarkStart w:id="0" w:name="_GoBack"/>
      <w:bookmarkEnd w:id="0"/>
    </w:p>
    <w:p w:rsidR="003E39AA" w:rsidRPr="00F119AC" w:rsidRDefault="00226619" w:rsidP="003E39A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57" w:hanging="357"/>
        <w:rPr>
          <w:rFonts w:cs="Helv"/>
          <w:b/>
          <w:i/>
          <w:color w:val="000000"/>
          <w:lang w:eastAsia="sl-SI"/>
        </w:rPr>
      </w:pPr>
      <w:r>
        <w:rPr>
          <w:rFonts w:ascii="Verdana" w:hAnsi="Verdana"/>
          <w:color w:val="676767"/>
          <w:sz w:val="16"/>
          <w:szCs w:val="16"/>
          <w:lang w:val="en-US"/>
        </w:rPr>
        <w:t>  </w:t>
      </w:r>
      <w:r w:rsidR="003E39AA">
        <w:rPr>
          <w:rFonts w:ascii="Verdana" w:hAnsi="Verdana"/>
          <w:color w:val="676767"/>
          <w:sz w:val="27"/>
          <w:szCs w:val="27"/>
        </w:rPr>
        <w:t>Pregled nad vlogami za odločitev o podpori</w:t>
      </w:r>
    </w:p>
    <w:p w:rsidR="003E39AA" w:rsidRDefault="003E39AA" w:rsidP="003E39AA">
      <w:pPr>
        <w:pStyle w:val="Brezrazmikov"/>
      </w:pPr>
      <w:r w:rsidRPr="00016E1B">
        <w:rPr>
          <w:b/>
          <w:i/>
        </w:rPr>
        <w:t xml:space="preserve">Kot skrbnik ne vidim </w:t>
      </w:r>
      <w:r>
        <w:rPr>
          <w:b/>
          <w:i/>
        </w:rPr>
        <w:t>seznama vlog O</w:t>
      </w:r>
      <w:r w:rsidRPr="00016E1B">
        <w:rPr>
          <w:b/>
          <w:i/>
        </w:rPr>
        <w:t>dločitev o podpori. V čem je težava</w:t>
      </w:r>
      <w:r>
        <w:t>?</w:t>
      </w:r>
    </w:p>
    <w:p w:rsidR="003E39AA" w:rsidRDefault="003E39AA" w:rsidP="003E39AA">
      <w:pPr>
        <w:pStyle w:val="Brezrazmikov"/>
        <w:jc w:val="both"/>
      </w:pPr>
      <w:r>
        <w:t>Obrnite se na podporo CPU (</w:t>
      </w:r>
      <w:hyperlink r:id="rId8" w:history="1">
        <w:r w:rsidRPr="00FC210A">
          <w:rPr>
            <w:rStyle w:val="Hiperpovezava"/>
          </w:rPr>
          <w:t>ema.svrk@gov.si</w:t>
        </w:r>
      </w:hyperlink>
      <w:r>
        <w:t>), kjer se vam v okviru dodeljenih pravic opredeli še podatek o posredniškem organu.</w:t>
      </w:r>
    </w:p>
    <w:p w:rsidR="003E39AA" w:rsidRDefault="003E39AA" w:rsidP="003E3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</w:pPr>
      <w:r w:rsidRPr="00E12D5C">
        <w:rPr>
          <w:rFonts w:ascii="Verdana" w:hAnsi="Verdana"/>
          <w:color w:val="676767"/>
          <w:sz w:val="27"/>
          <w:szCs w:val="27"/>
        </w:rPr>
        <w:t>INOP (Izvedbeni načrt operativnega programa)</w:t>
      </w:r>
    </w:p>
    <w:p w:rsidR="003E39AA" w:rsidRPr="00E12D5C" w:rsidRDefault="003E39AA" w:rsidP="003E39AA">
      <w:pPr>
        <w:pStyle w:val="Brezrazmikov"/>
        <w:jc w:val="both"/>
        <w:rPr>
          <w:i/>
        </w:rPr>
      </w:pPr>
      <w:r w:rsidRPr="00E12D5C">
        <w:rPr>
          <w:b/>
          <w:i/>
        </w:rPr>
        <w:t>Sistem mi je javil, da je potrebno vnesti še  Izvedbeni načrt operativnega programa . Kje dobim potrebne informacije ?</w:t>
      </w:r>
    </w:p>
    <w:p w:rsidR="003E39AA" w:rsidRPr="00E12D5C" w:rsidRDefault="003E39AA" w:rsidP="003E39AA">
      <w:pPr>
        <w:pStyle w:val="Brezrazmikov"/>
        <w:jc w:val="both"/>
      </w:pPr>
      <w:r w:rsidRPr="004A4F4B">
        <w:t>V polje Izvedbeni načrt operativnega</w:t>
      </w:r>
      <w:r w:rsidRPr="00E12D5C">
        <w:t xml:space="preserve"> programa je potrebno vnesti verzijo INOP-a, v katerem je bil NIO potrjen. S pomočjo spodnjega naslova ustrezno vnesite:</w:t>
      </w:r>
    </w:p>
    <w:p w:rsidR="003E39AA" w:rsidRDefault="009A40FF" w:rsidP="003E39AA">
      <w:pPr>
        <w:pStyle w:val="Brezrazmikov"/>
      </w:pPr>
      <w:hyperlink r:id="rId9" w:history="1">
        <w:r w:rsidR="003E39AA" w:rsidRPr="00E12D5C">
          <w:rPr>
            <w:rStyle w:val="Hiperpovezava"/>
          </w:rPr>
          <w:t>http://www.eu-skladi.si/portal/sl/ekp/izvajanje/izvedbeni-nacrt-operativnega-programa-za-izvajanje-evropske-kohezijske-politike-za-programsko-obdobje-2014-2020</w:t>
        </w:r>
      </w:hyperlink>
      <w:r w:rsidR="003E39AA" w:rsidRPr="00E12D5C">
        <w:t xml:space="preserve"> . </w:t>
      </w:r>
    </w:p>
    <w:p w:rsidR="003E39AA" w:rsidRPr="00F119AC" w:rsidRDefault="003E39AA" w:rsidP="003E39A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57" w:hanging="357"/>
        <w:rPr>
          <w:rFonts w:cs="Helv"/>
          <w:b/>
          <w:i/>
          <w:color w:val="000000"/>
          <w:lang w:eastAsia="sl-SI"/>
        </w:rPr>
      </w:pPr>
      <w:r>
        <w:rPr>
          <w:rFonts w:ascii="Verdana" w:hAnsi="Verdana"/>
          <w:color w:val="676767"/>
          <w:sz w:val="27"/>
          <w:szCs w:val="27"/>
        </w:rPr>
        <w:t xml:space="preserve">Vnos </w:t>
      </w:r>
      <w:proofErr w:type="spellStart"/>
      <w:r>
        <w:rPr>
          <w:rFonts w:ascii="Verdana" w:hAnsi="Verdana"/>
          <w:color w:val="676767"/>
          <w:sz w:val="27"/>
          <w:szCs w:val="27"/>
        </w:rPr>
        <w:t>konzorcijske</w:t>
      </w:r>
      <w:proofErr w:type="spellEnd"/>
      <w:r>
        <w:rPr>
          <w:rFonts w:ascii="Verdana" w:hAnsi="Verdana"/>
          <w:color w:val="676767"/>
          <w:sz w:val="27"/>
          <w:szCs w:val="27"/>
        </w:rPr>
        <w:t xml:space="preserve"> strukture</w:t>
      </w:r>
    </w:p>
    <w:p w:rsidR="003E39AA" w:rsidRDefault="003E39AA" w:rsidP="003E39AA">
      <w:pPr>
        <w:pStyle w:val="Brezrazmikov"/>
      </w:pPr>
      <w:r w:rsidRPr="003E39AA">
        <w:rPr>
          <w:b/>
          <w:i/>
        </w:rPr>
        <w:t xml:space="preserve">Kako vnesemo </w:t>
      </w:r>
      <w:proofErr w:type="spellStart"/>
      <w:r w:rsidRPr="003E39AA">
        <w:rPr>
          <w:b/>
          <w:i/>
        </w:rPr>
        <w:t>konzorcijsko</w:t>
      </w:r>
      <w:proofErr w:type="spellEnd"/>
      <w:r w:rsidRPr="003E39AA">
        <w:rPr>
          <w:b/>
          <w:i/>
        </w:rPr>
        <w:t xml:space="preserve"> strukturo izvajanja</w:t>
      </w:r>
      <w:r w:rsidR="00BF360F">
        <w:rPr>
          <w:b/>
          <w:i/>
        </w:rPr>
        <w:t xml:space="preserve"> in kje jo določimo</w:t>
      </w:r>
      <w:r>
        <w:t>?</w:t>
      </w:r>
    </w:p>
    <w:p w:rsidR="00BF360F" w:rsidRDefault="00BF360F" w:rsidP="003E39AA">
      <w:pPr>
        <w:jc w:val="both"/>
      </w:pPr>
      <w:proofErr w:type="spellStart"/>
      <w:r>
        <w:t>Konzorcijsko</w:t>
      </w:r>
      <w:proofErr w:type="spellEnd"/>
      <w:r>
        <w:t xml:space="preserve"> strukturo izvajanja določimo:</w:t>
      </w:r>
    </w:p>
    <w:p w:rsidR="00BF360F" w:rsidRDefault="00BF360F" w:rsidP="00BF360F">
      <w:pPr>
        <w:spacing w:after="0"/>
        <w:jc w:val="both"/>
      </w:pPr>
      <w:r>
        <w:t>-V primeru javnega razpisa na nivoju operacije</w:t>
      </w:r>
    </w:p>
    <w:p w:rsidR="00BF360F" w:rsidRDefault="00BF360F" w:rsidP="00BF360F">
      <w:pPr>
        <w:spacing w:after="0"/>
        <w:jc w:val="both"/>
      </w:pPr>
      <w:r>
        <w:t>- V primeru NPO na vlogi za odločitev o podpori</w:t>
      </w:r>
    </w:p>
    <w:p w:rsidR="00BF360F" w:rsidRDefault="00BF360F" w:rsidP="00BF360F">
      <w:pPr>
        <w:spacing w:after="0"/>
        <w:jc w:val="both"/>
      </w:pPr>
    </w:p>
    <w:p w:rsidR="00AA7108" w:rsidRDefault="00AA7108" w:rsidP="00AA7108">
      <w:pPr>
        <w:spacing w:after="0"/>
        <w:jc w:val="both"/>
      </w:pPr>
      <w:r>
        <w:t xml:space="preserve">Najprej je potrebno označiti, da gre za </w:t>
      </w:r>
      <w:proofErr w:type="spellStart"/>
      <w:r>
        <w:t>konzorcijsko</w:t>
      </w:r>
      <w:proofErr w:type="spellEnd"/>
      <w:r>
        <w:t xml:space="preserve"> strukturo (označiš DA). </w:t>
      </w:r>
      <w:r w:rsidRPr="00877C53">
        <w:t xml:space="preserve">(označiš DA). To se uredi v sklopu Skupni stroški, analiza stroškov in koristi. </w:t>
      </w:r>
      <w:r>
        <w:t xml:space="preserve">V tem primeru morata biti nadalje v sistemu najmanj 2 zapisa: eden od udeležencev mora biti upravičenec in drugi, ki ni prejemnik sredstev. Pogodba o sofinanciranju je sklenjena z vodilnim izvajalcem/partnerjem, med vsemi partnerji pa je sklenjena </w:t>
      </w:r>
      <w:proofErr w:type="spellStart"/>
      <w:r>
        <w:t>konzorcijska</w:t>
      </w:r>
      <w:proofErr w:type="spellEnd"/>
      <w:r>
        <w:t xml:space="preserve"> pogodba, ki se jo vnese v sistem v rubriko Pogodbe/ Pogodbe, ki niso podlaga za izplačilo. Vnese se vse partnerje, ki so navedeni v </w:t>
      </w:r>
      <w:proofErr w:type="spellStart"/>
      <w:r>
        <w:t>konzorcijski</w:t>
      </w:r>
      <w:proofErr w:type="spellEnd"/>
      <w:r>
        <w:t xml:space="preserve"> pogodbi (</w:t>
      </w:r>
      <w:proofErr w:type="spellStart"/>
      <w:r>
        <w:t>poslovodečega</w:t>
      </w:r>
      <w:proofErr w:type="spellEnd"/>
      <w:r>
        <w:t xml:space="preserve"> partnerja se ne vnaša še enkrat). Za vsakega izmed partnerjev se vnese plan stroškov, p</w:t>
      </w:r>
      <w:r w:rsidRPr="00AB783F">
        <w:t xml:space="preserve">rejemniku sredstev </w:t>
      </w:r>
      <w:r>
        <w:t>–</w:t>
      </w:r>
      <w:proofErr w:type="spellStart"/>
      <w:r>
        <w:t>poslovodečemu</w:t>
      </w:r>
      <w:proofErr w:type="spellEnd"/>
      <w:r>
        <w:t xml:space="preserve"> partnerju,</w:t>
      </w:r>
      <w:r w:rsidRPr="00AB783F">
        <w:t xml:space="preserve"> ki </w:t>
      </w:r>
      <w:r>
        <w:t xml:space="preserve">se uvozi iz </w:t>
      </w:r>
      <w:r w:rsidRPr="00AB783F">
        <w:t>MFERAC</w:t>
      </w:r>
      <w:r>
        <w:t>,</w:t>
      </w:r>
      <w:r w:rsidRPr="00AB783F">
        <w:t xml:space="preserve"> </w:t>
      </w:r>
      <w:r>
        <w:t xml:space="preserve">pa se </w:t>
      </w:r>
      <w:r w:rsidRPr="00AB783F">
        <w:t>vnese v plan strošk</w:t>
      </w:r>
      <w:r>
        <w:t>ov</w:t>
      </w:r>
      <w:r w:rsidRPr="00AB783F">
        <w:t xml:space="preserve"> </w:t>
      </w:r>
      <w:r>
        <w:t xml:space="preserve">le </w:t>
      </w:r>
      <w:r w:rsidRPr="00AB783F">
        <w:t>delež</w:t>
      </w:r>
      <w:r>
        <w:t xml:space="preserve">, do katerega je upravičen po </w:t>
      </w:r>
      <w:proofErr w:type="spellStart"/>
      <w:r>
        <w:t>konzorcijski</w:t>
      </w:r>
      <w:proofErr w:type="spellEnd"/>
      <w:r>
        <w:t xml:space="preserve"> pogodbi</w:t>
      </w:r>
      <w:r w:rsidRPr="00AB783F">
        <w:t xml:space="preserve"> (ne celote)</w:t>
      </w:r>
      <w:r>
        <w:t>.</w:t>
      </w:r>
    </w:p>
    <w:p w:rsidR="003E39AA" w:rsidRPr="00E12D5C" w:rsidRDefault="003E39AA" w:rsidP="003E39AA">
      <w:pPr>
        <w:pStyle w:val="Brezrazmikov"/>
      </w:pPr>
    </w:p>
    <w:p w:rsidR="00DE5D3D" w:rsidRPr="00DE5D3D" w:rsidRDefault="00DE5D3D" w:rsidP="00DE5D3D">
      <w:pPr>
        <w:spacing w:after="0"/>
        <w:jc w:val="both"/>
        <w:rPr>
          <w:rFonts w:ascii="Calibri" w:hAnsi="Calibri"/>
          <w:b/>
          <w:i/>
        </w:rPr>
      </w:pPr>
      <w:r w:rsidRPr="00DE5D3D">
        <w:rPr>
          <w:b/>
          <w:i/>
        </w:rPr>
        <w:t xml:space="preserve">Na vlogi za odločitev o podpori (NPO) vnašamo sklop o upravičencu. V primeru konzorcija sklepamo, da pri </w:t>
      </w:r>
      <w:proofErr w:type="spellStart"/>
      <w:r w:rsidRPr="00DE5D3D">
        <w:rPr>
          <w:b/>
          <w:i/>
        </w:rPr>
        <w:t>poslovodečem</w:t>
      </w:r>
      <w:proofErr w:type="spellEnd"/>
      <w:r w:rsidRPr="00DE5D3D">
        <w:rPr>
          <w:b/>
          <w:i/>
        </w:rPr>
        <w:t xml:space="preserve"> označimo s kljukico "prejemnik proračunskih sredstev", ostale partnerje pa vnesemo brez te kljukice.</w:t>
      </w:r>
      <w:r>
        <w:rPr>
          <w:b/>
          <w:i/>
        </w:rPr>
        <w:t xml:space="preserve"> </w:t>
      </w:r>
      <w:r w:rsidRPr="00DE5D3D">
        <w:rPr>
          <w:b/>
          <w:i/>
        </w:rPr>
        <w:t xml:space="preserve">Ali to drži ali mogoče vnašamo podatke o </w:t>
      </w:r>
      <w:proofErr w:type="spellStart"/>
      <w:r w:rsidRPr="00DE5D3D">
        <w:rPr>
          <w:b/>
          <w:i/>
        </w:rPr>
        <w:t>konzorcijskih</w:t>
      </w:r>
      <w:proofErr w:type="spellEnd"/>
      <w:r w:rsidRPr="00DE5D3D">
        <w:rPr>
          <w:b/>
          <w:i/>
        </w:rPr>
        <w:t xml:space="preserve"> partnerjih šele na nivoju operacije, na nivoju vloge pa vnesemo zgolj </w:t>
      </w:r>
      <w:proofErr w:type="spellStart"/>
      <w:r w:rsidRPr="00DE5D3D">
        <w:rPr>
          <w:b/>
          <w:i/>
        </w:rPr>
        <w:t>poslovodečega</w:t>
      </w:r>
      <w:proofErr w:type="spellEnd"/>
      <w:r w:rsidRPr="00DE5D3D">
        <w:rPr>
          <w:b/>
          <w:i/>
        </w:rPr>
        <w:t>?</w:t>
      </w:r>
    </w:p>
    <w:p w:rsidR="00DE5D3D" w:rsidRPr="00DE5D3D" w:rsidRDefault="00DE5D3D" w:rsidP="00DE5D3D">
      <w:pPr>
        <w:spacing w:after="0"/>
        <w:jc w:val="both"/>
        <w:rPr>
          <w:rFonts w:ascii="Verdana" w:hAnsi="Verdana"/>
          <w:color w:val="676767"/>
          <w:sz w:val="36"/>
          <w:szCs w:val="36"/>
        </w:rPr>
      </w:pPr>
      <w:r w:rsidRPr="00DE5D3D">
        <w:rPr>
          <w:rFonts w:ascii="Calibri" w:hAnsi="Calibri"/>
        </w:rPr>
        <w:t xml:space="preserve">V primeru NPO je treba na vlogi definirati vse upravičence. </w:t>
      </w:r>
      <w:r>
        <w:rPr>
          <w:rFonts w:ascii="Calibri" w:hAnsi="Calibri"/>
        </w:rPr>
        <w:t>P</w:t>
      </w:r>
      <w:r w:rsidRPr="00DE5D3D">
        <w:rPr>
          <w:rFonts w:ascii="Calibri" w:hAnsi="Calibri"/>
        </w:rPr>
        <w:t xml:space="preserve">ri </w:t>
      </w:r>
      <w:proofErr w:type="spellStart"/>
      <w:r w:rsidRPr="00DE5D3D">
        <w:t>poslovodečem</w:t>
      </w:r>
      <w:proofErr w:type="spellEnd"/>
      <w:r w:rsidRPr="00DE5D3D">
        <w:t xml:space="preserve"> partnerju </w:t>
      </w:r>
      <w:r>
        <w:t xml:space="preserve">je potrebno označiti, </w:t>
      </w:r>
      <w:r w:rsidRPr="00DE5D3D">
        <w:t>da gre za prejemnika proračunskih sredstev, pri ostalih "</w:t>
      </w:r>
      <w:proofErr w:type="spellStart"/>
      <w:r w:rsidRPr="00DE5D3D">
        <w:t>konz</w:t>
      </w:r>
      <w:r>
        <w:t>orcijskih</w:t>
      </w:r>
      <w:proofErr w:type="spellEnd"/>
      <w:r w:rsidRPr="00DE5D3D">
        <w:t xml:space="preserve"> partnerjih" pa t</w:t>
      </w:r>
      <w:r>
        <w:t>o ni potrebno</w:t>
      </w:r>
      <w:r w:rsidRPr="00DE5D3D">
        <w:t>.</w:t>
      </w:r>
    </w:p>
    <w:p w:rsidR="00F119AC" w:rsidRPr="00F119AC" w:rsidRDefault="00F119AC" w:rsidP="003B468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57" w:hanging="357"/>
        <w:rPr>
          <w:rFonts w:cs="Helv"/>
          <w:b/>
          <w:i/>
          <w:color w:val="000000"/>
          <w:lang w:eastAsia="sl-SI"/>
        </w:rPr>
      </w:pPr>
      <w:r w:rsidRPr="00F119AC">
        <w:rPr>
          <w:rFonts w:ascii="Verdana" w:hAnsi="Verdana"/>
          <w:color w:val="676767"/>
          <w:sz w:val="27"/>
          <w:szCs w:val="27"/>
        </w:rPr>
        <w:t>Napaka pri datumih</w:t>
      </w:r>
    </w:p>
    <w:p w:rsidR="003B468F" w:rsidRPr="00E10073" w:rsidRDefault="003B468F" w:rsidP="00456FF9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i/>
          <w:color w:val="000000"/>
          <w:highlight w:val="yellow"/>
          <w:lang w:eastAsia="sl-SI"/>
        </w:rPr>
      </w:pPr>
      <w:r w:rsidRPr="003B468F">
        <w:rPr>
          <w:rFonts w:cs="Helv"/>
          <w:b/>
          <w:i/>
          <w:color w:val="000000"/>
          <w:lang w:eastAsia="sl-SI"/>
        </w:rPr>
        <w:t xml:space="preserve">Na potrjeni vlogi smo ugotovili napako pri </w:t>
      </w:r>
      <w:r w:rsidRPr="003B468F">
        <w:rPr>
          <w:rFonts w:cs="Helv"/>
          <w:b/>
          <w:bCs/>
          <w:i/>
          <w:color w:val="000000"/>
          <w:lang w:eastAsia="sl-SI"/>
        </w:rPr>
        <w:t>datumu zaključka upravičenosti javnih izdatkov</w:t>
      </w:r>
      <w:r w:rsidRPr="003B468F">
        <w:rPr>
          <w:rFonts w:cs="Helv"/>
          <w:b/>
          <w:i/>
          <w:color w:val="000000"/>
          <w:lang w:eastAsia="sl-SI"/>
        </w:rPr>
        <w:t xml:space="preserve"> (in posledično zaključku operacije). Pravi datum je 31.12.2018.</w:t>
      </w:r>
      <w:r>
        <w:rPr>
          <w:rFonts w:cs="Helv"/>
          <w:b/>
          <w:i/>
          <w:color w:val="000000"/>
          <w:lang w:eastAsia="sl-SI"/>
        </w:rPr>
        <w:t xml:space="preserve"> </w:t>
      </w:r>
      <w:r w:rsidRPr="003B468F">
        <w:rPr>
          <w:rFonts w:cs="Helv"/>
          <w:b/>
          <w:i/>
          <w:color w:val="000000"/>
          <w:lang w:eastAsia="sl-SI"/>
        </w:rPr>
        <w:t xml:space="preserve">Na kakšen način lahko sedaj uredimo </w:t>
      </w:r>
      <w:r w:rsidRPr="003B468F">
        <w:rPr>
          <w:rFonts w:cs="Helv"/>
          <w:b/>
          <w:i/>
          <w:color w:val="000000"/>
          <w:lang w:eastAsia="sl-SI"/>
        </w:rPr>
        <w:lastRenderedPageBreak/>
        <w:t>popravek datuma, ki eksplicitno ni bil naveden v nobenem delu vloge oz. njenih prilog? Kreiramo novo verzijo vloge, čeprav tehnično ne gre za spremembo vloge za odločitev o podpori?</w:t>
      </w:r>
    </w:p>
    <w:p w:rsidR="003B468F" w:rsidRPr="00E10073" w:rsidRDefault="003B468F" w:rsidP="003B468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highlight w:val="yellow"/>
          <w:lang w:eastAsia="sl-SI"/>
        </w:rPr>
      </w:pPr>
    </w:p>
    <w:p w:rsidR="00A4706E" w:rsidRPr="00E10073" w:rsidRDefault="00A4706E" w:rsidP="00A4706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highlight w:val="yellow"/>
          <w:lang w:eastAsia="sl-SI"/>
        </w:rPr>
      </w:pPr>
      <w:r>
        <w:rPr>
          <w:rFonts w:ascii="Helv" w:hAnsi="Helv" w:cs="Helv"/>
          <w:noProof/>
          <w:color w:val="000000"/>
          <w:sz w:val="20"/>
          <w:szCs w:val="20"/>
          <w:lang w:eastAsia="sl-SI"/>
        </w:rPr>
        <w:drawing>
          <wp:inline distT="0" distB="0" distL="0" distR="0" wp14:anchorId="31D5C97B" wp14:editId="719F5384">
            <wp:extent cx="5762625" cy="34956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99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073">
        <w:rPr>
          <w:rFonts w:ascii="Helv" w:hAnsi="Helv" w:cs="Helv"/>
          <w:color w:val="000000"/>
          <w:sz w:val="20"/>
          <w:szCs w:val="20"/>
          <w:highlight w:val="yellow"/>
          <w:lang w:eastAsia="sl-SI"/>
        </w:rPr>
        <w:t xml:space="preserve"> </w:t>
      </w:r>
    </w:p>
    <w:p w:rsidR="003B468F" w:rsidRPr="00E10073" w:rsidRDefault="003B468F" w:rsidP="003B468F">
      <w:pPr>
        <w:pStyle w:val="Brezrazmikov"/>
        <w:rPr>
          <w:highlight w:val="yellow"/>
        </w:rPr>
      </w:pPr>
    </w:p>
    <w:p w:rsidR="003B468F" w:rsidRPr="003B468F" w:rsidRDefault="003B468F" w:rsidP="003B468F">
      <w:pPr>
        <w:pStyle w:val="Brezrazmikov"/>
      </w:pPr>
      <w:r w:rsidRPr="003B468F">
        <w:t>Popravek lahko uredite z novo verzijo vloge NIO.</w:t>
      </w:r>
    </w:p>
    <w:p w:rsidR="003B468F" w:rsidRPr="003B468F" w:rsidRDefault="003B468F" w:rsidP="003B468F">
      <w:pPr>
        <w:pStyle w:val="Brezrazmikov"/>
      </w:pPr>
    </w:p>
    <w:p w:rsidR="003B468F" w:rsidRPr="003B468F" w:rsidRDefault="003B468F" w:rsidP="00F119AC">
      <w:pPr>
        <w:spacing w:after="0"/>
        <w:rPr>
          <w:rFonts w:ascii="Calibri" w:hAnsi="Calibri"/>
          <w:b/>
          <w:i/>
        </w:rPr>
      </w:pPr>
      <w:r w:rsidRPr="003B468F">
        <w:rPr>
          <w:rFonts w:ascii="Calibri" w:hAnsi="Calibri"/>
          <w:b/>
          <w:i/>
        </w:rPr>
        <w:t>V e-MA smo po potrditvi vloge za odločitev o podpori vnesli »novo verzijo« vloge. Opazili smo, da prvotne verzije vloge ne moremo videti.  Prosim, da nam omogočite ogled prve vloge za odločitev o podpori.</w:t>
      </w:r>
    </w:p>
    <w:p w:rsidR="003B468F" w:rsidRPr="003B468F" w:rsidRDefault="003B468F" w:rsidP="00F119AC">
      <w:pPr>
        <w:spacing w:after="0"/>
      </w:pPr>
      <w:r w:rsidRPr="007F5AB6">
        <w:rPr>
          <w:rFonts w:ascii="Calibri" w:eastAsia="Calibri" w:hAnsi="Calibri" w:cs="Times New Roman"/>
        </w:rPr>
        <w:t>Prejšnjo verzijo se vidi s klikom na uro, ki je izpisana zraven naslova vloge</w:t>
      </w:r>
      <w:r w:rsidRPr="003B468F">
        <w:t>.</w:t>
      </w:r>
    </w:p>
    <w:p w:rsidR="00F119AC" w:rsidRDefault="00F119AC" w:rsidP="003B468F">
      <w:pPr>
        <w:pStyle w:val="Brezrazmikov"/>
        <w:rPr>
          <w:b/>
          <w:i/>
        </w:rPr>
      </w:pPr>
    </w:p>
    <w:p w:rsidR="003B468F" w:rsidRPr="003B468F" w:rsidRDefault="003B468F" w:rsidP="003B468F">
      <w:pPr>
        <w:pStyle w:val="Brezrazmikov"/>
        <w:rPr>
          <w:b/>
          <w:i/>
        </w:rPr>
      </w:pPr>
      <w:r w:rsidRPr="003B468F">
        <w:rPr>
          <w:b/>
          <w:i/>
        </w:rPr>
        <w:t>V priloge Vloge za odločitev o podpori so se prilepile 3 verzije vizualizacije vlog (samodejno ali s strani potrjevalca vloge?) kot dokumentacija te vloge. Ker to niso naši dokumenti in jih tu ne želimo imeti, bi jih radi izbrisali.</w:t>
      </w:r>
    </w:p>
    <w:p w:rsidR="003B468F" w:rsidRDefault="003B468F" w:rsidP="003B468F">
      <w:pPr>
        <w:pStyle w:val="Brezrazmikov"/>
      </w:pPr>
      <w:r w:rsidRPr="003B468F">
        <w:t>Vizualizacija vloge za odločitev o podpori se avtomatično pripne med dokumente ob potrditvi vloge.</w:t>
      </w:r>
    </w:p>
    <w:p w:rsidR="00016E1B" w:rsidRDefault="00016E1B" w:rsidP="00016E1B">
      <w:pPr>
        <w:pStyle w:val="Brezrazmikov"/>
        <w:jc w:val="both"/>
      </w:pPr>
    </w:p>
    <w:p w:rsidR="003E39AA" w:rsidRDefault="003E39AA" w:rsidP="00016E1B">
      <w:pPr>
        <w:pStyle w:val="Brezrazmikov"/>
        <w:jc w:val="both"/>
      </w:pPr>
    </w:p>
    <w:p w:rsidR="00016E1B" w:rsidRPr="00F119AC" w:rsidRDefault="00C53B63" w:rsidP="00016E1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57" w:hanging="357"/>
        <w:rPr>
          <w:rFonts w:cs="Helv"/>
          <w:b/>
          <w:i/>
          <w:color w:val="000000"/>
          <w:lang w:eastAsia="sl-SI"/>
        </w:rPr>
      </w:pPr>
      <w:r>
        <w:rPr>
          <w:rFonts w:ascii="Verdana" w:hAnsi="Verdana"/>
          <w:color w:val="676767"/>
          <w:sz w:val="27"/>
          <w:szCs w:val="27"/>
        </w:rPr>
        <w:t>Menjava</w:t>
      </w:r>
      <w:r w:rsidR="00016E1B">
        <w:rPr>
          <w:rFonts w:ascii="Verdana" w:hAnsi="Verdana"/>
          <w:color w:val="676767"/>
          <w:sz w:val="27"/>
          <w:szCs w:val="27"/>
        </w:rPr>
        <w:t xml:space="preserve"> statusa v Pregled OU</w:t>
      </w:r>
    </w:p>
    <w:p w:rsidR="00016E1B" w:rsidRDefault="00016E1B" w:rsidP="00016E1B">
      <w:pPr>
        <w:pStyle w:val="Brezrazmikov"/>
        <w:jc w:val="both"/>
      </w:pPr>
      <w:r w:rsidRPr="00016E1B">
        <w:rPr>
          <w:b/>
          <w:i/>
        </w:rPr>
        <w:t>Kot skrbnik vlogi za odločitev o podpori ne morem menjati statusa V Pregled OU. Kaj lahko storim</w:t>
      </w:r>
      <w:r>
        <w:t>?</w:t>
      </w:r>
    </w:p>
    <w:p w:rsidR="00016E1B" w:rsidRDefault="00016E1B" w:rsidP="00016E1B">
      <w:pPr>
        <w:pStyle w:val="Brezrazmikov"/>
        <w:jc w:val="both"/>
      </w:pPr>
      <w:r>
        <w:t>Skrbnik mora na vlogi za odločitev o podpori, v sklopu Identifikacija / Posredniški in izvajalski organi izpolniti podatek v polju Nosilni posredniški organ.</w:t>
      </w:r>
    </w:p>
    <w:p w:rsidR="00D0011F" w:rsidRPr="00E1733B" w:rsidRDefault="00D0011F" w:rsidP="00D0011F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36"/>
          <w:szCs w:val="36"/>
        </w:rPr>
      </w:pPr>
      <w:r>
        <w:rPr>
          <w:rFonts w:ascii="Verdana" w:hAnsi="Verdana"/>
          <w:color w:val="676767"/>
          <w:sz w:val="27"/>
          <w:szCs w:val="27"/>
        </w:rPr>
        <w:t>Odgovorna oseba posredniškega organa - sprememba</w:t>
      </w:r>
    </w:p>
    <w:p w:rsidR="00D0011F" w:rsidRDefault="00D0011F" w:rsidP="003B468F">
      <w:pPr>
        <w:pStyle w:val="Brezrazmikov"/>
        <w:rPr>
          <w:b/>
          <w:i/>
        </w:rPr>
      </w:pPr>
      <w:r>
        <w:rPr>
          <w:b/>
          <w:i/>
        </w:rPr>
        <w:t>Prišlo je do spremembe odgovorne osebe oziroma vodje posredniškega organa. Kako uredimo popravek?</w:t>
      </w:r>
    </w:p>
    <w:p w:rsidR="00D0011F" w:rsidRDefault="00D0011F" w:rsidP="003B468F">
      <w:pPr>
        <w:pStyle w:val="Brezrazmikov"/>
      </w:pPr>
      <w:r>
        <w:lastRenderedPageBreak/>
        <w:t xml:space="preserve">Gre za spremembo, ki se izvede v šifrantu e-CA, zato se morate v tem primeru obrniti na ga. Gregorič </w:t>
      </w:r>
      <w:proofErr w:type="spellStart"/>
      <w:r>
        <w:t>Zečevič</w:t>
      </w:r>
      <w:proofErr w:type="spellEnd"/>
      <w:r>
        <w:t xml:space="preserve"> na organu upravljanja.</w:t>
      </w:r>
    </w:p>
    <w:p w:rsidR="00D0011F" w:rsidRDefault="00347BE1" w:rsidP="003B468F">
      <w:pPr>
        <w:pStyle w:val="Brezrazmikov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Vse odgovorne osebe in posredniške organe se namreč vpisuje v e-CA, v e-MA pa se na vlogi samo opredeli ustrezni organ.</w:t>
      </w:r>
    </w:p>
    <w:p w:rsidR="00932791" w:rsidRDefault="00932791" w:rsidP="00932791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 xml:space="preserve">Upravičenec – popravek </w:t>
      </w:r>
    </w:p>
    <w:p w:rsidR="00932791" w:rsidRDefault="00075EFF" w:rsidP="003B468F">
      <w:pPr>
        <w:pStyle w:val="Brezrazmikov"/>
        <w:rPr>
          <w:rFonts w:ascii="Arial" w:hAnsi="Arial" w:cs="Arial"/>
          <w:sz w:val="20"/>
          <w:szCs w:val="20"/>
        </w:rPr>
      </w:pPr>
      <w:r w:rsidRPr="00075EFF">
        <w:rPr>
          <w:b/>
          <w:i/>
        </w:rPr>
        <w:t>Na vlogi za odločitev o podpori je potrebno popraviti navedbo upravičenca, saj smo opazili, da je napačna. Ker se podatek prenaša v naslednje sekcije prosimo za popravek. Ali ga je možno izvesti brez spremembe verzije</w:t>
      </w:r>
      <w:r>
        <w:rPr>
          <w:rFonts w:ascii="Arial" w:hAnsi="Arial" w:cs="Arial"/>
          <w:sz w:val="20"/>
          <w:szCs w:val="20"/>
        </w:rPr>
        <w:t>?</w:t>
      </w:r>
    </w:p>
    <w:p w:rsidR="00075EFF" w:rsidRDefault="00075EFF" w:rsidP="00D77E90">
      <w:pPr>
        <w:pStyle w:val="Brezrazmikov"/>
      </w:pPr>
      <w:r w:rsidRPr="00075EFF">
        <w:t xml:space="preserve">V tem primeru se morate obrniti na osebo na Organu upravljanja, ki vam je potrdila vlogo. Vlogo bo potrebno </w:t>
      </w:r>
      <w:proofErr w:type="spellStart"/>
      <w:r w:rsidRPr="00075EFF">
        <w:t>verzionirati</w:t>
      </w:r>
      <w:proofErr w:type="spellEnd"/>
      <w:r w:rsidRPr="00075EFF">
        <w:t xml:space="preserve"> in popraviti naziv upravičenca. </w:t>
      </w:r>
      <w:r w:rsidR="00D77E90">
        <w:t xml:space="preserve">Preverite lahko tudi, </w:t>
      </w:r>
      <w:r w:rsidR="00801BAF">
        <w:t xml:space="preserve">če je na kateri drugi vlogi ta naziv pravilen – če je, potem </w:t>
      </w:r>
      <w:r w:rsidR="00D77E90">
        <w:t xml:space="preserve">namreč </w:t>
      </w:r>
      <w:r w:rsidR="00801BAF">
        <w:t xml:space="preserve">ne gre za težavo v šifrantu in je potreben vnos na sami vlogi. </w:t>
      </w:r>
    </w:p>
    <w:p w:rsidR="00E12D5C" w:rsidRPr="003B468F" w:rsidRDefault="00E12D5C" w:rsidP="003B468F">
      <w:pPr>
        <w:pStyle w:val="Brezrazmikov"/>
      </w:pPr>
    </w:p>
    <w:p w:rsidR="00E1733B" w:rsidRPr="00E1733B" w:rsidRDefault="00E1733B" w:rsidP="00A1479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36"/>
          <w:szCs w:val="36"/>
        </w:rPr>
      </w:pPr>
      <w:r w:rsidRPr="00E1733B">
        <w:rPr>
          <w:rFonts w:ascii="Verdana" w:hAnsi="Verdana"/>
          <w:color w:val="676767"/>
          <w:sz w:val="27"/>
          <w:szCs w:val="27"/>
        </w:rPr>
        <w:t>Finančni podatki</w:t>
      </w:r>
    </w:p>
    <w:p w:rsidR="002D40FB" w:rsidRPr="004A4F4B" w:rsidRDefault="002D40FB" w:rsidP="002D40FB">
      <w:pPr>
        <w:pStyle w:val="Brezrazmikov"/>
        <w:jc w:val="both"/>
        <w:rPr>
          <w:i/>
        </w:rPr>
      </w:pPr>
      <w:r w:rsidRPr="002D40FB">
        <w:rPr>
          <w:rFonts w:asciiTheme="minorHAnsi" w:hAnsiTheme="minorHAnsi" w:cs="Helv"/>
          <w:b/>
          <w:i/>
          <w:color w:val="000000"/>
        </w:rPr>
        <w:t xml:space="preserve">Podatki v </w:t>
      </w:r>
      <w:proofErr w:type="spellStart"/>
      <w:r w:rsidRPr="002D40FB">
        <w:rPr>
          <w:rFonts w:asciiTheme="minorHAnsi" w:hAnsiTheme="minorHAnsi" w:cs="Helv"/>
          <w:b/>
          <w:i/>
          <w:color w:val="000000"/>
        </w:rPr>
        <w:t>eMA</w:t>
      </w:r>
      <w:proofErr w:type="spellEnd"/>
      <w:r w:rsidRPr="002D40FB">
        <w:rPr>
          <w:rFonts w:asciiTheme="minorHAnsi" w:hAnsiTheme="minorHAnsi" w:cs="Helv"/>
          <w:b/>
          <w:i/>
          <w:color w:val="000000"/>
        </w:rPr>
        <w:t xml:space="preserve"> pod "Vloga za odločitev o podpori / Finančni načrt" niso skladni s podatki iz M</w:t>
      </w:r>
      <w:r w:rsidR="00E1733B">
        <w:rPr>
          <w:rFonts w:asciiTheme="minorHAnsi" w:hAnsiTheme="minorHAnsi" w:cs="Helv"/>
          <w:b/>
          <w:i/>
          <w:color w:val="000000"/>
        </w:rPr>
        <w:t>FERAC</w:t>
      </w:r>
      <w:r w:rsidRPr="002D40FB">
        <w:rPr>
          <w:rFonts w:asciiTheme="minorHAnsi" w:hAnsiTheme="minorHAnsi" w:cs="Helv"/>
          <w:b/>
          <w:i/>
          <w:color w:val="000000"/>
        </w:rPr>
        <w:t>.</w:t>
      </w:r>
      <w:r w:rsidRPr="002D40FB">
        <w:t xml:space="preserve"> </w:t>
      </w:r>
    </w:p>
    <w:p w:rsidR="002D40FB" w:rsidRDefault="002D40FB" w:rsidP="002D40FB">
      <w:pPr>
        <w:pStyle w:val="Brezrazmikov"/>
        <w:jc w:val="both"/>
      </w:pPr>
      <w:r w:rsidRPr="004A4F4B">
        <w:rPr>
          <w:i/>
        </w:rPr>
        <w:t>Če so fina</w:t>
      </w:r>
      <w:r w:rsidRPr="002D40FB">
        <w:t xml:space="preserve">nčni podatki na vlogi za odločitev o podpori neusklajeni, potem jih lahko uredite na </w:t>
      </w:r>
      <w:r>
        <w:t>vlogi</w:t>
      </w:r>
      <w:r w:rsidRPr="002D40FB">
        <w:t xml:space="preserve">, da bodo skladni s podatki v </w:t>
      </w:r>
      <w:proofErr w:type="spellStart"/>
      <w:r w:rsidRPr="002D40FB">
        <w:t>Mferac</w:t>
      </w:r>
      <w:proofErr w:type="spellEnd"/>
      <w:r w:rsidRPr="002D40FB">
        <w:t xml:space="preserve">-u. Vlogo je treba </w:t>
      </w:r>
      <w:proofErr w:type="spellStart"/>
      <w:r w:rsidRPr="002D40FB">
        <w:t>verzionir</w:t>
      </w:r>
      <w:r>
        <w:t>ati</w:t>
      </w:r>
      <w:proofErr w:type="spellEnd"/>
      <w:r>
        <w:t xml:space="preserve"> in sicer t</w:t>
      </w:r>
      <w:r w:rsidRPr="002D40FB">
        <w:t xml:space="preserve">ako, da greste na seznam vlog in na desni strani kliknete kontrolni gumb za </w:t>
      </w:r>
      <w:proofErr w:type="spellStart"/>
      <w:r w:rsidRPr="002D40FB">
        <w:t>verzioniranje</w:t>
      </w:r>
      <w:proofErr w:type="spellEnd"/>
      <w:r w:rsidRPr="002D40FB">
        <w:t xml:space="preserve">. </w:t>
      </w:r>
    </w:p>
    <w:p w:rsidR="00A4706E" w:rsidRDefault="00A4706E" w:rsidP="002D40FB">
      <w:pPr>
        <w:pStyle w:val="Brezrazmikov"/>
        <w:jc w:val="both"/>
      </w:pPr>
    </w:p>
    <w:p w:rsidR="00A4706E" w:rsidRDefault="00A4706E" w:rsidP="00A4706E">
      <w:pPr>
        <w:rPr>
          <w:highlight w:val="yellow"/>
        </w:rPr>
      </w:pPr>
      <w:r>
        <w:rPr>
          <w:noProof/>
          <w:lang w:eastAsia="sl-SI"/>
        </w:rPr>
        <w:drawing>
          <wp:inline distT="0" distB="0" distL="0" distR="0" wp14:anchorId="6FF46B3D" wp14:editId="0EC2FFC5">
            <wp:extent cx="5390985" cy="702290"/>
            <wp:effectExtent l="0" t="0" r="635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93" w:rsidRDefault="00273E93" w:rsidP="00A4706E">
      <w:pPr>
        <w:rPr>
          <w:highlight w:val="yellow"/>
        </w:rPr>
      </w:pPr>
    </w:p>
    <w:p w:rsidR="00273E93" w:rsidRDefault="00273E93" w:rsidP="00A4706E">
      <w:pPr>
        <w:rPr>
          <w:highlight w:val="yellow"/>
        </w:rPr>
      </w:pPr>
    </w:p>
    <w:p w:rsidR="00273E93" w:rsidRDefault="00273E93" w:rsidP="00A4706E">
      <w:pPr>
        <w:rPr>
          <w:highlight w:val="yellow"/>
        </w:rPr>
      </w:pPr>
    </w:p>
    <w:p w:rsidR="00273E93" w:rsidRDefault="00273E93" w:rsidP="00273E93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 xml:space="preserve">Poenostavljene oblike </w:t>
      </w:r>
    </w:p>
    <w:p w:rsidR="00273E93" w:rsidRDefault="00273E93" w:rsidP="0027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73E93">
        <w:rPr>
          <w:rFonts w:ascii="Calibri" w:eastAsia="Calibri" w:hAnsi="Calibri" w:cs="Times New Roman"/>
        </w:rPr>
        <w:t xml:space="preserve">Poenostavljene oblike stroškov </w:t>
      </w:r>
      <w:r>
        <w:rPr>
          <w:rFonts w:ascii="Calibri" w:eastAsia="Calibri" w:hAnsi="Calibri" w:cs="Times New Roman"/>
        </w:rPr>
        <w:t xml:space="preserve">(pavšal in SSE) </w:t>
      </w:r>
      <w:r w:rsidRPr="00273E93">
        <w:rPr>
          <w:rFonts w:ascii="Calibri" w:eastAsia="Calibri" w:hAnsi="Calibri" w:cs="Times New Roman"/>
        </w:rPr>
        <w:t xml:space="preserve">so lahko le upravičeni stroški, saj temeljijo na metodologijah, ki vključujejo v izračun samo in izključno upravičene stroške projekta, kar posledično pomeni, da projekt ni pravilno opredeljen. V konkretnem primeru bi to lahko pomenilo le, da imajo na kategoriji stroški dela še neupravičene stroške v višini kot navedeno. Ker pa te kategorije sploh ni planirane na nivoju operacije, se seveda tega stroška ne da vpisati. </w:t>
      </w:r>
      <w:r w:rsidR="00EA1C2E">
        <w:rPr>
          <w:rFonts w:ascii="Calibri" w:eastAsia="Calibri" w:hAnsi="Calibri" w:cs="Times New Roman"/>
        </w:rPr>
        <w:t>P</w:t>
      </w:r>
      <w:r w:rsidR="00EA1C2E" w:rsidRPr="00273E93">
        <w:rPr>
          <w:rFonts w:ascii="Calibri" w:eastAsia="Calibri" w:hAnsi="Calibri" w:cs="Times New Roman"/>
        </w:rPr>
        <w:t xml:space="preserve">avšalno financiranje (pavšal) in standardni strošek na enoto (SSE) </w:t>
      </w:r>
      <w:r w:rsidR="00EA1C2E">
        <w:rPr>
          <w:rFonts w:ascii="Calibri" w:eastAsia="Calibri" w:hAnsi="Calibri" w:cs="Times New Roman"/>
        </w:rPr>
        <w:t xml:space="preserve">sta torej lahko </w:t>
      </w:r>
      <w:r w:rsidR="00EA1C2E" w:rsidRPr="00273E93">
        <w:rPr>
          <w:rFonts w:ascii="Calibri" w:eastAsia="Calibri" w:hAnsi="Calibri" w:cs="Times New Roman"/>
        </w:rPr>
        <w:t>le upravičen strošek v sklopu načrtovanja operacije</w:t>
      </w:r>
      <w:r w:rsidR="00C26EFD">
        <w:rPr>
          <w:rFonts w:ascii="Calibri" w:eastAsia="Calibri" w:hAnsi="Calibri" w:cs="Times New Roman"/>
        </w:rPr>
        <w:t>.</w:t>
      </w:r>
    </w:p>
    <w:p w:rsidR="00E1733B" w:rsidRPr="00E1733B" w:rsidRDefault="00E1733B" w:rsidP="00A1479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36"/>
          <w:szCs w:val="36"/>
        </w:rPr>
      </w:pPr>
      <w:r>
        <w:rPr>
          <w:rFonts w:ascii="Verdana" w:hAnsi="Verdana"/>
          <w:color w:val="676767"/>
          <w:sz w:val="27"/>
          <w:szCs w:val="27"/>
        </w:rPr>
        <w:t>Kategorizacija</w:t>
      </w:r>
    </w:p>
    <w:p w:rsidR="00E1733B" w:rsidRPr="00E1733B" w:rsidRDefault="00E1733B" w:rsidP="00E1733B">
      <w:pPr>
        <w:pStyle w:val="Brezrazmikov"/>
        <w:rPr>
          <w:b/>
          <w:i/>
        </w:rPr>
      </w:pPr>
      <w:r w:rsidRPr="00E1733B">
        <w:rPr>
          <w:b/>
          <w:i/>
        </w:rPr>
        <w:t>Sistem mi pri vnosu kategorizacije sporoči naslednjo napako:</w:t>
      </w:r>
    </w:p>
    <w:p w:rsidR="00E1733B" w:rsidRPr="00E1733B" w:rsidRDefault="00E1733B" w:rsidP="00E1733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1733B" w:rsidRPr="00E10073" w:rsidRDefault="00E1733B" w:rsidP="00E17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  <w:lang w:eastAsia="sl-SI"/>
        </w:rPr>
      </w:pPr>
    </w:p>
    <w:p w:rsidR="00E1733B" w:rsidRPr="00E10073" w:rsidRDefault="00A4706E" w:rsidP="00E1733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highlight w:val="yellow"/>
          <w:lang w:eastAsia="sl-SI"/>
        </w:rPr>
      </w:pPr>
      <w:r>
        <w:rPr>
          <w:rFonts w:ascii="Helv" w:hAnsi="Helv" w:cs="Helv"/>
          <w:noProof/>
          <w:color w:val="800080"/>
          <w:sz w:val="18"/>
          <w:szCs w:val="18"/>
          <w:lang w:eastAsia="sl-SI"/>
        </w:rPr>
        <w:lastRenderedPageBreak/>
        <w:drawing>
          <wp:inline distT="0" distB="0" distL="0" distR="0" wp14:anchorId="399D7AE2" wp14:editId="697FF08A">
            <wp:extent cx="5760720" cy="3168936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3B" w:rsidRPr="004A4F4B" w:rsidRDefault="00E1733B" w:rsidP="00E173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4A4F4B">
        <w:rPr>
          <w:rFonts w:ascii="Calibri" w:eastAsia="Calibri" w:hAnsi="Calibri" w:cs="Times New Roman"/>
        </w:rPr>
        <w:t>Potrebno je vnesti za vse kategorije intervencij ločeno na vzhod in zahod, tako kot je sistem javil z obvestili.</w:t>
      </w:r>
    </w:p>
    <w:p w:rsidR="00E1733B" w:rsidRPr="004A4F4B" w:rsidRDefault="00E1733B" w:rsidP="00E173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A4706E" w:rsidRDefault="00E1733B" w:rsidP="00E173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A4F4B">
        <w:rPr>
          <w:rFonts w:ascii="Calibri" w:eastAsia="Calibri" w:hAnsi="Calibri" w:cs="Times New Roman"/>
        </w:rPr>
        <w:t>Podoben primer</w:t>
      </w:r>
      <w:r w:rsidRPr="007E6782">
        <w:rPr>
          <w:rFonts w:ascii="Helv" w:hAnsi="Helv" w:cs="Helv"/>
          <w:color w:val="000000"/>
          <w:sz w:val="20"/>
          <w:szCs w:val="20"/>
          <w:lang w:eastAsia="sl-SI"/>
        </w:rPr>
        <w:t>:</w:t>
      </w:r>
      <w:r w:rsidRPr="00E10073">
        <w:rPr>
          <w:rFonts w:ascii="Times New Roman" w:eastAsia="Times New Roman" w:hAnsi="Times New Roman"/>
          <w:sz w:val="24"/>
          <w:szCs w:val="24"/>
          <w:highlight w:val="yellow"/>
          <w:lang w:eastAsia="sl-SI"/>
        </w:rPr>
        <w:br/>
      </w:r>
    </w:p>
    <w:p w:rsidR="00E1733B" w:rsidRPr="00E10073" w:rsidRDefault="00A4706E" w:rsidP="00E1733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4552F115" wp14:editId="19F78354">
            <wp:extent cx="5327374" cy="3585742"/>
            <wp:effectExtent l="0" t="0" r="698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27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073">
        <w:rPr>
          <w:rFonts w:ascii="Arial" w:eastAsia="Times New Roman" w:hAnsi="Arial" w:cs="Arial"/>
          <w:sz w:val="20"/>
          <w:szCs w:val="20"/>
          <w:highlight w:val="yellow"/>
          <w:lang w:eastAsia="sl-SI"/>
        </w:rPr>
        <w:br/>
      </w:r>
      <w:r w:rsidR="00E1733B" w:rsidRPr="00E10073">
        <w:rPr>
          <w:rFonts w:ascii="Arial" w:eastAsia="Times New Roman" w:hAnsi="Arial" w:cs="Arial"/>
          <w:sz w:val="20"/>
          <w:szCs w:val="20"/>
          <w:highlight w:val="yellow"/>
          <w:lang w:eastAsia="sl-SI"/>
        </w:rPr>
        <w:br/>
      </w:r>
    </w:p>
    <w:p w:rsidR="00E1733B" w:rsidRPr="004A4F4B" w:rsidRDefault="00E1733B" w:rsidP="00E173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4A4F4B">
        <w:rPr>
          <w:rFonts w:ascii="Calibri" w:eastAsia="Calibri" w:hAnsi="Calibri" w:cs="Times New Roman"/>
        </w:rPr>
        <w:t>Sistem vas je opozoril, da morate vnesti vse kategorije intervencij. Vi ste vnesli samo Domeno ukrepa. Se pravi morate vnesti še ločeno za Vzhod in Zahod:</w:t>
      </w:r>
      <w:r w:rsidRPr="004A4F4B">
        <w:rPr>
          <w:rFonts w:ascii="Calibri" w:eastAsia="Calibri" w:hAnsi="Calibri" w:cs="Times New Roman"/>
        </w:rPr>
        <w:br/>
        <w:t>- vrsta ozemlja</w:t>
      </w:r>
      <w:r w:rsidRPr="004A4F4B">
        <w:rPr>
          <w:rFonts w:ascii="Calibri" w:eastAsia="Calibri" w:hAnsi="Calibri" w:cs="Times New Roman"/>
        </w:rPr>
        <w:br/>
        <w:t>- mehanizmi za ozemeljsko izvrševanje</w:t>
      </w:r>
      <w:r w:rsidRPr="004A4F4B">
        <w:rPr>
          <w:rFonts w:ascii="Calibri" w:eastAsia="Calibri" w:hAnsi="Calibri" w:cs="Times New Roman"/>
        </w:rPr>
        <w:br/>
      </w:r>
      <w:r w:rsidRPr="004A4F4B">
        <w:rPr>
          <w:rFonts w:ascii="Calibri" w:eastAsia="Calibri" w:hAnsi="Calibri" w:cs="Times New Roman"/>
        </w:rPr>
        <w:lastRenderedPageBreak/>
        <w:t>- tematski cilji</w:t>
      </w:r>
      <w:r w:rsidRPr="004A4F4B">
        <w:rPr>
          <w:rFonts w:ascii="Calibri" w:eastAsia="Calibri" w:hAnsi="Calibri" w:cs="Times New Roman"/>
        </w:rPr>
        <w:br/>
        <w:t>- sekundarno področje v okviru ESS</w:t>
      </w:r>
    </w:p>
    <w:p w:rsidR="00995960" w:rsidRPr="00995960" w:rsidRDefault="00995960" w:rsidP="00995960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36"/>
          <w:szCs w:val="36"/>
        </w:rPr>
      </w:pPr>
      <w:r>
        <w:rPr>
          <w:rFonts w:ascii="Verdana" w:hAnsi="Verdana"/>
          <w:color w:val="676767"/>
          <w:sz w:val="27"/>
          <w:szCs w:val="27"/>
        </w:rPr>
        <w:t>Izpis Vloge za odločitev o podpori</w:t>
      </w:r>
    </w:p>
    <w:p w:rsidR="00995960" w:rsidRPr="00995960" w:rsidRDefault="00995960" w:rsidP="00995960">
      <w:pPr>
        <w:pStyle w:val="Brezrazmikov"/>
        <w:jc w:val="both"/>
        <w:rPr>
          <w:i/>
        </w:rPr>
      </w:pPr>
      <w:r>
        <w:rPr>
          <w:b/>
          <w:i/>
        </w:rPr>
        <w:t xml:space="preserve">V podatkih na </w:t>
      </w:r>
      <w:r w:rsidRPr="00995960">
        <w:rPr>
          <w:b/>
          <w:i/>
        </w:rPr>
        <w:t>vlogi za odločitev o podpori smo naredili spremembe</w:t>
      </w:r>
      <w:r>
        <w:rPr>
          <w:b/>
          <w:i/>
        </w:rPr>
        <w:t xml:space="preserve"> oziroma so bile narejene v sistemu (po nadgradnji), vendar pa se podatki na izpisu niso spremenili. Kaj moramo storiti?</w:t>
      </w:r>
    </w:p>
    <w:p w:rsidR="00995960" w:rsidRPr="00995960" w:rsidRDefault="00995960" w:rsidP="00995960">
      <w:pPr>
        <w:pStyle w:val="Brezrazmikov"/>
        <w:jc w:val="both"/>
        <w:rPr>
          <w:i/>
        </w:rPr>
      </w:pPr>
      <w:r w:rsidRPr="0044548F">
        <w:t>Na vlogah, ki so v statusu v pregledu OU/potrjeno, se stanje podatkov na izpisu  ne bo spremenilo, ker je bila ta podpisana in shranjena v dokumentni sistem. Da se bo sprememba odrazila na izpisu, je potrebno vlogo vrniti v pripravo/ dopolnit</w:t>
      </w:r>
      <w:r w:rsidR="00D174F2" w:rsidRPr="0044548F">
        <w:t>e</w:t>
      </w:r>
      <w:r w:rsidRPr="0044548F">
        <w:t>v</w:t>
      </w:r>
      <w:r w:rsidRPr="00995960">
        <w:rPr>
          <w:i/>
        </w:rPr>
        <w:t>.</w:t>
      </w:r>
    </w:p>
    <w:p w:rsidR="00AF1251" w:rsidRDefault="00AF1251" w:rsidP="00AF1251">
      <w:pPr>
        <w:pStyle w:val="Navadensplet"/>
        <w:rPr>
          <w:rFonts w:ascii="Verdana" w:hAnsi="Verdana"/>
          <w:color w:val="676767"/>
          <w:sz w:val="16"/>
          <w:szCs w:val="16"/>
        </w:rPr>
      </w:pPr>
    </w:p>
    <w:p w:rsidR="00327A2C" w:rsidRPr="00E10073" w:rsidRDefault="00327A2C" w:rsidP="000C16ED">
      <w:pPr>
        <w:pStyle w:val="Brezrazmikov"/>
        <w:rPr>
          <w:highlight w:val="yellow"/>
        </w:rPr>
      </w:pPr>
    </w:p>
    <w:p w:rsidR="00327A2C" w:rsidRPr="00E10073" w:rsidRDefault="00327A2C" w:rsidP="000C16ED">
      <w:pPr>
        <w:pStyle w:val="Brezrazmikov"/>
        <w:rPr>
          <w:highlight w:val="yellow"/>
        </w:rPr>
      </w:pPr>
    </w:p>
    <w:p w:rsidR="00D13D1C" w:rsidRPr="00E10073" w:rsidRDefault="00D13D1C" w:rsidP="00D13D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highlight w:val="yellow"/>
          <w:lang w:eastAsia="sl-SI"/>
        </w:rPr>
      </w:pPr>
    </w:p>
    <w:p w:rsidR="00D13D1C" w:rsidRPr="00E10073" w:rsidRDefault="00D13D1C" w:rsidP="00D13D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highlight w:val="yellow"/>
          <w:lang w:eastAsia="sl-SI"/>
        </w:rPr>
      </w:pPr>
    </w:p>
    <w:p w:rsidR="00D13D1C" w:rsidRPr="00E10073" w:rsidRDefault="00D13D1C" w:rsidP="00D13D1C">
      <w:pPr>
        <w:pStyle w:val="Brezrazmikov"/>
        <w:rPr>
          <w:highlight w:val="yellow"/>
        </w:rPr>
      </w:pPr>
    </w:p>
    <w:p w:rsidR="0035384E" w:rsidRPr="00E10073" w:rsidRDefault="0035384E" w:rsidP="0035384E">
      <w:pPr>
        <w:pStyle w:val="Brezrazmikov"/>
        <w:rPr>
          <w:b/>
          <w:highlight w:val="yellow"/>
          <w:lang w:eastAsia="sl-SI"/>
        </w:rPr>
      </w:pPr>
    </w:p>
    <w:p w:rsidR="0035384E" w:rsidRPr="00E10073" w:rsidRDefault="0035384E" w:rsidP="003842C8">
      <w:pPr>
        <w:rPr>
          <w:highlight w:val="yellow"/>
        </w:rPr>
      </w:pPr>
    </w:p>
    <w:p w:rsidR="002A3879" w:rsidRPr="00E10073" w:rsidRDefault="002A3879" w:rsidP="003842C8">
      <w:pPr>
        <w:rPr>
          <w:highlight w:val="yellow"/>
        </w:rPr>
      </w:pPr>
    </w:p>
    <w:p w:rsidR="002A3879" w:rsidRPr="00E10073" w:rsidRDefault="002A3879" w:rsidP="002A3879">
      <w:pPr>
        <w:pStyle w:val="Brezrazmikov"/>
        <w:rPr>
          <w:highlight w:val="yellow"/>
        </w:rPr>
      </w:pPr>
    </w:p>
    <w:p w:rsidR="00FA5FBE" w:rsidRPr="00E10073" w:rsidRDefault="00FA5FBE" w:rsidP="00FA5FB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  <w:highlight w:val="yellow"/>
          <w:lang w:eastAsia="sl-SI"/>
        </w:rPr>
      </w:pPr>
    </w:p>
    <w:p w:rsidR="00FA5FBE" w:rsidRPr="00E10073" w:rsidRDefault="00FA5FBE" w:rsidP="00FA5FB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  <w:highlight w:val="yellow"/>
          <w:lang w:eastAsia="sl-SI"/>
        </w:rPr>
      </w:pPr>
    </w:p>
    <w:p w:rsidR="00FA5FBE" w:rsidRPr="00E10073" w:rsidRDefault="00FA5FBE" w:rsidP="00FA5FB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  <w:highlight w:val="yellow"/>
          <w:lang w:eastAsia="sl-SI"/>
        </w:rPr>
      </w:pPr>
    </w:p>
    <w:p w:rsidR="00E10073" w:rsidRDefault="00E10073" w:rsidP="00E1007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0E4109" w:rsidRPr="000E4109" w:rsidRDefault="000E4109" w:rsidP="002A3879">
      <w:pPr>
        <w:pStyle w:val="Brezrazmikov"/>
        <w:rPr>
          <w:b/>
          <w:i/>
        </w:rPr>
      </w:pPr>
    </w:p>
    <w:p w:rsidR="002A3879" w:rsidRPr="00764EAD" w:rsidRDefault="002A3879" w:rsidP="003842C8"/>
    <w:sectPr w:rsidR="002A3879" w:rsidRPr="00764EA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BF" w:rsidRDefault="003714BF" w:rsidP="003714BF">
      <w:pPr>
        <w:spacing w:after="0" w:line="240" w:lineRule="auto"/>
      </w:pPr>
      <w:r>
        <w:separator/>
      </w:r>
    </w:p>
  </w:endnote>
  <w:endnote w:type="continuationSeparator" w:id="0">
    <w:p w:rsidR="003714BF" w:rsidRDefault="003714BF" w:rsidP="0037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74728"/>
      <w:docPartObj>
        <w:docPartGallery w:val="Page Numbers (Bottom of Page)"/>
        <w:docPartUnique/>
      </w:docPartObj>
    </w:sdtPr>
    <w:sdtEndPr/>
    <w:sdtContent>
      <w:p w:rsidR="003714BF" w:rsidRDefault="003714B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FF">
          <w:rPr>
            <w:noProof/>
          </w:rPr>
          <w:t>4</w:t>
        </w:r>
        <w:r>
          <w:fldChar w:fldCharType="end"/>
        </w:r>
      </w:p>
    </w:sdtContent>
  </w:sdt>
  <w:p w:rsidR="003714BF" w:rsidRDefault="003714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BF" w:rsidRDefault="003714BF" w:rsidP="003714BF">
      <w:pPr>
        <w:spacing w:after="0" w:line="240" w:lineRule="auto"/>
      </w:pPr>
      <w:r>
        <w:separator/>
      </w:r>
    </w:p>
  </w:footnote>
  <w:footnote w:type="continuationSeparator" w:id="0">
    <w:p w:rsidR="003714BF" w:rsidRDefault="003714BF" w:rsidP="0037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873"/>
    <w:multiLevelType w:val="hybridMultilevel"/>
    <w:tmpl w:val="3E0E12BA"/>
    <w:lvl w:ilvl="0" w:tplc="D154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612B"/>
    <w:multiLevelType w:val="hybridMultilevel"/>
    <w:tmpl w:val="D73EFB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89B"/>
    <w:multiLevelType w:val="multilevel"/>
    <w:tmpl w:val="8E7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B00F0"/>
    <w:multiLevelType w:val="multilevel"/>
    <w:tmpl w:val="481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10761"/>
    <w:multiLevelType w:val="multilevel"/>
    <w:tmpl w:val="8C9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D64E7"/>
    <w:multiLevelType w:val="multilevel"/>
    <w:tmpl w:val="6D1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02838"/>
    <w:multiLevelType w:val="hybridMultilevel"/>
    <w:tmpl w:val="736441A0"/>
    <w:lvl w:ilvl="0" w:tplc="6450D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844EE"/>
    <w:multiLevelType w:val="hybridMultilevel"/>
    <w:tmpl w:val="E272C706"/>
    <w:lvl w:ilvl="0" w:tplc="15A602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D7F55"/>
    <w:multiLevelType w:val="multilevel"/>
    <w:tmpl w:val="43A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0287E"/>
    <w:multiLevelType w:val="hybridMultilevel"/>
    <w:tmpl w:val="42460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55FBB"/>
    <w:multiLevelType w:val="multilevel"/>
    <w:tmpl w:val="B47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1"/>
    <w:rsid w:val="00002A43"/>
    <w:rsid w:val="00016765"/>
    <w:rsid w:val="00016E1B"/>
    <w:rsid w:val="0006524E"/>
    <w:rsid w:val="00065806"/>
    <w:rsid w:val="0006610B"/>
    <w:rsid w:val="00075EFF"/>
    <w:rsid w:val="00094F15"/>
    <w:rsid w:val="000A798E"/>
    <w:rsid w:val="000B40FB"/>
    <w:rsid w:val="000C16ED"/>
    <w:rsid w:val="000E4109"/>
    <w:rsid w:val="000F4761"/>
    <w:rsid w:val="000F63BE"/>
    <w:rsid w:val="00127F2C"/>
    <w:rsid w:val="00146E35"/>
    <w:rsid w:val="0017501D"/>
    <w:rsid w:val="001B4D33"/>
    <w:rsid w:val="001C2233"/>
    <w:rsid w:val="001D7B5B"/>
    <w:rsid w:val="001E08A8"/>
    <w:rsid w:val="001F1607"/>
    <w:rsid w:val="00224477"/>
    <w:rsid w:val="002255D8"/>
    <w:rsid w:val="00226619"/>
    <w:rsid w:val="002610F9"/>
    <w:rsid w:val="00273E93"/>
    <w:rsid w:val="002A3879"/>
    <w:rsid w:val="002A54CA"/>
    <w:rsid w:val="002C67D4"/>
    <w:rsid w:val="002D3669"/>
    <w:rsid w:val="002D40FB"/>
    <w:rsid w:val="002E09AC"/>
    <w:rsid w:val="002E106C"/>
    <w:rsid w:val="002E18D0"/>
    <w:rsid w:val="002E7A14"/>
    <w:rsid w:val="002F167E"/>
    <w:rsid w:val="00322058"/>
    <w:rsid w:val="00327A2C"/>
    <w:rsid w:val="003305FA"/>
    <w:rsid w:val="00345537"/>
    <w:rsid w:val="00347BE1"/>
    <w:rsid w:val="0035384E"/>
    <w:rsid w:val="003714BF"/>
    <w:rsid w:val="00374B06"/>
    <w:rsid w:val="003842C8"/>
    <w:rsid w:val="00390B7D"/>
    <w:rsid w:val="003B468F"/>
    <w:rsid w:val="003C242B"/>
    <w:rsid w:val="003C4D0D"/>
    <w:rsid w:val="003D01A9"/>
    <w:rsid w:val="003E39AA"/>
    <w:rsid w:val="003F6A20"/>
    <w:rsid w:val="00402A15"/>
    <w:rsid w:val="004036FC"/>
    <w:rsid w:val="00430BD2"/>
    <w:rsid w:val="0044548F"/>
    <w:rsid w:val="0045491A"/>
    <w:rsid w:val="00455675"/>
    <w:rsid w:val="0045618D"/>
    <w:rsid w:val="00456FF9"/>
    <w:rsid w:val="00462775"/>
    <w:rsid w:val="00482FA2"/>
    <w:rsid w:val="004975BE"/>
    <w:rsid w:val="004A4F4B"/>
    <w:rsid w:val="004B1661"/>
    <w:rsid w:val="004C6642"/>
    <w:rsid w:val="004D3E7D"/>
    <w:rsid w:val="004D40ED"/>
    <w:rsid w:val="004E0AD6"/>
    <w:rsid w:val="005162E8"/>
    <w:rsid w:val="00520722"/>
    <w:rsid w:val="0057107F"/>
    <w:rsid w:val="00577761"/>
    <w:rsid w:val="005818C7"/>
    <w:rsid w:val="0058334D"/>
    <w:rsid w:val="0058411D"/>
    <w:rsid w:val="00590D44"/>
    <w:rsid w:val="00595B17"/>
    <w:rsid w:val="00597B31"/>
    <w:rsid w:val="00597B85"/>
    <w:rsid w:val="005A7D41"/>
    <w:rsid w:val="005B2259"/>
    <w:rsid w:val="005B4483"/>
    <w:rsid w:val="005B55C8"/>
    <w:rsid w:val="005C159E"/>
    <w:rsid w:val="005E2268"/>
    <w:rsid w:val="005F21F7"/>
    <w:rsid w:val="00644516"/>
    <w:rsid w:val="00661F16"/>
    <w:rsid w:val="00671A16"/>
    <w:rsid w:val="006840BD"/>
    <w:rsid w:val="006F0A88"/>
    <w:rsid w:val="007010D0"/>
    <w:rsid w:val="00763B9C"/>
    <w:rsid w:val="00764EAD"/>
    <w:rsid w:val="0077461B"/>
    <w:rsid w:val="00791B92"/>
    <w:rsid w:val="00793F38"/>
    <w:rsid w:val="007A58C3"/>
    <w:rsid w:val="007B4548"/>
    <w:rsid w:val="007C2E60"/>
    <w:rsid w:val="007C4069"/>
    <w:rsid w:val="007C6C17"/>
    <w:rsid w:val="007E6782"/>
    <w:rsid w:val="007F5AB6"/>
    <w:rsid w:val="007F5B8A"/>
    <w:rsid w:val="00801BAF"/>
    <w:rsid w:val="00831377"/>
    <w:rsid w:val="00832F70"/>
    <w:rsid w:val="00852CBE"/>
    <w:rsid w:val="008546F5"/>
    <w:rsid w:val="00865C96"/>
    <w:rsid w:val="008662ED"/>
    <w:rsid w:val="00871F85"/>
    <w:rsid w:val="00877C53"/>
    <w:rsid w:val="00884221"/>
    <w:rsid w:val="008A183F"/>
    <w:rsid w:val="008A4FA8"/>
    <w:rsid w:val="008B12A6"/>
    <w:rsid w:val="008D07DA"/>
    <w:rsid w:val="008D36D7"/>
    <w:rsid w:val="008E3B19"/>
    <w:rsid w:val="008E44F2"/>
    <w:rsid w:val="009269A3"/>
    <w:rsid w:val="00932791"/>
    <w:rsid w:val="00942A96"/>
    <w:rsid w:val="009438AA"/>
    <w:rsid w:val="00947A16"/>
    <w:rsid w:val="00965558"/>
    <w:rsid w:val="00974297"/>
    <w:rsid w:val="00990A71"/>
    <w:rsid w:val="009927CC"/>
    <w:rsid w:val="00995960"/>
    <w:rsid w:val="00995F37"/>
    <w:rsid w:val="009964A8"/>
    <w:rsid w:val="009A40FF"/>
    <w:rsid w:val="009B7843"/>
    <w:rsid w:val="009D7F8C"/>
    <w:rsid w:val="009E32C3"/>
    <w:rsid w:val="009E5253"/>
    <w:rsid w:val="00A109E9"/>
    <w:rsid w:val="00A14798"/>
    <w:rsid w:val="00A23221"/>
    <w:rsid w:val="00A249D4"/>
    <w:rsid w:val="00A2784A"/>
    <w:rsid w:val="00A4706E"/>
    <w:rsid w:val="00A546F1"/>
    <w:rsid w:val="00A807A5"/>
    <w:rsid w:val="00AA4519"/>
    <w:rsid w:val="00AA7108"/>
    <w:rsid w:val="00AB6C40"/>
    <w:rsid w:val="00AC07A2"/>
    <w:rsid w:val="00AC75D4"/>
    <w:rsid w:val="00AE009B"/>
    <w:rsid w:val="00AE46E8"/>
    <w:rsid w:val="00AF1251"/>
    <w:rsid w:val="00AF468D"/>
    <w:rsid w:val="00B00ECD"/>
    <w:rsid w:val="00B04E20"/>
    <w:rsid w:val="00B141C4"/>
    <w:rsid w:val="00B36DDA"/>
    <w:rsid w:val="00B423C0"/>
    <w:rsid w:val="00B510B8"/>
    <w:rsid w:val="00B54561"/>
    <w:rsid w:val="00B65795"/>
    <w:rsid w:val="00B74E9F"/>
    <w:rsid w:val="00B817B3"/>
    <w:rsid w:val="00B85CBA"/>
    <w:rsid w:val="00B945D7"/>
    <w:rsid w:val="00B96EF3"/>
    <w:rsid w:val="00BA3782"/>
    <w:rsid w:val="00BA3A6F"/>
    <w:rsid w:val="00BF360F"/>
    <w:rsid w:val="00C1721C"/>
    <w:rsid w:val="00C26EFD"/>
    <w:rsid w:val="00C34056"/>
    <w:rsid w:val="00C53B63"/>
    <w:rsid w:val="00C63CCD"/>
    <w:rsid w:val="00C670F1"/>
    <w:rsid w:val="00C67F50"/>
    <w:rsid w:val="00CB6D8E"/>
    <w:rsid w:val="00CC620D"/>
    <w:rsid w:val="00CD575E"/>
    <w:rsid w:val="00CE28F0"/>
    <w:rsid w:val="00CF561A"/>
    <w:rsid w:val="00CF6BCE"/>
    <w:rsid w:val="00D0011F"/>
    <w:rsid w:val="00D13D1C"/>
    <w:rsid w:val="00D174F2"/>
    <w:rsid w:val="00D515ED"/>
    <w:rsid w:val="00D77E90"/>
    <w:rsid w:val="00D846EA"/>
    <w:rsid w:val="00D96643"/>
    <w:rsid w:val="00DA140E"/>
    <w:rsid w:val="00DA740D"/>
    <w:rsid w:val="00DB051C"/>
    <w:rsid w:val="00DC21CB"/>
    <w:rsid w:val="00DD6E0C"/>
    <w:rsid w:val="00DE5D3D"/>
    <w:rsid w:val="00E10073"/>
    <w:rsid w:val="00E12D5C"/>
    <w:rsid w:val="00E1733B"/>
    <w:rsid w:val="00EA1C2E"/>
    <w:rsid w:val="00EC24F2"/>
    <w:rsid w:val="00EC6E79"/>
    <w:rsid w:val="00EE6F7B"/>
    <w:rsid w:val="00EF7454"/>
    <w:rsid w:val="00F0152C"/>
    <w:rsid w:val="00F05573"/>
    <w:rsid w:val="00F119AC"/>
    <w:rsid w:val="00F4150E"/>
    <w:rsid w:val="00F61D8F"/>
    <w:rsid w:val="00FA3053"/>
    <w:rsid w:val="00FA5FBE"/>
    <w:rsid w:val="00FB2607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46F1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546F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2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83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ternalclassa001b537185142999974a70f0db15dfb">
    <w:name w:val="externalclassa001b537185142999974a70f0db15dfb"/>
    <w:basedOn w:val="Navaden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4BF"/>
  </w:style>
  <w:style w:type="paragraph" w:styleId="Noga">
    <w:name w:val="footer"/>
    <w:basedOn w:val="Navaden"/>
    <w:link w:val="Nog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4BF"/>
  </w:style>
  <w:style w:type="paragraph" w:customStyle="1" w:styleId="EMAPREDNASLOV">
    <w:name w:val="EMA PREDNASLOV"/>
    <w:basedOn w:val="Navaden"/>
    <w:link w:val="EMAPREDNASLOVZnak"/>
    <w:qFormat/>
    <w:rsid w:val="00B945D7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EMAPREDNASLOVZnak">
    <w:name w:val="EMA PREDNASLOV Znak"/>
    <w:link w:val="EMAPREDNASLOV"/>
    <w:rsid w:val="00B945D7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46F1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546F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2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83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ternalclassa001b537185142999974a70f0db15dfb">
    <w:name w:val="externalclassa001b537185142999974a70f0db15dfb"/>
    <w:basedOn w:val="Navaden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4BF"/>
  </w:style>
  <w:style w:type="paragraph" w:styleId="Noga">
    <w:name w:val="footer"/>
    <w:basedOn w:val="Navaden"/>
    <w:link w:val="Nog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4BF"/>
  </w:style>
  <w:style w:type="paragraph" w:customStyle="1" w:styleId="EMAPREDNASLOV">
    <w:name w:val="EMA PREDNASLOV"/>
    <w:basedOn w:val="Navaden"/>
    <w:link w:val="EMAPREDNASLOVZnak"/>
    <w:qFormat/>
    <w:rsid w:val="00B945D7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EMAPREDNASLOVZnak">
    <w:name w:val="EMA PREDNASLOV Znak"/>
    <w:link w:val="EMAPREDNASLOV"/>
    <w:rsid w:val="00B945D7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.svrk@gov.si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-skladi.si/portal/sl/ekp/izvajanje/izvedbeni-nacrt-operativnega-programa-za-izvajanje-evropske-kohezijske-politike-za-programsko-obdobje-2014-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akisek</dc:creator>
  <cp:lastModifiedBy>Tanja Gostinčar</cp:lastModifiedBy>
  <cp:revision>30</cp:revision>
  <cp:lastPrinted>2017-08-21T08:30:00Z</cp:lastPrinted>
  <dcterms:created xsi:type="dcterms:W3CDTF">2017-10-20T10:09:00Z</dcterms:created>
  <dcterms:modified xsi:type="dcterms:W3CDTF">2018-10-02T08:35:00Z</dcterms:modified>
</cp:coreProperties>
</file>