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84D22" w14:textId="48F9A50D" w:rsidR="001966AD" w:rsidRDefault="001966AD" w:rsidP="00720E72">
      <w:pPr>
        <w:spacing w:before="0" w:after="0" w:line="276" w:lineRule="auto"/>
        <w:rPr>
          <w:rFonts w:asciiTheme="minorHAnsi" w:hAnsiTheme="minorHAnsi" w:cstheme="minorHAnsi"/>
          <w:b/>
          <w:caps/>
          <w:sz w:val="32"/>
          <w:szCs w:val="32"/>
        </w:rPr>
      </w:pPr>
      <w:bookmarkStart w:id="0" w:name="_GoBack"/>
      <w:bookmarkEnd w:id="0"/>
    </w:p>
    <w:p w14:paraId="7444A823" w14:textId="77777777" w:rsidR="001966AD" w:rsidRDefault="001966AD" w:rsidP="00720E72">
      <w:pPr>
        <w:spacing w:before="0" w:after="0" w:line="276" w:lineRule="auto"/>
        <w:rPr>
          <w:rFonts w:asciiTheme="minorHAnsi" w:hAnsiTheme="minorHAnsi" w:cstheme="minorHAnsi"/>
          <w:b/>
          <w:caps/>
          <w:sz w:val="32"/>
          <w:szCs w:val="32"/>
        </w:rPr>
      </w:pPr>
    </w:p>
    <w:p w14:paraId="0A590B27" w14:textId="77777777" w:rsidR="001966AD" w:rsidRDefault="001966AD" w:rsidP="00720E72">
      <w:pPr>
        <w:spacing w:before="0" w:after="0" w:line="276" w:lineRule="auto"/>
        <w:rPr>
          <w:rFonts w:asciiTheme="minorHAnsi" w:hAnsiTheme="minorHAnsi" w:cstheme="minorHAnsi"/>
          <w:b/>
          <w:caps/>
          <w:sz w:val="32"/>
          <w:szCs w:val="32"/>
        </w:rPr>
      </w:pPr>
    </w:p>
    <w:p w14:paraId="53638139" w14:textId="77777777" w:rsidR="001966AD" w:rsidRDefault="001966AD" w:rsidP="00720E72">
      <w:pPr>
        <w:spacing w:before="0" w:after="0" w:line="276" w:lineRule="auto"/>
        <w:rPr>
          <w:rFonts w:asciiTheme="minorHAnsi" w:hAnsiTheme="minorHAnsi" w:cstheme="minorHAnsi"/>
          <w:b/>
          <w:caps/>
          <w:sz w:val="32"/>
          <w:szCs w:val="32"/>
        </w:rPr>
      </w:pPr>
    </w:p>
    <w:p w14:paraId="73C3DCC9" w14:textId="77777777" w:rsidR="001966AD" w:rsidRDefault="001966AD" w:rsidP="00720E72">
      <w:pPr>
        <w:spacing w:before="0" w:after="0" w:line="276" w:lineRule="auto"/>
        <w:rPr>
          <w:rFonts w:asciiTheme="minorHAnsi" w:hAnsiTheme="minorHAnsi" w:cstheme="minorHAnsi"/>
          <w:b/>
          <w:caps/>
          <w:sz w:val="32"/>
          <w:szCs w:val="32"/>
        </w:rPr>
      </w:pPr>
    </w:p>
    <w:p w14:paraId="5F5DBAD7" w14:textId="77777777" w:rsidR="001966AD" w:rsidRDefault="001966AD" w:rsidP="00720E72">
      <w:pPr>
        <w:spacing w:before="0" w:after="0" w:line="276" w:lineRule="auto"/>
        <w:rPr>
          <w:rFonts w:asciiTheme="minorHAnsi" w:hAnsiTheme="minorHAnsi" w:cstheme="minorHAnsi"/>
          <w:b/>
          <w:caps/>
          <w:sz w:val="32"/>
          <w:szCs w:val="32"/>
        </w:rPr>
      </w:pPr>
    </w:p>
    <w:p w14:paraId="49ADA7A5" w14:textId="77777777" w:rsidR="001966AD" w:rsidRDefault="001966AD" w:rsidP="00720E72">
      <w:pPr>
        <w:spacing w:before="0" w:after="0" w:line="276" w:lineRule="auto"/>
        <w:rPr>
          <w:rFonts w:asciiTheme="minorHAnsi" w:hAnsiTheme="minorHAnsi" w:cstheme="minorHAnsi"/>
          <w:b/>
          <w:caps/>
          <w:sz w:val="32"/>
          <w:szCs w:val="32"/>
        </w:rPr>
      </w:pPr>
    </w:p>
    <w:p w14:paraId="0426EAEC" w14:textId="77777777" w:rsidR="001966AD" w:rsidRDefault="001966AD" w:rsidP="00720E72">
      <w:pPr>
        <w:spacing w:before="0" w:after="0" w:line="276" w:lineRule="auto"/>
        <w:rPr>
          <w:rFonts w:asciiTheme="minorHAnsi" w:hAnsiTheme="minorHAnsi" w:cstheme="minorHAnsi"/>
          <w:b/>
          <w:caps/>
          <w:sz w:val="32"/>
          <w:szCs w:val="32"/>
        </w:rPr>
      </w:pPr>
    </w:p>
    <w:p w14:paraId="21CEEF20" w14:textId="77777777" w:rsidR="001966AD" w:rsidRDefault="001966AD" w:rsidP="00720E72">
      <w:pPr>
        <w:spacing w:before="0" w:after="0" w:line="276" w:lineRule="auto"/>
        <w:rPr>
          <w:rFonts w:asciiTheme="minorHAnsi" w:hAnsiTheme="minorHAnsi" w:cstheme="minorHAnsi"/>
          <w:b/>
          <w:caps/>
          <w:sz w:val="32"/>
          <w:szCs w:val="32"/>
        </w:rPr>
      </w:pPr>
    </w:p>
    <w:p w14:paraId="3BC0651E" w14:textId="77777777" w:rsidR="001966AD" w:rsidRDefault="001966AD" w:rsidP="00720E72">
      <w:pPr>
        <w:spacing w:before="0" w:after="0" w:line="276" w:lineRule="auto"/>
        <w:rPr>
          <w:rFonts w:asciiTheme="minorHAnsi" w:hAnsiTheme="minorHAnsi" w:cstheme="minorHAnsi"/>
          <w:b/>
          <w:caps/>
          <w:sz w:val="32"/>
          <w:szCs w:val="32"/>
        </w:rPr>
      </w:pPr>
    </w:p>
    <w:p w14:paraId="4D6CFE84" w14:textId="77777777" w:rsidR="001966AD" w:rsidRDefault="001966AD" w:rsidP="00720E72">
      <w:pPr>
        <w:spacing w:before="0" w:after="0" w:line="276" w:lineRule="auto"/>
        <w:rPr>
          <w:rFonts w:asciiTheme="minorHAnsi" w:hAnsiTheme="minorHAnsi" w:cstheme="minorHAnsi"/>
          <w:b/>
          <w:caps/>
          <w:sz w:val="32"/>
          <w:szCs w:val="32"/>
        </w:rPr>
      </w:pPr>
    </w:p>
    <w:p w14:paraId="581731BE" w14:textId="77777777" w:rsidR="001966AD" w:rsidRDefault="001966AD" w:rsidP="00720E72">
      <w:pPr>
        <w:spacing w:before="0" w:after="0" w:line="276" w:lineRule="auto"/>
        <w:rPr>
          <w:rFonts w:asciiTheme="minorHAnsi" w:hAnsiTheme="minorHAnsi" w:cstheme="minorHAnsi"/>
          <w:b/>
          <w:caps/>
          <w:sz w:val="32"/>
          <w:szCs w:val="32"/>
        </w:rPr>
      </w:pPr>
    </w:p>
    <w:p w14:paraId="72E93B8A" w14:textId="3AA7F2B7" w:rsidR="004742D2" w:rsidRPr="001966AD" w:rsidRDefault="004742D2" w:rsidP="00720E72">
      <w:pPr>
        <w:spacing w:before="0" w:after="0" w:line="276" w:lineRule="auto"/>
        <w:rPr>
          <w:rFonts w:asciiTheme="minorHAnsi" w:eastAsia="Calibri" w:hAnsiTheme="minorHAnsi" w:cstheme="minorHAnsi"/>
          <w:b/>
          <w:caps/>
          <w:sz w:val="32"/>
          <w:szCs w:val="32"/>
        </w:rPr>
      </w:pPr>
      <w:r w:rsidRPr="001966AD">
        <w:rPr>
          <w:rFonts w:asciiTheme="minorHAnsi" w:hAnsiTheme="minorHAnsi" w:cstheme="minorHAnsi"/>
          <w:b/>
          <w:caps/>
          <w:sz w:val="32"/>
          <w:szCs w:val="32"/>
        </w:rPr>
        <w:t>Območni načrt za pravičn</w:t>
      </w:r>
      <w:r w:rsidR="006777C3" w:rsidRPr="00CC2DC7">
        <w:rPr>
          <w:rFonts w:asciiTheme="minorHAnsi" w:hAnsiTheme="minorHAnsi" w:cstheme="minorHAnsi"/>
          <w:b/>
          <w:caps/>
          <w:sz w:val="32"/>
          <w:szCs w:val="32"/>
        </w:rPr>
        <w:t>I</w:t>
      </w:r>
      <w:r w:rsidRPr="001966AD">
        <w:rPr>
          <w:rFonts w:asciiTheme="minorHAnsi" w:hAnsiTheme="minorHAnsi" w:cstheme="minorHAnsi"/>
          <w:b/>
          <w:caps/>
          <w:sz w:val="32"/>
          <w:szCs w:val="32"/>
        </w:rPr>
        <w:t xml:space="preserve"> prehod Savinjsko šaleške premogovne regije</w:t>
      </w:r>
    </w:p>
    <w:p w14:paraId="789E1F48" w14:textId="0811109E" w:rsidR="001966AD" w:rsidRDefault="001966AD">
      <w:pPr>
        <w:spacing w:before="0" w:after="160" w:line="259" w:lineRule="auto"/>
        <w:jc w:val="left"/>
        <w:rPr>
          <w:rFonts w:asciiTheme="minorHAnsi" w:eastAsia="Calibri" w:hAnsiTheme="minorHAnsi" w:cstheme="minorHAnsi"/>
          <w:b/>
          <w:caps/>
          <w:sz w:val="22"/>
        </w:rPr>
      </w:pPr>
      <w:r>
        <w:rPr>
          <w:rFonts w:asciiTheme="minorHAnsi" w:eastAsia="Calibri" w:hAnsiTheme="minorHAnsi" w:cstheme="minorHAnsi"/>
          <w:b/>
          <w:caps/>
          <w:sz w:val="22"/>
        </w:rPr>
        <w:br w:type="page"/>
      </w:r>
    </w:p>
    <w:p w14:paraId="11B726C3" w14:textId="77777777" w:rsidR="004742D2" w:rsidRPr="008B037E" w:rsidRDefault="004742D2" w:rsidP="00720E72">
      <w:pPr>
        <w:spacing w:before="0" w:after="0" w:line="276" w:lineRule="auto"/>
        <w:rPr>
          <w:rFonts w:asciiTheme="minorHAnsi" w:eastAsia="Calibri" w:hAnsiTheme="minorHAnsi" w:cstheme="minorHAnsi"/>
          <w:b/>
          <w:caps/>
          <w:sz w:val="22"/>
        </w:rPr>
      </w:pPr>
    </w:p>
    <w:p w14:paraId="6522FAA0" w14:textId="77777777" w:rsidR="004629A9" w:rsidRPr="008B037E" w:rsidRDefault="004629A9" w:rsidP="00720E72">
      <w:pPr>
        <w:numPr>
          <w:ilvl w:val="0"/>
          <w:numId w:val="2"/>
        </w:numPr>
        <w:spacing w:before="0" w:after="0" w:line="276" w:lineRule="auto"/>
        <w:rPr>
          <w:rFonts w:asciiTheme="minorHAnsi" w:eastAsia="Times New Roman" w:hAnsiTheme="minorHAnsi" w:cstheme="minorHAnsi"/>
          <w:b/>
          <w:iCs/>
          <w:sz w:val="22"/>
        </w:rPr>
      </w:pPr>
      <w:r w:rsidRPr="008B037E">
        <w:rPr>
          <w:rFonts w:asciiTheme="minorHAnsi" w:hAnsiTheme="minorHAnsi" w:cstheme="minorHAnsi"/>
          <w:b/>
          <w:iCs/>
          <w:sz w:val="22"/>
        </w:rPr>
        <w:t>Osnutek procesa prehoda in opredelitev najbolj prizadetih območij v državi članici</w:t>
      </w:r>
    </w:p>
    <w:tbl>
      <w:tblPr>
        <w:tblStyle w:val="Tabelamrea"/>
        <w:tblW w:w="0" w:type="auto"/>
        <w:tblInd w:w="0" w:type="dxa"/>
        <w:tblLook w:val="04A0" w:firstRow="1" w:lastRow="0" w:firstColumn="1" w:lastColumn="0" w:noHBand="0" w:noVBand="1"/>
      </w:tblPr>
      <w:tblGrid>
        <w:gridCol w:w="9062"/>
      </w:tblGrid>
      <w:tr w:rsidR="004742D2" w:rsidRPr="008B037E" w14:paraId="321A6D50" w14:textId="77777777" w:rsidTr="00B61E23">
        <w:trPr>
          <w:trHeight w:val="306"/>
        </w:trPr>
        <w:tc>
          <w:tcPr>
            <w:tcW w:w="9288" w:type="dxa"/>
            <w:tcBorders>
              <w:top w:val="single" w:sz="4" w:space="0" w:color="auto"/>
              <w:left w:val="single" w:sz="4" w:space="0" w:color="auto"/>
              <w:bottom w:val="single" w:sz="4" w:space="0" w:color="auto"/>
              <w:right w:val="single" w:sz="4" w:space="0" w:color="auto"/>
            </w:tcBorders>
            <w:hideMark/>
          </w:tcPr>
          <w:p w14:paraId="09F5B481"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Besedilno polje [12 000]</w:t>
            </w:r>
          </w:p>
        </w:tc>
      </w:tr>
    </w:tbl>
    <w:p w14:paraId="3AE07599" w14:textId="77777777" w:rsidR="004742D2" w:rsidRPr="008B037E" w:rsidRDefault="004742D2" w:rsidP="00720E72">
      <w:pPr>
        <w:spacing w:before="0" w:after="0" w:line="276" w:lineRule="auto"/>
        <w:ind w:left="502"/>
        <w:rPr>
          <w:rFonts w:asciiTheme="minorHAnsi" w:eastAsia="Times New Roman" w:hAnsiTheme="minorHAnsi" w:cstheme="minorHAnsi"/>
          <w:b/>
          <w:iCs/>
          <w:sz w:val="22"/>
        </w:rPr>
      </w:pPr>
    </w:p>
    <w:p w14:paraId="500C38C3" w14:textId="6A2975E6" w:rsidR="004742D2" w:rsidRPr="008B037E" w:rsidRDefault="004742D2" w:rsidP="00720E72">
      <w:pPr>
        <w:pStyle w:val="Odstavekseznama"/>
        <w:spacing w:after="0"/>
        <w:ind w:left="750"/>
        <w:jc w:val="both"/>
        <w:rPr>
          <w:rFonts w:cstheme="minorHAnsi"/>
          <w:highlight w:val="yellow"/>
        </w:rPr>
      </w:pPr>
      <w:r w:rsidRPr="008B037E">
        <w:rPr>
          <w:rFonts w:cstheme="minorHAnsi"/>
          <w:i/>
        </w:rPr>
        <w:t xml:space="preserve">Sklic: člen </w:t>
      </w:r>
      <w:r w:rsidR="00A356E3" w:rsidRPr="008B037E">
        <w:rPr>
          <w:rFonts w:cstheme="minorHAnsi"/>
          <w:i/>
        </w:rPr>
        <w:t>11</w:t>
      </w:r>
      <w:r w:rsidRPr="008B037E">
        <w:rPr>
          <w:rFonts w:cstheme="minorHAnsi"/>
          <w:i/>
        </w:rPr>
        <w:t>(2)(a)</w:t>
      </w:r>
    </w:p>
    <w:tbl>
      <w:tblPr>
        <w:tblStyle w:val="Tabelamrea"/>
        <w:tblW w:w="0" w:type="auto"/>
        <w:tblInd w:w="0" w:type="dxa"/>
        <w:tblLook w:val="04A0" w:firstRow="1" w:lastRow="0" w:firstColumn="1" w:lastColumn="0" w:noHBand="0" w:noVBand="1"/>
      </w:tblPr>
      <w:tblGrid>
        <w:gridCol w:w="9062"/>
      </w:tblGrid>
      <w:tr w:rsidR="004742D2" w:rsidRPr="008B037E" w14:paraId="5E08B285" w14:textId="77777777" w:rsidTr="001D68DF">
        <w:trPr>
          <w:trHeight w:val="699"/>
        </w:trPr>
        <w:tc>
          <w:tcPr>
            <w:tcW w:w="9288" w:type="dxa"/>
            <w:tcBorders>
              <w:top w:val="single" w:sz="4" w:space="0" w:color="auto"/>
              <w:left w:val="single" w:sz="4" w:space="0" w:color="auto"/>
              <w:bottom w:val="single" w:sz="4" w:space="0" w:color="auto"/>
              <w:right w:val="single" w:sz="4" w:space="0" w:color="auto"/>
            </w:tcBorders>
            <w:hideMark/>
          </w:tcPr>
          <w:p w14:paraId="7FEA63EF"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xml:space="preserve">1.1. Osnutek pričakovanega prehoda na podnebno nevtralno gospodarstvo v skladu s cilji nacionalnih energetskih in podnebnih načrtov ter drugimi obstoječimi načrti za prehod s časovnico za prenehanje ali zmanjševanje dejavnosti, kot so rudarjenje premoga in lignita ali proizvodnja, ki uporablja električno energijo iz premoga. </w:t>
            </w:r>
          </w:p>
        </w:tc>
      </w:tr>
    </w:tbl>
    <w:p w14:paraId="0EB58B56" w14:textId="77777777" w:rsidR="004742D2" w:rsidRPr="008B037E" w:rsidRDefault="004742D2" w:rsidP="00720E72">
      <w:pPr>
        <w:pStyle w:val="Odstavekseznama"/>
        <w:spacing w:after="0"/>
        <w:ind w:left="750"/>
        <w:jc w:val="both"/>
        <w:rPr>
          <w:rFonts w:cstheme="minorHAnsi"/>
          <w:highlight w:val="yellow"/>
        </w:rPr>
      </w:pPr>
    </w:p>
    <w:p w14:paraId="07D5B18C" w14:textId="39225ADE" w:rsidR="00B9207E" w:rsidRPr="008B037E" w:rsidRDefault="00B9207E" w:rsidP="00720E72">
      <w:pPr>
        <w:spacing w:before="0" w:after="0" w:line="276" w:lineRule="auto"/>
        <w:rPr>
          <w:rFonts w:asciiTheme="minorHAnsi" w:hAnsiTheme="minorHAnsi" w:cstheme="minorHAnsi"/>
          <w:sz w:val="22"/>
        </w:rPr>
      </w:pPr>
    </w:p>
    <w:p w14:paraId="258F7D9A" w14:textId="4F49F383" w:rsidR="003D11EB" w:rsidRPr="008B037E" w:rsidRDefault="003D11EB" w:rsidP="003D11EB">
      <w:pPr>
        <w:spacing w:before="0" w:after="0" w:line="276" w:lineRule="auto"/>
        <w:rPr>
          <w:rFonts w:asciiTheme="minorHAnsi" w:hAnsiTheme="minorHAnsi" w:cstheme="minorHAnsi"/>
          <w:sz w:val="22"/>
        </w:rPr>
      </w:pPr>
      <w:r w:rsidRPr="008B037E">
        <w:rPr>
          <w:rFonts w:asciiTheme="minorHAnsi" w:hAnsiTheme="minorHAnsi" w:cstheme="minorHAnsi"/>
          <w:sz w:val="22"/>
        </w:rPr>
        <w:t>V okviru Poročila o semestru 2020 je Evropska komisija opredelila približno 100 regij ali območij, ki so upravičena do "pravičnega prehoda". Razlog predstavlja odvisnost območja in pričakovano prilagajanje delavcev ali izgube delovnih mest v proizvodnji in uporabi fosilnih goriv ali proizvodnji z največjo intenzivnostjo toplogrednih plinov. Med temi regijami sta bili opredeljeni dve slovenski premogovni regiji, Zasavska in Savinjsko-Šaleška</w:t>
      </w:r>
      <w:r w:rsidR="007A34ED" w:rsidRPr="008B037E">
        <w:rPr>
          <w:rFonts w:asciiTheme="minorHAnsi" w:hAnsiTheme="minorHAnsi" w:cstheme="minorHAnsi"/>
          <w:sz w:val="22"/>
        </w:rPr>
        <w:t xml:space="preserve"> (SAŠA)</w:t>
      </w:r>
      <w:r w:rsidRPr="008B037E">
        <w:rPr>
          <w:rFonts w:asciiTheme="minorHAnsi" w:hAnsiTheme="minorHAnsi" w:cstheme="minorHAnsi"/>
          <w:sz w:val="22"/>
        </w:rPr>
        <w:t xml:space="preserve">. Na obe območji sta v preteklosti močno vplivali tradicija izkopavanja premoga in proizvodnja električne energije iz tega fosilnega goriva. </w:t>
      </w:r>
    </w:p>
    <w:p w14:paraId="0CD254B1" w14:textId="77777777" w:rsidR="003D11EB" w:rsidRPr="008B037E" w:rsidRDefault="003D11EB" w:rsidP="003D11EB">
      <w:pPr>
        <w:spacing w:before="0" w:after="0" w:line="276" w:lineRule="auto"/>
        <w:rPr>
          <w:rFonts w:asciiTheme="minorHAnsi" w:hAnsiTheme="minorHAnsi" w:cstheme="minorHAnsi"/>
          <w:sz w:val="22"/>
        </w:rPr>
      </w:pPr>
    </w:p>
    <w:p w14:paraId="7C07B24F" w14:textId="77777777" w:rsidR="003D11EB" w:rsidRPr="008B037E" w:rsidRDefault="003D11EB" w:rsidP="003D11EB">
      <w:pPr>
        <w:spacing w:before="0" w:after="0" w:line="276" w:lineRule="auto"/>
        <w:rPr>
          <w:rFonts w:asciiTheme="minorHAnsi" w:hAnsiTheme="minorHAnsi" w:cstheme="minorHAnsi"/>
          <w:sz w:val="22"/>
        </w:rPr>
      </w:pPr>
      <w:r w:rsidRPr="008B037E">
        <w:rPr>
          <w:rFonts w:asciiTheme="minorHAnsi" w:hAnsiTheme="minorHAnsi" w:cstheme="minorHAnsi"/>
          <w:sz w:val="22"/>
        </w:rPr>
        <w:t xml:space="preserve">Mejnike prehoda na podnebno nevtralno gospodarstvo postavljata Nacionalni energetsko podnebni načrt (v nadaljevanju: NEPN) in Nacionalna strategija za izstop iz premoga in prestrukturiranje premogovnih regij (v nadaljevanju: NSPP). NEPN določa, </w:t>
      </w:r>
    </w:p>
    <w:p w14:paraId="4E5080C0" w14:textId="77777777" w:rsidR="003D11EB" w:rsidRPr="008B037E" w:rsidRDefault="003D11EB" w:rsidP="00253C13">
      <w:pPr>
        <w:spacing w:before="0" w:after="0" w:line="276" w:lineRule="auto"/>
        <w:ind w:left="284" w:hanging="284"/>
        <w:rPr>
          <w:rFonts w:asciiTheme="minorHAnsi" w:hAnsiTheme="minorHAnsi" w:cstheme="minorHAnsi"/>
          <w:sz w:val="22"/>
        </w:rPr>
      </w:pPr>
      <w:r w:rsidRPr="008B037E">
        <w:rPr>
          <w:rFonts w:asciiTheme="minorHAnsi" w:hAnsiTheme="minorHAnsi" w:cstheme="minorHAnsi"/>
          <w:sz w:val="22"/>
        </w:rPr>
        <w:t>•</w:t>
      </w:r>
      <w:r w:rsidRPr="008B037E">
        <w:rPr>
          <w:rFonts w:asciiTheme="minorHAnsi" w:hAnsiTheme="minorHAnsi" w:cstheme="minorHAnsi"/>
          <w:sz w:val="22"/>
        </w:rPr>
        <w:tab/>
        <w:t>da se najkasneje do leta 2030 z zaustavitvijo bloka 5 v Termoelektrarni Šoštanj (v nadaljevanju TEŠ) zmanjša izkop lignita, in da se v Termoelektrarni toplarni Ljubljana opusti raba uvoženega premoga;</w:t>
      </w:r>
    </w:p>
    <w:p w14:paraId="01682FED" w14:textId="77777777" w:rsidR="003D11EB" w:rsidRPr="008B037E" w:rsidRDefault="003D11EB" w:rsidP="00253C13">
      <w:pPr>
        <w:spacing w:before="0" w:after="0" w:line="276" w:lineRule="auto"/>
        <w:ind w:left="284" w:hanging="284"/>
        <w:rPr>
          <w:rFonts w:asciiTheme="minorHAnsi" w:hAnsiTheme="minorHAnsi" w:cstheme="minorHAnsi"/>
          <w:sz w:val="22"/>
        </w:rPr>
      </w:pPr>
      <w:r w:rsidRPr="008B037E">
        <w:rPr>
          <w:rFonts w:asciiTheme="minorHAnsi" w:hAnsiTheme="minorHAnsi" w:cstheme="minorHAnsi"/>
          <w:sz w:val="22"/>
        </w:rPr>
        <w:t>•</w:t>
      </w:r>
      <w:r w:rsidRPr="008B037E">
        <w:rPr>
          <w:rFonts w:asciiTheme="minorHAnsi" w:hAnsiTheme="minorHAnsi" w:cstheme="minorHAnsi"/>
          <w:sz w:val="22"/>
        </w:rPr>
        <w:tab/>
        <w:t>da v deležu primarnih virov za proizvodnjo električne energije zmanjšani rabi fosilnih goriv (35 % v letu 2017 na 25 % v letu 2030), ob upoštevanju izboljšane energetske učinkovitosti (35 % do 2030), sledi večja raba obnovljivih virov energije (13 % v 2017 na 23 % v 2030), ohranja pa se delež jedrske energije;</w:t>
      </w:r>
    </w:p>
    <w:p w14:paraId="15035956" w14:textId="77777777" w:rsidR="003D11EB" w:rsidRPr="008B037E" w:rsidRDefault="003D11EB" w:rsidP="00253C13">
      <w:pPr>
        <w:spacing w:before="0" w:line="276" w:lineRule="auto"/>
        <w:ind w:left="284" w:hanging="284"/>
        <w:rPr>
          <w:rFonts w:asciiTheme="minorHAnsi" w:hAnsiTheme="minorHAnsi" w:cstheme="minorHAnsi"/>
          <w:sz w:val="22"/>
        </w:rPr>
      </w:pPr>
      <w:r w:rsidRPr="008B037E">
        <w:rPr>
          <w:rFonts w:asciiTheme="minorHAnsi" w:hAnsiTheme="minorHAnsi" w:cstheme="minorHAnsi"/>
          <w:sz w:val="22"/>
        </w:rPr>
        <w:t>•</w:t>
      </w:r>
      <w:r w:rsidRPr="008B037E">
        <w:rPr>
          <w:rFonts w:asciiTheme="minorHAnsi" w:hAnsiTheme="minorHAnsi" w:cstheme="minorHAnsi"/>
          <w:sz w:val="22"/>
        </w:rPr>
        <w:tab/>
        <w:t xml:space="preserve">da se bo do 2030 proizvodnja električne energije z uporabo domačega premoga – lignita še ohranila. </w:t>
      </w:r>
    </w:p>
    <w:p w14:paraId="3C870199" w14:textId="4496A009" w:rsidR="003D11EB" w:rsidRPr="008B037E" w:rsidRDefault="003D11EB" w:rsidP="003D11EB">
      <w:pPr>
        <w:spacing w:before="0" w:after="0" w:line="276" w:lineRule="auto"/>
        <w:rPr>
          <w:rFonts w:asciiTheme="minorHAnsi" w:hAnsiTheme="minorHAnsi" w:cstheme="minorHAnsi"/>
          <w:sz w:val="22"/>
        </w:rPr>
      </w:pPr>
      <w:r w:rsidRPr="008B037E">
        <w:rPr>
          <w:rFonts w:asciiTheme="minorHAnsi" w:hAnsiTheme="minorHAnsi" w:cstheme="minorHAnsi"/>
          <w:sz w:val="22"/>
        </w:rPr>
        <w:t>NSPP, ki je bila pripravljena na podlagi Celovitega nacionalnega energetskega in podnebnega načrta (NEPN)</w:t>
      </w:r>
      <w:r w:rsidR="00253C13" w:rsidRPr="008B037E">
        <w:rPr>
          <w:rFonts w:asciiTheme="minorHAnsi" w:hAnsiTheme="minorHAnsi" w:cstheme="minorHAnsi"/>
          <w:sz w:val="22"/>
        </w:rPr>
        <w:t>,</w:t>
      </w:r>
      <w:r w:rsidRPr="008B037E">
        <w:rPr>
          <w:rFonts w:asciiTheme="minorHAnsi" w:hAnsiTheme="minorHAnsi" w:cstheme="minorHAnsi"/>
          <w:sz w:val="22"/>
        </w:rPr>
        <w:t xml:space="preserve"> je bila sprejeta januarja 2022. Dokument določa letnico izstopa iz rabe premoga (2033) in ob tem opredeljuje skupno vizijo pravičnega prehoda. Strategija podpira cilje NEPN in je skladna tudi z bolj ambicioznimi cilji EU:</w:t>
      </w:r>
    </w:p>
    <w:p w14:paraId="22552942" w14:textId="77777777" w:rsidR="003D11EB" w:rsidRPr="008B037E" w:rsidRDefault="003D11EB" w:rsidP="00253C13">
      <w:pPr>
        <w:spacing w:before="0" w:after="0" w:line="276" w:lineRule="auto"/>
        <w:ind w:left="284" w:hanging="284"/>
        <w:rPr>
          <w:rFonts w:asciiTheme="minorHAnsi" w:hAnsiTheme="minorHAnsi" w:cstheme="minorHAnsi"/>
          <w:sz w:val="22"/>
        </w:rPr>
      </w:pPr>
      <w:r w:rsidRPr="008B037E">
        <w:rPr>
          <w:rFonts w:asciiTheme="minorHAnsi" w:hAnsiTheme="minorHAnsi" w:cstheme="minorHAnsi"/>
          <w:sz w:val="22"/>
        </w:rPr>
        <w:t>•</w:t>
      </w:r>
      <w:r w:rsidRPr="008B037E">
        <w:rPr>
          <w:rFonts w:asciiTheme="minorHAnsi" w:hAnsiTheme="minorHAnsi" w:cstheme="minorHAnsi"/>
          <w:sz w:val="22"/>
        </w:rPr>
        <w:tab/>
        <w:t xml:space="preserve">da se do 2030 zmanjša domače emisije toplogrednih plinov za 55 % </w:t>
      </w:r>
      <w:r w:rsidRPr="008B037E">
        <w:rPr>
          <w:rStyle w:val="Sprotnaopomba-sklic"/>
          <w:rFonts w:asciiTheme="minorHAnsi" w:hAnsiTheme="minorHAnsi" w:cstheme="minorHAnsi"/>
          <w:sz w:val="22"/>
        </w:rPr>
        <w:footnoteReference w:id="2"/>
      </w:r>
      <w:r w:rsidRPr="008B037E">
        <w:rPr>
          <w:rFonts w:asciiTheme="minorHAnsi" w:hAnsiTheme="minorHAnsi" w:cstheme="minorHAnsi"/>
          <w:sz w:val="22"/>
        </w:rPr>
        <w:t xml:space="preserve"> ;</w:t>
      </w:r>
    </w:p>
    <w:p w14:paraId="381C7C87" w14:textId="77777777" w:rsidR="003D11EB" w:rsidRPr="008B037E" w:rsidRDefault="003D11EB" w:rsidP="00253C13">
      <w:pPr>
        <w:spacing w:before="0" w:line="276" w:lineRule="auto"/>
        <w:ind w:left="284" w:hanging="284"/>
        <w:rPr>
          <w:rFonts w:asciiTheme="minorHAnsi" w:hAnsiTheme="minorHAnsi" w:cstheme="minorHAnsi"/>
          <w:sz w:val="22"/>
        </w:rPr>
      </w:pPr>
      <w:r w:rsidRPr="008B037E">
        <w:rPr>
          <w:rFonts w:asciiTheme="minorHAnsi" w:hAnsiTheme="minorHAnsi" w:cstheme="minorHAnsi"/>
          <w:sz w:val="22"/>
        </w:rPr>
        <w:t>•</w:t>
      </w:r>
      <w:r w:rsidRPr="008B037E">
        <w:rPr>
          <w:rFonts w:asciiTheme="minorHAnsi" w:hAnsiTheme="minorHAnsi" w:cstheme="minorHAnsi"/>
          <w:sz w:val="22"/>
        </w:rPr>
        <w:tab/>
        <w:t xml:space="preserve">da se do leta 2033 dokončno opusti raba premoga tudi v bloku 6 TEŠ. </w:t>
      </w:r>
    </w:p>
    <w:p w14:paraId="37E21FAF" w14:textId="77777777" w:rsidR="003D11EB" w:rsidRPr="008B037E" w:rsidRDefault="003D11EB" w:rsidP="003D11EB">
      <w:pPr>
        <w:spacing w:before="0" w:after="0" w:line="276" w:lineRule="auto"/>
        <w:rPr>
          <w:rFonts w:asciiTheme="minorHAnsi" w:hAnsiTheme="minorHAnsi" w:cstheme="minorHAnsi"/>
          <w:sz w:val="22"/>
        </w:rPr>
      </w:pPr>
      <w:r w:rsidRPr="008B037E">
        <w:rPr>
          <w:rFonts w:asciiTheme="minorHAnsi" w:hAnsiTheme="minorHAnsi" w:cstheme="minorHAnsi"/>
          <w:sz w:val="22"/>
        </w:rPr>
        <w:t>Odločitev glede prenehanja rabe premoga bo vključena v prenovljeni NEPN leta 2024</w:t>
      </w:r>
    </w:p>
    <w:p w14:paraId="79AC9565" w14:textId="1671D2B9" w:rsidR="000B3682" w:rsidRPr="008B037E" w:rsidRDefault="000B3682" w:rsidP="000B3682">
      <w:pPr>
        <w:autoSpaceDE w:val="0"/>
        <w:autoSpaceDN w:val="0"/>
        <w:adjustRightInd w:val="0"/>
        <w:spacing w:before="0" w:after="0"/>
        <w:rPr>
          <w:rFonts w:asciiTheme="minorHAnsi" w:hAnsiTheme="minorHAnsi" w:cstheme="minorHAnsi"/>
          <w:sz w:val="22"/>
        </w:rPr>
      </w:pPr>
    </w:p>
    <w:p w14:paraId="6CEC2A0B" w14:textId="54020973" w:rsidR="000B3682" w:rsidRPr="008B037E" w:rsidRDefault="000347C7" w:rsidP="000B3682">
      <w:pPr>
        <w:autoSpaceDE w:val="0"/>
        <w:autoSpaceDN w:val="0"/>
        <w:adjustRightInd w:val="0"/>
        <w:spacing w:before="0" w:after="0" w:line="276" w:lineRule="auto"/>
        <w:rPr>
          <w:rFonts w:asciiTheme="minorHAnsi" w:hAnsiTheme="minorHAnsi" w:cstheme="minorHAnsi"/>
          <w:sz w:val="22"/>
        </w:rPr>
      </w:pPr>
      <w:r w:rsidRPr="000347C7">
        <w:rPr>
          <w:rFonts w:asciiTheme="minorHAnsi" w:hAnsiTheme="minorHAnsi" w:cstheme="minorHAnsi"/>
          <w:sz w:val="22"/>
        </w:rPr>
        <w:t>Pričakuje se postopno zapiranje Premogovnika Velenje in premogovnih blokov v Termoelektrarni Šoštanj, posledično se zmanjšuje obseg storitev podjetij, ki poslujejo z navedenima gospodarskima družbama.</w:t>
      </w:r>
      <w:r>
        <w:rPr>
          <w:rFonts w:asciiTheme="minorHAnsi" w:hAnsiTheme="minorHAnsi" w:cstheme="minorHAnsi"/>
          <w:sz w:val="22"/>
        </w:rPr>
        <w:t xml:space="preserve"> </w:t>
      </w:r>
      <w:r w:rsidR="000B3682" w:rsidRPr="008B037E">
        <w:rPr>
          <w:rFonts w:asciiTheme="minorHAnsi" w:hAnsiTheme="minorHAnsi" w:cstheme="minorHAnsi"/>
          <w:sz w:val="22"/>
        </w:rPr>
        <w:t xml:space="preserve">NEPN določa, da se najkasneje do leta 2030 z zaustavitvijo bloka 5 v Termoelektrarni Šoštanj (TEŠ) zmanjša izkop lignita,  in da se v Termoelektrarni toplarni Ljubljana opusti raba uvoženega premoga. Natančni časovni načrt dokončne opustitve rabe premoga v bloku 6 TEŠ pa je določen s NSPP </w:t>
      </w:r>
      <w:r w:rsidR="000B3682" w:rsidRPr="008B037E">
        <w:rPr>
          <w:rFonts w:asciiTheme="minorHAnsi" w:hAnsiTheme="minorHAnsi" w:cstheme="minorHAnsi"/>
          <w:sz w:val="22"/>
        </w:rPr>
        <w:lastRenderedPageBreak/>
        <w:t xml:space="preserve">(2033). </w:t>
      </w:r>
      <w:r w:rsidR="00DA1A07" w:rsidRPr="00DA1A07">
        <w:rPr>
          <w:rFonts w:asciiTheme="minorHAnsi" w:hAnsiTheme="minorHAnsi" w:cstheme="minorHAnsi"/>
          <w:sz w:val="22"/>
        </w:rPr>
        <w:t>Vodstvo premogovnika bo po lastni presoji določilo dinamiko zniževanja izkopa premoga do končnega ustavitve na dan 31.12.2033</w:t>
      </w:r>
      <w:r w:rsidR="003E6E33">
        <w:rPr>
          <w:rFonts w:asciiTheme="minorHAnsi" w:hAnsiTheme="minorHAnsi" w:cstheme="minorHAnsi"/>
          <w:sz w:val="22"/>
        </w:rPr>
        <w:t>,</w:t>
      </w:r>
      <w:r w:rsidR="00DA1A07" w:rsidRPr="00DA1A07">
        <w:rPr>
          <w:rFonts w:asciiTheme="minorHAnsi" w:hAnsiTheme="minorHAnsi" w:cstheme="minorHAnsi"/>
          <w:sz w:val="22"/>
        </w:rPr>
        <w:t xml:space="preserve"> kakor tudi reorganizacijo zaposlenih.</w:t>
      </w:r>
      <w:r w:rsidR="00EF2ABE">
        <w:rPr>
          <w:rFonts w:asciiTheme="minorHAnsi" w:hAnsiTheme="minorHAnsi" w:cstheme="minorHAnsi"/>
          <w:sz w:val="22"/>
        </w:rPr>
        <w:t xml:space="preserve"> </w:t>
      </w:r>
      <w:r w:rsidR="000B3682" w:rsidRPr="008B037E">
        <w:rPr>
          <w:rFonts w:asciiTheme="minorHAnsi" w:hAnsiTheme="minorHAnsi" w:cstheme="minorHAnsi"/>
          <w:sz w:val="22"/>
        </w:rPr>
        <w:t xml:space="preserve">Odločitev glede prenehanja rabe premoga bo vključena v prenovljeni NEPN leta 2024. V tem dokumentu je tudi predvideno, da v deležu primarnih virov za proizvodnjo električne energije zmanjšani rabi fosilnih goriv (35 % v letu 2017 na 25 % v letu 2030) ob upoštevanju izboljšane energetske učinkovitosti (35 % do 2030) sledi večja raba obnovljivih virov energije (13 % v 2017 na 23 % v 2030), ohranja pa se delež jedrske energije. NEPN predvideva, da se bo do 2030 proizvodnja električne energije z uporabo domačega premoga – lignita še ohranila. </w:t>
      </w:r>
    </w:p>
    <w:p w14:paraId="1932EC1E" w14:textId="77777777" w:rsidR="00680D62" w:rsidRPr="008B037E" w:rsidRDefault="00680D62" w:rsidP="00720E72">
      <w:pPr>
        <w:spacing w:before="0" w:after="0" w:line="276" w:lineRule="auto"/>
        <w:rPr>
          <w:rFonts w:asciiTheme="minorHAnsi" w:hAnsiTheme="minorHAnsi" w:cstheme="minorHAnsi"/>
          <w:sz w:val="22"/>
        </w:rPr>
      </w:pPr>
    </w:p>
    <w:p w14:paraId="2C08FA83" w14:textId="6D3151EC" w:rsidR="00F84870" w:rsidRPr="008B037E" w:rsidRDefault="00F84870" w:rsidP="00720E72">
      <w:pPr>
        <w:spacing w:before="0" w:after="0" w:line="276" w:lineRule="auto"/>
        <w:rPr>
          <w:rFonts w:asciiTheme="minorHAnsi" w:hAnsiTheme="minorHAnsi" w:cstheme="minorHAnsi"/>
          <w:sz w:val="22"/>
        </w:rPr>
      </w:pPr>
      <w:r w:rsidRPr="008B037E">
        <w:rPr>
          <w:rFonts w:asciiTheme="minorHAnsi" w:hAnsiTheme="minorHAnsi"/>
          <w:sz w:val="22"/>
        </w:rPr>
        <w:t xml:space="preserve">V SAŠA </w:t>
      </w:r>
      <w:r w:rsidR="004D4D83" w:rsidRPr="008B037E">
        <w:rPr>
          <w:rFonts w:asciiTheme="minorHAnsi" w:hAnsiTheme="minorHAnsi"/>
          <w:sz w:val="22"/>
        </w:rPr>
        <w:t xml:space="preserve">premogovni </w:t>
      </w:r>
      <w:r w:rsidRPr="008B037E">
        <w:rPr>
          <w:rFonts w:asciiTheme="minorHAnsi" w:hAnsiTheme="minorHAnsi"/>
          <w:sz w:val="22"/>
        </w:rPr>
        <w:t>regiji premogovnik in termoelektrarna še obratujeta</w:t>
      </w:r>
      <w:r w:rsidR="00722E86" w:rsidRPr="008B037E">
        <w:rPr>
          <w:rFonts w:asciiTheme="minorHAnsi" w:hAnsiTheme="minorHAnsi"/>
          <w:sz w:val="22"/>
        </w:rPr>
        <w:t>. Njuna vloga je pomembna tako z vidika zagotavljanja delovnih mest</w:t>
      </w:r>
      <w:r w:rsidR="004C5ABF" w:rsidRPr="008B037E">
        <w:rPr>
          <w:rFonts w:asciiTheme="minorHAnsi" w:hAnsiTheme="minorHAnsi" w:cstheme="minorHAnsi"/>
          <w:sz w:val="22"/>
        </w:rPr>
        <w:t xml:space="preserve"> kot</w:t>
      </w:r>
      <w:r w:rsidR="00C61239" w:rsidRPr="008B037E">
        <w:rPr>
          <w:rFonts w:asciiTheme="minorHAnsi" w:hAnsiTheme="minorHAnsi" w:cstheme="minorHAnsi"/>
          <w:sz w:val="22"/>
        </w:rPr>
        <w:t xml:space="preserve"> </w:t>
      </w:r>
      <w:r w:rsidR="00722E86" w:rsidRPr="008B037E">
        <w:rPr>
          <w:rFonts w:asciiTheme="minorHAnsi" w:hAnsiTheme="minorHAnsi"/>
          <w:sz w:val="22"/>
        </w:rPr>
        <w:t>zanesljive oskrbe z električno energijo.</w:t>
      </w:r>
      <w:r w:rsidR="00722E86" w:rsidRPr="008B037E">
        <w:rPr>
          <w:rFonts w:asciiTheme="minorHAnsi" w:hAnsiTheme="minorHAnsi" w:cstheme="minorHAnsi"/>
          <w:sz w:val="22"/>
        </w:rPr>
        <w:t xml:space="preserve"> </w:t>
      </w:r>
      <w:r w:rsidR="00DA1A07" w:rsidRPr="00DA1A07">
        <w:rPr>
          <w:rFonts w:asciiTheme="minorHAnsi" w:hAnsiTheme="minorHAnsi" w:cstheme="minorHAnsi"/>
          <w:sz w:val="22"/>
        </w:rPr>
        <w:t>V povprečju Termoelektrarna Šoštanj proizvede okrog 35% električne energije v državi, v sušnih obdobjih pa preko polovico porabe. V letu 2020 je TEŠ proizvedel in prodal 3.640 GWh električne energije (vir: Termoelektrarna Šoštanj letno poročilo 2020, april 2021). Proizvodnja rudnika, ki je odvisna predvsem od porabe termoelektrarne se giblje okrog 3,5 mil</w:t>
      </w:r>
      <w:r w:rsidR="00EF2ABE">
        <w:rPr>
          <w:rFonts w:asciiTheme="minorHAnsi" w:hAnsiTheme="minorHAnsi" w:cstheme="minorHAnsi"/>
          <w:sz w:val="22"/>
        </w:rPr>
        <w:t xml:space="preserve">ijona ton lignita letno. Skupino Premogovnik Velenje, </w:t>
      </w:r>
      <w:r w:rsidR="00DA1A07" w:rsidRPr="00DA1A07">
        <w:rPr>
          <w:rFonts w:asciiTheme="minorHAnsi" w:hAnsiTheme="minorHAnsi" w:cstheme="minorHAnsi"/>
          <w:sz w:val="22"/>
        </w:rPr>
        <w:t xml:space="preserve">sestavljajo povezana podjetja Premogovnik Velenje d.o.o., invalidsko podjetje HTZ d.o.o., proizvodno in tehnološko podjetje Sipoteh d.o.o. in PLP lesna industrija d.o.o. </w:t>
      </w:r>
      <w:r w:rsidR="00EF2ABE">
        <w:rPr>
          <w:rFonts w:asciiTheme="minorHAnsi" w:hAnsiTheme="minorHAnsi" w:cstheme="minorHAnsi"/>
          <w:sz w:val="22"/>
        </w:rPr>
        <w:t xml:space="preserve">Na dan 15.7.2020 so podjetja v skupini zaposlovala 1.895 oseb, od tega </w:t>
      </w:r>
      <w:r w:rsidR="009304DA">
        <w:rPr>
          <w:rFonts w:asciiTheme="minorHAnsi" w:hAnsiTheme="minorHAnsi" w:cstheme="minorHAnsi"/>
          <w:sz w:val="22"/>
        </w:rPr>
        <w:t>jih je 167 imelo re</w:t>
      </w:r>
      <w:r w:rsidR="00EF2ABE">
        <w:rPr>
          <w:rFonts w:asciiTheme="minorHAnsi" w:hAnsiTheme="minorHAnsi" w:cstheme="minorHAnsi"/>
          <w:sz w:val="22"/>
        </w:rPr>
        <w:t>gistrirano</w:t>
      </w:r>
      <w:r w:rsidR="009304DA">
        <w:rPr>
          <w:rFonts w:asciiTheme="minorHAnsi" w:hAnsiTheme="minorHAnsi" w:cstheme="minorHAnsi"/>
          <w:sz w:val="22"/>
        </w:rPr>
        <w:t xml:space="preserve"> </w:t>
      </w:r>
      <w:r w:rsidR="00EF2ABE">
        <w:rPr>
          <w:rFonts w:asciiTheme="minorHAnsi" w:hAnsiTheme="minorHAnsi" w:cstheme="minorHAnsi"/>
          <w:sz w:val="22"/>
        </w:rPr>
        <w:t>stalno prebivališče izven občin regije SAŠA.</w:t>
      </w:r>
      <w:r w:rsidR="009304DA">
        <w:rPr>
          <w:rFonts w:asciiTheme="minorHAnsi" w:hAnsiTheme="minorHAnsi" w:cstheme="minorHAnsi"/>
          <w:sz w:val="22"/>
        </w:rPr>
        <w:t xml:space="preserve"> (vir: ORP SAŠA 2021-2027).</w:t>
      </w:r>
    </w:p>
    <w:p w14:paraId="6F7F4556" w14:textId="77777777" w:rsidR="00B9207E" w:rsidRPr="008B037E" w:rsidRDefault="00B9207E" w:rsidP="00720E72">
      <w:pPr>
        <w:spacing w:before="0" w:after="0" w:line="276" w:lineRule="auto"/>
        <w:rPr>
          <w:rFonts w:asciiTheme="minorHAnsi" w:hAnsiTheme="minorHAnsi" w:cstheme="minorHAnsi"/>
          <w:sz w:val="22"/>
        </w:rPr>
      </w:pPr>
    </w:p>
    <w:p w14:paraId="0093D49B" w14:textId="5872B029" w:rsidR="00C0293D" w:rsidRPr="008B037E" w:rsidRDefault="00F84870" w:rsidP="00720E72">
      <w:pPr>
        <w:spacing w:before="0" w:after="0" w:line="276" w:lineRule="auto"/>
        <w:rPr>
          <w:rFonts w:asciiTheme="minorHAnsi" w:hAnsiTheme="minorHAnsi" w:cstheme="minorHAnsi"/>
          <w:sz w:val="22"/>
        </w:rPr>
      </w:pPr>
      <w:r w:rsidRPr="008B037E">
        <w:rPr>
          <w:rFonts w:asciiTheme="minorHAnsi" w:hAnsiTheme="minorHAnsi" w:cstheme="minorHAnsi"/>
          <w:sz w:val="22"/>
        </w:rPr>
        <w:t xml:space="preserve">Po izbranem scenariju NSPP predvideva izstop </w:t>
      </w:r>
      <w:r w:rsidR="001E383F" w:rsidRPr="008B037E">
        <w:rPr>
          <w:rFonts w:asciiTheme="minorHAnsi" w:hAnsiTheme="minorHAnsi" w:cstheme="minorHAnsi"/>
          <w:sz w:val="22"/>
        </w:rPr>
        <w:t xml:space="preserve">iz </w:t>
      </w:r>
      <w:r w:rsidRPr="008B037E">
        <w:rPr>
          <w:rFonts w:asciiTheme="minorHAnsi" w:hAnsiTheme="minorHAnsi" w:cstheme="minorHAnsi"/>
          <w:sz w:val="22"/>
        </w:rPr>
        <w:t xml:space="preserve">premoga, torej </w:t>
      </w:r>
      <w:r w:rsidR="00BC15E9" w:rsidRPr="008B037E">
        <w:rPr>
          <w:rFonts w:asciiTheme="minorHAnsi" w:hAnsiTheme="minorHAnsi" w:cstheme="minorHAnsi"/>
          <w:sz w:val="22"/>
        </w:rPr>
        <w:t>prenehanje uporabe pre</w:t>
      </w:r>
      <w:r w:rsidR="008B037E">
        <w:rPr>
          <w:rFonts w:asciiTheme="minorHAnsi" w:hAnsiTheme="minorHAnsi" w:cstheme="minorHAnsi"/>
          <w:sz w:val="22"/>
        </w:rPr>
        <w:t xml:space="preserve">moga v Termoelektrani Šoštanj </w:t>
      </w:r>
      <w:r w:rsidRPr="008B037E">
        <w:rPr>
          <w:rFonts w:asciiTheme="minorHAnsi" w:hAnsiTheme="minorHAnsi" w:cstheme="minorHAnsi"/>
          <w:sz w:val="22"/>
        </w:rPr>
        <w:t>in pridobivanje lignita v SAŠ</w:t>
      </w:r>
      <w:r w:rsidR="004A1599" w:rsidRPr="008B037E">
        <w:rPr>
          <w:rFonts w:asciiTheme="minorHAnsi" w:hAnsiTheme="minorHAnsi" w:cstheme="minorHAnsi"/>
          <w:sz w:val="22"/>
        </w:rPr>
        <w:t xml:space="preserve">A </w:t>
      </w:r>
      <w:r w:rsidR="004D4D83" w:rsidRPr="008B037E">
        <w:rPr>
          <w:rFonts w:asciiTheme="minorHAnsi" w:hAnsiTheme="minorHAnsi" w:cstheme="minorHAnsi"/>
          <w:sz w:val="22"/>
        </w:rPr>
        <w:t xml:space="preserve">premogovni </w:t>
      </w:r>
      <w:r w:rsidR="004A1599" w:rsidRPr="008B037E">
        <w:rPr>
          <w:rFonts w:asciiTheme="minorHAnsi" w:hAnsiTheme="minorHAnsi" w:cstheme="minorHAnsi"/>
          <w:sz w:val="22"/>
        </w:rPr>
        <w:t xml:space="preserve">regiji </w:t>
      </w:r>
      <w:r w:rsidR="00BC15E9" w:rsidRPr="008B037E">
        <w:rPr>
          <w:rFonts w:asciiTheme="minorHAnsi" w:hAnsiTheme="minorHAnsi" w:cstheme="minorHAnsi"/>
          <w:sz w:val="22"/>
        </w:rPr>
        <w:t xml:space="preserve">predvidoma </w:t>
      </w:r>
      <w:r w:rsidR="004A1599" w:rsidRPr="008B037E">
        <w:rPr>
          <w:rFonts w:asciiTheme="minorHAnsi" w:hAnsiTheme="minorHAnsi" w:cstheme="minorHAnsi"/>
          <w:sz w:val="22"/>
        </w:rPr>
        <w:t>v letu 2033, s čimer Slovenija kaže zavezo k izpolnjevanju podnebnih ciljev.</w:t>
      </w:r>
      <w:r w:rsidRPr="008B037E">
        <w:rPr>
          <w:rFonts w:asciiTheme="minorHAnsi" w:hAnsiTheme="minorHAnsi" w:cstheme="minorHAnsi"/>
          <w:sz w:val="22"/>
        </w:rPr>
        <w:t xml:space="preserve"> Scenarij temelji na naboru celovitih ukrepov, ki zajemajo vse prej naštete elemente pravičnega prehoda in aktivno naslavljajo prehod v podnebno nevtralno gospodarstvo. </w:t>
      </w:r>
      <w:r w:rsidR="00722E86" w:rsidRPr="008B037E">
        <w:rPr>
          <w:rFonts w:asciiTheme="minorHAnsi" w:hAnsiTheme="minorHAnsi" w:cstheme="minorHAnsi"/>
          <w:sz w:val="22"/>
        </w:rPr>
        <w:t>Izstop do načrtovanega leta bo zahteval proaktivno prekvalifikacijo delavcev iz dejavnosti, ki so neposredno ali posredno povezane s premogovništvom, ob tem bo treba zagotoviti tudi ustrezne spodbude za prekvalifikacijo in prezaposlitev</w:t>
      </w:r>
      <w:r w:rsidR="004D4D83" w:rsidRPr="008B037E">
        <w:rPr>
          <w:rFonts w:asciiTheme="minorHAnsi" w:hAnsiTheme="minorHAnsi" w:cstheme="minorHAnsi"/>
          <w:sz w:val="22"/>
        </w:rPr>
        <w:t>,</w:t>
      </w:r>
      <w:r w:rsidR="00722E86" w:rsidRPr="008B037E">
        <w:rPr>
          <w:rFonts w:asciiTheme="minorHAnsi" w:hAnsiTheme="minorHAnsi" w:cstheme="minorHAnsi"/>
          <w:sz w:val="22"/>
        </w:rPr>
        <w:t xml:space="preserve"> za kar bo ključnega pomena sprememba in širitev regionalnega sistema formalnega in neformalnega izobraževanja. Prestrukturiranje gospodarstva bo temeljilo na</w:t>
      </w:r>
      <w:r w:rsidR="00937F2F" w:rsidRPr="008B037E">
        <w:rPr>
          <w:rFonts w:asciiTheme="minorHAnsi" w:hAnsiTheme="minorHAnsi" w:cstheme="minorHAnsi"/>
          <w:sz w:val="22"/>
        </w:rPr>
        <w:t xml:space="preserve"> MSP</w:t>
      </w:r>
      <w:r w:rsidR="0050479E" w:rsidRPr="008B037E">
        <w:rPr>
          <w:rFonts w:asciiTheme="minorHAnsi" w:hAnsiTheme="minorHAnsi" w:cstheme="minorHAnsi"/>
          <w:sz w:val="22"/>
        </w:rPr>
        <w:t xml:space="preserve"> in na velikih podjetjih</w:t>
      </w:r>
      <w:r w:rsidR="00B64323" w:rsidRPr="008B037E">
        <w:rPr>
          <w:rFonts w:asciiTheme="minorHAnsi" w:hAnsiTheme="minorHAnsi" w:cstheme="minorHAnsi"/>
          <w:sz w:val="22"/>
        </w:rPr>
        <w:t>, predvsem</w:t>
      </w:r>
      <w:r w:rsidR="00BA6C6A" w:rsidRPr="008B037E">
        <w:rPr>
          <w:rFonts w:asciiTheme="minorHAnsi" w:hAnsiTheme="minorHAnsi" w:cstheme="minorHAnsi"/>
          <w:sz w:val="22"/>
        </w:rPr>
        <w:t xml:space="preserve"> </w:t>
      </w:r>
      <w:r w:rsidR="00937F2F" w:rsidRPr="008B037E">
        <w:rPr>
          <w:rFonts w:asciiTheme="minorHAnsi" w:hAnsiTheme="minorHAnsi" w:cstheme="minorHAnsi"/>
          <w:sz w:val="22"/>
        </w:rPr>
        <w:t>na</w:t>
      </w:r>
      <w:r w:rsidR="00BC15E9" w:rsidRPr="008B037E">
        <w:rPr>
          <w:rFonts w:asciiTheme="minorHAnsi" w:hAnsiTheme="minorHAnsi" w:cstheme="minorHAnsi"/>
          <w:sz w:val="22"/>
        </w:rPr>
        <w:t xml:space="preserve"> industrijskih sektorjih, ki </w:t>
      </w:r>
      <w:r w:rsidR="00F0793C" w:rsidRPr="008B037E">
        <w:rPr>
          <w:rFonts w:asciiTheme="minorHAnsi" w:hAnsiTheme="minorHAnsi" w:cstheme="minorHAnsi"/>
          <w:sz w:val="22"/>
        </w:rPr>
        <w:t xml:space="preserve">so sedaj manj prisotni, </w:t>
      </w:r>
      <w:r w:rsidR="00BC15E9" w:rsidRPr="008B037E">
        <w:rPr>
          <w:rFonts w:asciiTheme="minorHAnsi" w:hAnsiTheme="minorHAnsi" w:cstheme="minorHAnsi"/>
          <w:sz w:val="22"/>
        </w:rPr>
        <w:t xml:space="preserve">predstavljajo </w:t>
      </w:r>
      <w:r w:rsidR="00F0793C" w:rsidRPr="008B037E">
        <w:rPr>
          <w:rFonts w:asciiTheme="minorHAnsi" w:hAnsiTheme="minorHAnsi" w:cstheme="minorHAnsi"/>
          <w:sz w:val="22"/>
        </w:rPr>
        <w:t xml:space="preserve">pa </w:t>
      </w:r>
      <w:r w:rsidR="00BC15E9" w:rsidRPr="008B037E">
        <w:rPr>
          <w:rFonts w:asciiTheme="minorHAnsi" w:hAnsiTheme="minorHAnsi" w:cstheme="minorHAnsi"/>
          <w:sz w:val="22"/>
        </w:rPr>
        <w:t xml:space="preserve">velik potencial v regiji </w:t>
      </w:r>
      <w:r w:rsidR="00F0793C" w:rsidRPr="008B037E">
        <w:rPr>
          <w:rFonts w:asciiTheme="minorHAnsi" w:hAnsiTheme="minorHAnsi" w:cstheme="minorHAnsi"/>
          <w:sz w:val="22"/>
        </w:rPr>
        <w:t xml:space="preserve">(produkti za trajnostno mobilnost, zelene tehnologije, digitalizacija, krožno gospodarstvo, </w:t>
      </w:r>
      <w:r w:rsidR="003A66F5" w:rsidRPr="008B037E">
        <w:rPr>
          <w:rFonts w:asciiTheme="minorHAnsi" w:hAnsiTheme="minorHAnsi" w:cstheme="minorHAnsi"/>
          <w:sz w:val="22"/>
        </w:rPr>
        <w:t>farmacevt</w:t>
      </w:r>
      <w:r w:rsidR="00BA6C6A" w:rsidRPr="008B037E">
        <w:rPr>
          <w:rFonts w:asciiTheme="minorHAnsi" w:hAnsiTheme="minorHAnsi" w:cstheme="minorHAnsi"/>
          <w:sz w:val="22"/>
        </w:rPr>
        <w:t>s</w:t>
      </w:r>
      <w:r w:rsidR="003A66F5" w:rsidRPr="008B037E">
        <w:rPr>
          <w:rFonts w:asciiTheme="minorHAnsi" w:hAnsiTheme="minorHAnsi" w:cstheme="minorHAnsi"/>
          <w:sz w:val="22"/>
        </w:rPr>
        <w:t>ka industrija</w:t>
      </w:r>
      <w:r w:rsidR="00F0793C" w:rsidRPr="008B037E">
        <w:rPr>
          <w:rFonts w:asciiTheme="minorHAnsi" w:hAnsiTheme="minorHAnsi" w:cstheme="minorHAnsi"/>
          <w:sz w:val="22"/>
        </w:rPr>
        <w:t>…)</w:t>
      </w:r>
      <w:r w:rsidR="00CC02BA" w:rsidRPr="008B037E">
        <w:rPr>
          <w:rFonts w:asciiTheme="minorHAnsi" w:hAnsiTheme="minorHAnsi" w:cstheme="minorHAnsi"/>
          <w:sz w:val="22"/>
        </w:rPr>
        <w:t>. Bistvenega pomena bo tudi</w:t>
      </w:r>
      <w:r w:rsidR="004A419B" w:rsidRPr="008B037E">
        <w:rPr>
          <w:rFonts w:asciiTheme="minorHAnsi" w:hAnsiTheme="minorHAnsi" w:cstheme="minorHAnsi"/>
          <w:sz w:val="22"/>
        </w:rPr>
        <w:t xml:space="preserve"> izvedba energetskega prehoda in </w:t>
      </w:r>
      <w:r w:rsidR="00BC5A6E" w:rsidRPr="008B037E">
        <w:rPr>
          <w:rFonts w:asciiTheme="minorHAnsi" w:hAnsiTheme="minorHAnsi" w:cstheme="minorHAnsi"/>
          <w:sz w:val="22"/>
        </w:rPr>
        <w:t>sanacij</w:t>
      </w:r>
      <w:r w:rsidR="00BC5A6E">
        <w:rPr>
          <w:rFonts w:asciiTheme="minorHAnsi" w:hAnsiTheme="minorHAnsi" w:cstheme="minorHAnsi"/>
          <w:sz w:val="22"/>
        </w:rPr>
        <w:t>e</w:t>
      </w:r>
      <w:r w:rsidR="004A419B" w:rsidRPr="008B037E">
        <w:rPr>
          <w:rFonts w:asciiTheme="minorHAnsi" w:hAnsiTheme="minorHAnsi" w:cstheme="minorHAnsi"/>
          <w:sz w:val="22"/>
        </w:rPr>
        <w:t xml:space="preserve"> okolja,</w:t>
      </w:r>
      <w:r w:rsidR="00CC02BA" w:rsidRPr="008B037E">
        <w:rPr>
          <w:rFonts w:asciiTheme="minorHAnsi" w:hAnsiTheme="minorHAnsi" w:cstheme="minorHAnsi"/>
          <w:sz w:val="22"/>
        </w:rPr>
        <w:t xml:space="preserve"> izboljšanje povezljivosti</w:t>
      </w:r>
      <w:r w:rsidR="004A1599" w:rsidRPr="008B037E">
        <w:rPr>
          <w:rFonts w:asciiTheme="minorHAnsi" w:hAnsiTheme="minorHAnsi" w:cstheme="minorHAnsi"/>
          <w:sz w:val="22"/>
        </w:rPr>
        <w:t xml:space="preserve"> </w:t>
      </w:r>
      <w:r w:rsidR="004D4D83" w:rsidRPr="008B037E">
        <w:rPr>
          <w:rFonts w:asciiTheme="minorHAnsi" w:hAnsiTheme="minorHAnsi" w:cstheme="minorHAnsi"/>
          <w:sz w:val="22"/>
        </w:rPr>
        <w:t xml:space="preserve">ter </w:t>
      </w:r>
      <w:r w:rsidR="004A1599" w:rsidRPr="008B037E">
        <w:rPr>
          <w:rFonts w:asciiTheme="minorHAnsi" w:hAnsiTheme="minorHAnsi" w:cstheme="minorHAnsi"/>
          <w:sz w:val="22"/>
        </w:rPr>
        <w:t>razvoj in nadgradnja podpornega okolja</w:t>
      </w:r>
      <w:r w:rsidR="004D4D83" w:rsidRPr="008B037E">
        <w:rPr>
          <w:rFonts w:asciiTheme="minorHAnsi" w:hAnsiTheme="minorHAnsi" w:cstheme="minorHAnsi"/>
          <w:sz w:val="22"/>
        </w:rPr>
        <w:t>,</w:t>
      </w:r>
      <w:r w:rsidR="004A1599" w:rsidRPr="008B037E">
        <w:rPr>
          <w:rFonts w:asciiTheme="minorHAnsi" w:hAnsiTheme="minorHAnsi" w:cstheme="minorHAnsi"/>
          <w:sz w:val="22"/>
        </w:rPr>
        <w:t xml:space="preserve"> s čimer bomo med drugim podprli tudi izvozni potencial regije. </w:t>
      </w:r>
    </w:p>
    <w:p w14:paraId="424FE233" w14:textId="77777777" w:rsidR="00B9207E" w:rsidRPr="008B037E" w:rsidRDefault="00B9207E" w:rsidP="00720E72">
      <w:pPr>
        <w:spacing w:before="0" w:after="0" w:line="276" w:lineRule="auto"/>
        <w:rPr>
          <w:rFonts w:asciiTheme="minorHAnsi" w:hAnsiTheme="minorHAnsi" w:cstheme="minorHAnsi"/>
          <w:sz w:val="22"/>
        </w:rPr>
      </w:pPr>
    </w:p>
    <w:p w14:paraId="0DA59899" w14:textId="793AFB7E" w:rsidR="00C0293D" w:rsidRPr="008B037E" w:rsidRDefault="004A1599" w:rsidP="00720E72">
      <w:pPr>
        <w:spacing w:before="0" w:after="0" w:line="276" w:lineRule="auto"/>
        <w:rPr>
          <w:rFonts w:asciiTheme="minorHAnsi" w:hAnsiTheme="minorHAnsi"/>
          <w:strike/>
          <w:sz w:val="22"/>
        </w:rPr>
      </w:pPr>
      <w:r w:rsidRPr="008B037E">
        <w:rPr>
          <w:rFonts w:asciiTheme="minorHAnsi" w:hAnsiTheme="minorHAnsi" w:cstheme="minorHAnsi"/>
          <w:sz w:val="22"/>
        </w:rPr>
        <w:t xml:space="preserve">Naložbe v obnovljive vire energije </w:t>
      </w:r>
      <w:r w:rsidR="004A419B" w:rsidRPr="008B037E">
        <w:rPr>
          <w:rFonts w:asciiTheme="minorHAnsi" w:hAnsiTheme="minorHAnsi" w:cstheme="minorHAnsi"/>
          <w:sz w:val="22"/>
        </w:rPr>
        <w:t xml:space="preserve">in morebitne druge tehnologije kot so vodik in hranilniki </w:t>
      </w:r>
      <w:r w:rsidRPr="008B037E">
        <w:rPr>
          <w:rFonts w:asciiTheme="minorHAnsi" w:hAnsiTheme="minorHAnsi" w:cstheme="minorHAnsi"/>
          <w:sz w:val="22"/>
        </w:rPr>
        <w:t xml:space="preserve">bodo prispevale k razogljičenju regije. Pri tem bo treba, poleg vlaganj v infrastrukturne projekte na tem področju, naložbe usmeriti tudi v raziskave in razvoj, saj bo le tako možno prispevati k razvoju novih, kakovostnih delovnih mest. </w:t>
      </w:r>
      <w:r w:rsidR="00C0293D" w:rsidRPr="008B037E">
        <w:rPr>
          <w:rFonts w:asciiTheme="minorHAnsi" w:hAnsiTheme="minorHAnsi" w:cstheme="minorHAnsi"/>
          <w:sz w:val="22"/>
        </w:rPr>
        <w:t>Ključnega pomena v izbranem scenariju bo zagotoviti alternativni vir toplote za sistem</w:t>
      </w:r>
      <w:r w:rsidR="004A419B" w:rsidRPr="008B037E">
        <w:rPr>
          <w:rFonts w:asciiTheme="minorHAnsi" w:hAnsiTheme="minorHAnsi" w:cstheme="minorHAnsi"/>
          <w:sz w:val="22"/>
        </w:rPr>
        <w:t xml:space="preserve"> (ali sisteme)</w:t>
      </w:r>
      <w:r w:rsidR="00C0293D" w:rsidRPr="008B037E">
        <w:rPr>
          <w:rFonts w:asciiTheme="minorHAnsi" w:hAnsiTheme="minorHAnsi" w:cstheme="minorHAnsi"/>
          <w:sz w:val="22"/>
        </w:rPr>
        <w:t xml:space="preserve"> daljinskega ogrevanja v Šaleški dolini. </w:t>
      </w:r>
    </w:p>
    <w:p w14:paraId="24DBCAE6" w14:textId="77777777" w:rsidR="00B9207E" w:rsidRPr="008B037E" w:rsidRDefault="00B9207E" w:rsidP="00720E72">
      <w:pPr>
        <w:spacing w:before="0" w:after="0" w:line="276" w:lineRule="auto"/>
        <w:rPr>
          <w:rFonts w:asciiTheme="minorHAnsi" w:hAnsiTheme="minorHAnsi" w:cstheme="minorHAnsi"/>
          <w:sz w:val="22"/>
        </w:rPr>
      </w:pPr>
    </w:p>
    <w:p w14:paraId="1F039E91" w14:textId="77777777" w:rsidR="004A1599" w:rsidRPr="008B037E" w:rsidRDefault="004A1599" w:rsidP="00720E72">
      <w:pPr>
        <w:spacing w:before="0" w:after="0" w:line="276" w:lineRule="auto"/>
        <w:rPr>
          <w:rFonts w:asciiTheme="minorHAnsi" w:hAnsiTheme="minorHAnsi" w:cstheme="minorHAnsi"/>
          <w:sz w:val="22"/>
        </w:rPr>
      </w:pPr>
      <w:r w:rsidRPr="008B037E">
        <w:rPr>
          <w:rFonts w:asciiTheme="minorHAnsi" w:hAnsiTheme="minorHAnsi" w:cstheme="minorHAnsi"/>
          <w:sz w:val="22"/>
        </w:rPr>
        <w:t xml:space="preserve">Izstop iz premoga do leta 2033 bo tudi najbolj ugoden v smislu preprečevanja nadaljnje degradacije okolja in lahko najbolj pozitivno vpliva na zdravje prebivalcev v regiji. </w:t>
      </w:r>
      <w:r w:rsidR="006D678C" w:rsidRPr="008B037E">
        <w:rPr>
          <w:rFonts w:asciiTheme="minorHAnsi" w:hAnsiTheme="minorHAnsi" w:cstheme="minorHAnsi"/>
          <w:sz w:val="22"/>
        </w:rPr>
        <w:t>Prostorsko in okoljsko degradirana</w:t>
      </w:r>
      <w:r w:rsidR="00C0293D" w:rsidRPr="008B037E">
        <w:rPr>
          <w:rFonts w:asciiTheme="minorHAnsi" w:hAnsiTheme="minorHAnsi" w:cstheme="minorHAnsi"/>
          <w:sz w:val="22"/>
        </w:rPr>
        <w:t xml:space="preserve">, z rudarstvom povezana območja bo treba sproti sanirati in hkrati vzpostaviti sistem za celovito spremljanje okoljskih učinkov izstopa iz premoga. </w:t>
      </w:r>
    </w:p>
    <w:p w14:paraId="68E6DF50" w14:textId="77777777" w:rsidR="00B9207E" w:rsidRPr="008B037E" w:rsidRDefault="00B9207E" w:rsidP="00720E72">
      <w:pPr>
        <w:spacing w:before="0" w:after="0" w:line="276" w:lineRule="auto"/>
        <w:rPr>
          <w:rFonts w:asciiTheme="minorHAnsi" w:hAnsiTheme="minorHAnsi" w:cstheme="minorHAnsi"/>
          <w:sz w:val="22"/>
        </w:rPr>
      </w:pPr>
    </w:p>
    <w:p w14:paraId="7C11FA91" w14:textId="60202441" w:rsidR="00C0293D" w:rsidRPr="002970DA" w:rsidRDefault="00C0293D" w:rsidP="00720E72">
      <w:pPr>
        <w:spacing w:before="0" w:after="0" w:line="276" w:lineRule="auto"/>
        <w:rPr>
          <w:rFonts w:asciiTheme="minorHAnsi" w:hAnsiTheme="minorHAnsi" w:cstheme="minorHAnsi"/>
          <w:sz w:val="22"/>
        </w:rPr>
      </w:pPr>
      <w:r w:rsidRPr="008B037E">
        <w:rPr>
          <w:rFonts w:asciiTheme="minorHAnsi" w:hAnsiTheme="minorHAnsi" w:cstheme="minorHAnsi"/>
          <w:sz w:val="22"/>
        </w:rPr>
        <w:lastRenderedPageBreak/>
        <w:t xml:space="preserve">Prestrukturiranje regije bomo podprli s sprejemom </w:t>
      </w:r>
      <w:r w:rsidR="004D4D83" w:rsidRPr="008B037E">
        <w:rPr>
          <w:rFonts w:asciiTheme="minorHAnsi" w:hAnsiTheme="minorHAnsi" w:cstheme="minorHAnsi"/>
          <w:sz w:val="22"/>
        </w:rPr>
        <w:t xml:space="preserve">zakonov </w:t>
      </w:r>
      <w:r w:rsidR="00D958BF" w:rsidRPr="008B037E">
        <w:rPr>
          <w:rFonts w:asciiTheme="minorHAnsi" w:hAnsiTheme="minorHAnsi" w:cstheme="minorHAnsi"/>
          <w:sz w:val="22"/>
        </w:rPr>
        <w:t xml:space="preserve">o zapiranju </w:t>
      </w:r>
      <w:r w:rsidR="0083025A" w:rsidRPr="008B037E">
        <w:rPr>
          <w:rFonts w:asciiTheme="minorHAnsi" w:hAnsiTheme="minorHAnsi" w:cstheme="minorHAnsi"/>
          <w:sz w:val="22"/>
        </w:rPr>
        <w:t>premogovnika</w:t>
      </w:r>
      <w:r w:rsidR="004A419B" w:rsidRPr="008B037E">
        <w:rPr>
          <w:rFonts w:asciiTheme="minorHAnsi" w:hAnsiTheme="minorHAnsi" w:cstheme="minorHAnsi"/>
          <w:sz w:val="22"/>
        </w:rPr>
        <w:t xml:space="preserve"> in gospodarsk</w:t>
      </w:r>
      <w:r w:rsidR="00E853CE" w:rsidRPr="008B037E">
        <w:rPr>
          <w:rFonts w:asciiTheme="minorHAnsi" w:hAnsiTheme="minorHAnsi" w:cstheme="minorHAnsi"/>
          <w:sz w:val="22"/>
        </w:rPr>
        <w:t>em</w:t>
      </w:r>
      <w:r w:rsidR="004A419B" w:rsidRPr="008B037E">
        <w:rPr>
          <w:rFonts w:asciiTheme="minorHAnsi" w:hAnsiTheme="minorHAnsi" w:cstheme="minorHAnsi"/>
          <w:sz w:val="22"/>
        </w:rPr>
        <w:t xml:space="preserve"> prestrukturiranj</w:t>
      </w:r>
      <w:r w:rsidR="004C5ABF" w:rsidRPr="008B037E">
        <w:rPr>
          <w:rFonts w:asciiTheme="minorHAnsi" w:hAnsiTheme="minorHAnsi" w:cstheme="minorHAnsi"/>
          <w:sz w:val="22"/>
        </w:rPr>
        <w:t>u</w:t>
      </w:r>
      <w:r w:rsidR="004A419B" w:rsidRPr="008B037E">
        <w:rPr>
          <w:rFonts w:asciiTheme="minorHAnsi" w:hAnsiTheme="minorHAnsi" w:cstheme="minorHAnsi"/>
          <w:sz w:val="22"/>
        </w:rPr>
        <w:t xml:space="preserve"> regije</w:t>
      </w:r>
      <w:r w:rsidR="00AB1542" w:rsidRPr="008B037E">
        <w:rPr>
          <w:rFonts w:asciiTheme="minorHAnsi" w:hAnsiTheme="minorHAnsi" w:cstheme="minorHAnsi"/>
          <w:sz w:val="22"/>
        </w:rPr>
        <w:t>.</w:t>
      </w:r>
      <w:r w:rsidR="00EF4CAC">
        <w:rPr>
          <w:rFonts w:asciiTheme="minorHAnsi" w:hAnsiTheme="minorHAnsi" w:cstheme="minorHAnsi"/>
          <w:sz w:val="22"/>
        </w:rPr>
        <w:t xml:space="preserve"> </w:t>
      </w:r>
      <w:r w:rsidR="003E6E33">
        <w:rPr>
          <w:rFonts w:asciiTheme="minorHAnsi" w:hAnsiTheme="minorHAnsi" w:cstheme="minorHAnsi"/>
          <w:sz w:val="22"/>
        </w:rPr>
        <w:t xml:space="preserve">Nacionalna strategija za izstop iz premoga </w:t>
      </w:r>
      <w:r w:rsidR="003E6E33" w:rsidRPr="00B84EA2">
        <w:rPr>
          <w:rFonts w:asciiTheme="minorHAnsi" w:hAnsiTheme="minorHAnsi" w:cstheme="minorHAnsi"/>
          <w:sz w:val="22"/>
        </w:rPr>
        <w:t>in prestrukturiranje premogovnih regij v skladu z načeli pravičnega prehoda</w:t>
      </w:r>
      <w:r w:rsidR="003E6E33">
        <w:rPr>
          <w:rFonts w:asciiTheme="minorHAnsi" w:hAnsiTheme="minorHAnsi" w:cstheme="minorHAnsi"/>
          <w:sz w:val="22"/>
        </w:rPr>
        <w:t xml:space="preserve"> (</w:t>
      </w:r>
      <w:r w:rsidR="003E6E33" w:rsidRPr="003E6E33">
        <w:rPr>
          <w:rFonts w:asciiTheme="minorHAnsi" w:hAnsiTheme="minorHAnsi" w:cstheme="minorHAnsi"/>
          <w:sz w:val="22"/>
        </w:rPr>
        <w:t>https://www.energetika-portal.si/dokumenti/strateski-razvojni-dokumenti/nacionalna-strategija-za-izstop-iz-premoga-in-prestrukturiranje-premogovnih-regij/</w:t>
      </w:r>
      <w:r w:rsidR="003E6E33">
        <w:rPr>
          <w:rFonts w:asciiTheme="minorHAnsi" w:hAnsiTheme="minorHAnsi" w:cstheme="minorHAnsi"/>
          <w:sz w:val="22"/>
        </w:rPr>
        <w:t>) predvideva, da bo o</w:t>
      </w:r>
      <w:r w:rsidR="00EF4CAC" w:rsidRPr="00EF4CAC">
        <w:rPr>
          <w:rFonts w:asciiTheme="minorHAnsi" w:hAnsiTheme="minorHAnsi" w:cstheme="minorHAnsi"/>
          <w:sz w:val="22"/>
        </w:rPr>
        <w:t xml:space="preserve">snutek </w:t>
      </w:r>
      <w:r w:rsidR="003E6E33">
        <w:rPr>
          <w:rFonts w:asciiTheme="minorHAnsi" w:hAnsiTheme="minorHAnsi" w:cstheme="minorHAnsi"/>
          <w:sz w:val="22"/>
        </w:rPr>
        <w:t>z</w:t>
      </w:r>
      <w:r w:rsidR="00EF4CAC" w:rsidRPr="00EF4CAC">
        <w:rPr>
          <w:rFonts w:asciiTheme="minorHAnsi" w:hAnsiTheme="minorHAnsi" w:cstheme="minorHAnsi"/>
          <w:sz w:val="22"/>
        </w:rPr>
        <w:t>akona o zapiranju Premogovnika</w:t>
      </w:r>
      <w:r w:rsidR="00EF4CAC">
        <w:rPr>
          <w:rFonts w:asciiTheme="minorHAnsi" w:hAnsiTheme="minorHAnsi" w:cstheme="minorHAnsi"/>
          <w:sz w:val="22"/>
        </w:rPr>
        <w:t xml:space="preserve"> Velenje </w:t>
      </w:r>
      <w:r w:rsidR="003E6E33">
        <w:rPr>
          <w:rFonts w:asciiTheme="minorHAnsi" w:hAnsiTheme="minorHAnsi" w:cstheme="minorHAnsi"/>
          <w:sz w:val="22"/>
        </w:rPr>
        <w:t>v šestih mesecih po sprejetju strategije predložen v javno obravnavo</w:t>
      </w:r>
      <w:r w:rsidR="00E15971">
        <w:rPr>
          <w:rFonts w:asciiTheme="minorHAnsi" w:hAnsiTheme="minorHAnsi" w:cstheme="minorHAnsi"/>
          <w:sz w:val="22"/>
        </w:rPr>
        <w:t>, vendar se bo priprava obeh zakonov pričela šele v avgustu 2022</w:t>
      </w:r>
      <w:r w:rsidR="003E6E33">
        <w:rPr>
          <w:rFonts w:asciiTheme="minorHAnsi" w:hAnsiTheme="minorHAnsi" w:cstheme="minorHAnsi"/>
          <w:sz w:val="22"/>
        </w:rPr>
        <w:t xml:space="preserve">. </w:t>
      </w:r>
    </w:p>
    <w:p w14:paraId="58C68C34" w14:textId="77777777" w:rsidR="004B2EA9" w:rsidRPr="008B037E" w:rsidRDefault="004B2EA9" w:rsidP="00720E72">
      <w:pPr>
        <w:pStyle w:val="Odstavekseznama"/>
        <w:spacing w:after="0"/>
        <w:ind w:left="750"/>
        <w:jc w:val="both"/>
        <w:rPr>
          <w:rFonts w:cstheme="minorHAnsi"/>
          <w:highlight w:val="yellow"/>
        </w:rPr>
      </w:pPr>
    </w:p>
    <w:p w14:paraId="53FD86B9" w14:textId="4CE137C8" w:rsidR="004742D2" w:rsidRPr="008B037E" w:rsidRDefault="004742D2" w:rsidP="00720E72">
      <w:pPr>
        <w:pStyle w:val="Odstavekseznama"/>
        <w:spacing w:after="0"/>
        <w:ind w:left="750"/>
        <w:jc w:val="both"/>
        <w:rPr>
          <w:rFonts w:cstheme="minorHAnsi"/>
        </w:rPr>
      </w:pPr>
      <w:r w:rsidRPr="008B037E">
        <w:rPr>
          <w:rFonts w:cstheme="minorHAnsi"/>
          <w:i/>
        </w:rPr>
        <w:t xml:space="preserve">Sklic: člen </w:t>
      </w:r>
      <w:r w:rsidR="00A356E3" w:rsidRPr="008B037E">
        <w:rPr>
          <w:rFonts w:cstheme="minorHAnsi"/>
          <w:i/>
        </w:rPr>
        <w:t>11</w:t>
      </w:r>
      <w:r w:rsidRPr="008B037E">
        <w:rPr>
          <w:rFonts w:cstheme="minorHAnsi"/>
          <w:i/>
        </w:rPr>
        <w:t>(2)(b)</w:t>
      </w:r>
    </w:p>
    <w:tbl>
      <w:tblPr>
        <w:tblStyle w:val="Tabelamrea"/>
        <w:tblW w:w="0" w:type="auto"/>
        <w:tblInd w:w="0" w:type="dxa"/>
        <w:tblLook w:val="04A0" w:firstRow="1" w:lastRow="0" w:firstColumn="1" w:lastColumn="0" w:noHBand="0" w:noVBand="1"/>
      </w:tblPr>
      <w:tblGrid>
        <w:gridCol w:w="9062"/>
      </w:tblGrid>
      <w:tr w:rsidR="004742D2" w:rsidRPr="008B037E" w14:paraId="186EC5F4" w14:textId="77777777" w:rsidTr="002970DA">
        <w:trPr>
          <w:trHeight w:val="699"/>
        </w:trPr>
        <w:tc>
          <w:tcPr>
            <w:tcW w:w="9288" w:type="dxa"/>
            <w:tcBorders>
              <w:top w:val="single" w:sz="4" w:space="0" w:color="auto"/>
              <w:left w:val="single" w:sz="4" w:space="0" w:color="auto"/>
              <w:bottom w:val="single" w:sz="4" w:space="0" w:color="auto"/>
              <w:right w:val="single" w:sz="4" w:space="0" w:color="auto"/>
            </w:tcBorders>
            <w:hideMark/>
          </w:tcPr>
          <w:p w14:paraId="40264D42"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1.2. Opredelitev območij, za katera se pričakuje, da bodo najbolj prizadeta, in utemeljitev te opredelitve z ustrezno oceno gospodarskih in zaposlitvenih učinkov na podlagi osnutka oddelka 1.1.</w:t>
            </w:r>
          </w:p>
        </w:tc>
      </w:tr>
    </w:tbl>
    <w:p w14:paraId="6CACE779" w14:textId="77777777" w:rsidR="004742D2" w:rsidRPr="008B037E" w:rsidRDefault="004742D2" w:rsidP="00720E72">
      <w:pPr>
        <w:pStyle w:val="Odstavekseznama"/>
        <w:spacing w:after="0"/>
        <w:ind w:left="750"/>
        <w:jc w:val="both"/>
        <w:rPr>
          <w:rFonts w:cstheme="minorHAnsi"/>
        </w:rPr>
      </w:pPr>
    </w:p>
    <w:p w14:paraId="3129A97E" w14:textId="11F40752" w:rsidR="001651E9" w:rsidRPr="008B037E" w:rsidRDefault="003D11EB" w:rsidP="00050BDF">
      <w:pPr>
        <w:spacing w:before="0" w:line="276" w:lineRule="auto"/>
        <w:rPr>
          <w:rFonts w:asciiTheme="minorHAnsi" w:hAnsiTheme="minorHAnsi" w:cstheme="minorHAnsi"/>
          <w:sz w:val="22"/>
        </w:rPr>
      </w:pPr>
      <w:r w:rsidRPr="008B037E">
        <w:rPr>
          <w:rFonts w:asciiTheme="minorHAnsi" w:hAnsiTheme="minorHAnsi" w:cstheme="minorHAnsi"/>
          <w:sz w:val="22"/>
        </w:rPr>
        <w:t>SAŠA premogovna regija obsega 10 občin iz Zgornje Savinjske in Šaleške doline</w:t>
      </w:r>
      <w:r w:rsidR="004928EC" w:rsidRPr="008B037E">
        <w:t xml:space="preserve">: občine </w:t>
      </w:r>
      <w:r w:rsidR="004928EC" w:rsidRPr="008B037E">
        <w:rPr>
          <w:rFonts w:asciiTheme="minorHAnsi" w:hAnsiTheme="minorHAnsi" w:cstheme="minorHAnsi"/>
          <w:sz w:val="22"/>
        </w:rPr>
        <w:t xml:space="preserve">Gornji Grad, Ljubno, Luče, Mozirje, Nazarje, Rečica ob Savinji, Solčava, Šmartno ob Paki, Šoštanj in Mestna občina Velenje in je opredeljena </w:t>
      </w:r>
      <w:r w:rsidR="001651E9" w:rsidRPr="008B037E">
        <w:rPr>
          <w:rFonts w:asciiTheme="minorHAnsi" w:hAnsiTheme="minorHAnsi" w:cstheme="minorHAnsi"/>
          <w:sz w:val="22"/>
        </w:rPr>
        <w:t>kot širše vplivno območje. V ožje</w:t>
      </w:r>
      <w:r w:rsidR="00E60FF6" w:rsidRPr="008B037E">
        <w:rPr>
          <w:rFonts w:asciiTheme="minorHAnsi" w:hAnsiTheme="minorHAnsi" w:cstheme="minorHAnsi"/>
          <w:sz w:val="22"/>
        </w:rPr>
        <w:t>m</w:t>
      </w:r>
      <w:r w:rsidR="001651E9" w:rsidRPr="008B037E">
        <w:rPr>
          <w:rFonts w:asciiTheme="minorHAnsi" w:hAnsiTheme="minorHAnsi" w:cstheme="minorHAnsi"/>
          <w:sz w:val="22"/>
        </w:rPr>
        <w:t xml:space="preserve"> območju pravičnega prehoda so tri občine: Šmartno ob Paki, Šoštanj in Mestna občina Velenje.</w:t>
      </w:r>
      <w:r w:rsidR="00E60FF6" w:rsidRPr="008B037E">
        <w:rPr>
          <w:rFonts w:asciiTheme="minorHAnsi" w:hAnsiTheme="minorHAnsi" w:cstheme="minorHAnsi"/>
          <w:sz w:val="22"/>
        </w:rPr>
        <w:t xml:space="preserve"> </w:t>
      </w:r>
      <w:r w:rsidR="001651E9" w:rsidRPr="008B037E">
        <w:rPr>
          <w:rFonts w:asciiTheme="minorHAnsi" w:hAnsiTheme="minorHAnsi" w:cstheme="minorHAnsi"/>
          <w:sz w:val="22"/>
        </w:rPr>
        <w:t>V ožjem območju je glede na podatke Statističnega urada RS v letu 2020 živelo</w:t>
      </w:r>
      <w:r w:rsidR="00E60FF6" w:rsidRPr="008B037E">
        <w:rPr>
          <w:rFonts w:asciiTheme="minorHAnsi" w:hAnsiTheme="minorHAnsi" w:cstheme="minorHAnsi"/>
          <w:sz w:val="22"/>
        </w:rPr>
        <w:t xml:space="preserve"> </w:t>
      </w:r>
      <w:r w:rsidR="00D211D0" w:rsidRPr="008B037E">
        <w:rPr>
          <w:rFonts w:asciiTheme="minorHAnsi" w:hAnsiTheme="minorHAnsi" w:cstheme="minorHAnsi"/>
          <w:sz w:val="22"/>
        </w:rPr>
        <w:t>45.799</w:t>
      </w:r>
      <w:r w:rsidR="001651E9" w:rsidRPr="008B037E">
        <w:rPr>
          <w:rFonts w:asciiTheme="minorHAnsi" w:hAnsiTheme="minorHAnsi" w:cstheme="minorHAnsi"/>
          <w:sz w:val="22"/>
        </w:rPr>
        <w:t xml:space="preserve"> pr</w:t>
      </w:r>
      <w:r w:rsidR="00E60FF6" w:rsidRPr="008B037E">
        <w:rPr>
          <w:rFonts w:asciiTheme="minorHAnsi" w:hAnsiTheme="minorHAnsi" w:cstheme="minorHAnsi"/>
          <w:sz w:val="22"/>
        </w:rPr>
        <w:t>e</w:t>
      </w:r>
      <w:r w:rsidR="00DF3D1C">
        <w:rPr>
          <w:rFonts w:asciiTheme="minorHAnsi" w:hAnsiTheme="minorHAnsi" w:cstheme="minorHAnsi"/>
          <w:sz w:val="22"/>
        </w:rPr>
        <w:t>bivalcev (</w:t>
      </w:r>
      <w:r w:rsidR="00D211D0" w:rsidRPr="008B037E">
        <w:rPr>
          <w:rFonts w:asciiTheme="minorHAnsi" w:hAnsiTheme="minorHAnsi" w:cstheme="minorHAnsi"/>
          <w:sz w:val="22"/>
        </w:rPr>
        <w:t xml:space="preserve">17,4 </w:t>
      </w:r>
      <w:r w:rsidR="001651E9" w:rsidRPr="008B037E">
        <w:rPr>
          <w:rFonts w:asciiTheme="minorHAnsi" w:hAnsiTheme="minorHAnsi" w:cstheme="minorHAnsi"/>
          <w:sz w:val="22"/>
        </w:rPr>
        <w:t>% prebivalcev celotne Savinjske regije), v širšem vplivnem območju pa</w:t>
      </w:r>
      <w:r w:rsidR="00D211D0" w:rsidRPr="008B037E">
        <w:rPr>
          <w:rFonts w:asciiTheme="minorHAnsi" w:hAnsiTheme="minorHAnsi" w:cstheme="minorHAnsi"/>
          <w:sz w:val="22"/>
        </w:rPr>
        <w:t xml:space="preserve"> 67.172</w:t>
      </w:r>
      <w:r w:rsidR="001651E9" w:rsidRPr="008B037E">
        <w:rPr>
          <w:rFonts w:asciiTheme="minorHAnsi" w:hAnsiTheme="minorHAnsi" w:cstheme="minorHAnsi"/>
          <w:sz w:val="22"/>
        </w:rPr>
        <w:t xml:space="preserve"> prebivalcev (</w:t>
      </w:r>
      <w:r w:rsidR="00D211D0" w:rsidRPr="008B037E">
        <w:rPr>
          <w:rFonts w:asciiTheme="minorHAnsi" w:hAnsiTheme="minorHAnsi" w:cstheme="minorHAnsi"/>
          <w:sz w:val="22"/>
        </w:rPr>
        <w:t>25,5%</w:t>
      </w:r>
      <w:r w:rsidR="001651E9" w:rsidRPr="008B037E">
        <w:rPr>
          <w:rFonts w:asciiTheme="minorHAnsi" w:hAnsiTheme="minorHAnsi" w:cstheme="minorHAnsi"/>
          <w:sz w:val="22"/>
        </w:rPr>
        <w:t xml:space="preserve"> prebivalcev celotne Savinjske regije</w:t>
      </w:r>
      <w:r w:rsidR="005D2203">
        <w:rPr>
          <w:rFonts w:asciiTheme="minorHAnsi" w:hAnsiTheme="minorHAnsi" w:cstheme="minorHAnsi"/>
          <w:sz w:val="22"/>
        </w:rPr>
        <w:t>).</w:t>
      </w:r>
    </w:p>
    <w:p w14:paraId="42CCB8C6" w14:textId="5F2EF277" w:rsidR="003D11EB" w:rsidRPr="008B037E" w:rsidRDefault="003D11EB" w:rsidP="00050BDF">
      <w:pPr>
        <w:spacing w:before="0" w:line="276" w:lineRule="auto"/>
        <w:rPr>
          <w:rFonts w:asciiTheme="minorHAnsi" w:hAnsiTheme="minorHAnsi" w:cstheme="minorHAnsi"/>
          <w:sz w:val="22"/>
        </w:rPr>
      </w:pPr>
      <w:r w:rsidRPr="008B037E">
        <w:rPr>
          <w:rFonts w:asciiTheme="minorHAnsi" w:hAnsiTheme="minorHAnsi" w:cstheme="minorHAnsi"/>
          <w:sz w:val="22"/>
        </w:rPr>
        <w:t>Za opredelitev območja vpliva premogovniške industrije je bil v analizi, izvedeni ob pr</w:t>
      </w:r>
      <w:r w:rsidR="00050BDF">
        <w:rPr>
          <w:rFonts w:asciiTheme="minorHAnsi" w:hAnsiTheme="minorHAnsi" w:cstheme="minorHAnsi"/>
          <w:sz w:val="22"/>
        </w:rPr>
        <w:t>i</w:t>
      </w:r>
      <w:r w:rsidRPr="008B037E">
        <w:rPr>
          <w:rFonts w:asciiTheme="minorHAnsi" w:hAnsiTheme="minorHAnsi" w:cstheme="minorHAnsi"/>
          <w:sz w:val="22"/>
        </w:rPr>
        <w:t>pravi akcijskega načrta</w:t>
      </w:r>
      <w:r w:rsidRPr="008B037E">
        <w:rPr>
          <w:rStyle w:val="Sprotnaopomba-sklic"/>
          <w:rFonts w:asciiTheme="minorHAnsi" w:hAnsiTheme="minorHAnsi" w:cstheme="minorHAnsi"/>
          <w:sz w:val="22"/>
        </w:rPr>
        <w:footnoteReference w:id="3"/>
      </w:r>
      <w:r w:rsidRPr="008B037E">
        <w:rPr>
          <w:rFonts w:asciiTheme="minorHAnsi" w:hAnsiTheme="minorHAnsi" w:cstheme="minorHAnsi"/>
          <w:sz w:val="22"/>
        </w:rPr>
        <w:t xml:space="preserve"> upoštevan gospodarski vpliv na strukturo zaposlovanja in na podporo poslovnemu okolju.</w:t>
      </w:r>
    </w:p>
    <w:p w14:paraId="26D84CC9" w14:textId="5179A04B" w:rsidR="003D11EB" w:rsidRPr="008B037E" w:rsidRDefault="00050BDF" w:rsidP="00050BDF">
      <w:pPr>
        <w:spacing w:before="0" w:line="276" w:lineRule="auto"/>
        <w:rPr>
          <w:rFonts w:asciiTheme="minorHAnsi" w:hAnsiTheme="minorHAnsi" w:cstheme="minorHAnsi"/>
          <w:sz w:val="22"/>
        </w:rPr>
      </w:pPr>
      <w:r>
        <w:rPr>
          <w:rFonts w:asciiTheme="minorHAnsi" w:hAnsiTheme="minorHAnsi" w:cstheme="minorHAnsi"/>
          <w:sz w:val="22"/>
        </w:rPr>
        <w:t>Pri an</w:t>
      </w:r>
      <w:r w:rsidR="003D11EB" w:rsidRPr="008B037E">
        <w:rPr>
          <w:rFonts w:asciiTheme="minorHAnsi" w:hAnsiTheme="minorHAnsi" w:cstheme="minorHAnsi"/>
          <w:sz w:val="22"/>
        </w:rPr>
        <w:t>a</w:t>
      </w:r>
      <w:r>
        <w:rPr>
          <w:rFonts w:asciiTheme="minorHAnsi" w:hAnsiTheme="minorHAnsi" w:cstheme="minorHAnsi"/>
          <w:sz w:val="22"/>
        </w:rPr>
        <w:t>l</w:t>
      </w:r>
      <w:r w:rsidR="003D11EB" w:rsidRPr="008B037E">
        <w:rPr>
          <w:rFonts w:asciiTheme="minorHAnsi" w:hAnsiTheme="minorHAnsi" w:cstheme="minorHAnsi"/>
          <w:sz w:val="22"/>
        </w:rPr>
        <w:t>iziranju neposrednega vpliva na zaposlitveno strukturo, je bil predmet primerjave število zaposlenih v premogovniški industriji kot absolutno število na občino in kot relativno število (odstotek aktivn</w:t>
      </w:r>
      <w:r>
        <w:rPr>
          <w:rFonts w:asciiTheme="minorHAnsi" w:hAnsiTheme="minorHAnsi" w:cstheme="minorHAnsi"/>
          <w:sz w:val="22"/>
        </w:rPr>
        <w:t>e</w:t>
      </w:r>
      <w:r w:rsidR="003D11EB" w:rsidRPr="008B037E">
        <w:rPr>
          <w:rFonts w:asciiTheme="minorHAnsi" w:hAnsiTheme="minorHAnsi" w:cstheme="minorHAnsi"/>
          <w:sz w:val="22"/>
        </w:rPr>
        <w:t xml:space="preserve"> delovne sile na občino). Glede na število zaposlenih je vpliv največji v 4 občinah (Velenje, Šoštanj, Mislinja, Šmartno ob Paki), kjer je bilo leta 2018 v PV in TEŠ skupaj zaposlenih 1</w:t>
      </w:r>
      <w:r w:rsidR="00715848">
        <w:rPr>
          <w:rFonts w:asciiTheme="minorHAnsi" w:hAnsiTheme="minorHAnsi" w:cstheme="minorHAnsi"/>
          <w:sz w:val="22"/>
        </w:rPr>
        <w:t>.</w:t>
      </w:r>
      <w:r w:rsidR="003D11EB" w:rsidRPr="008B037E">
        <w:rPr>
          <w:rFonts w:asciiTheme="minorHAnsi" w:hAnsiTheme="minorHAnsi" w:cstheme="minorHAnsi"/>
          <w:sz w:val="22"/>
        </w:rPr>
        <w:t>896, od tega 1</w:t>
      </w:r>
      <w:r w:rsidR="00715848">
        <w:rPr>
          <w:rFonts w:asciiTheme="minorHAnsi" w:hAnsiTheme="minorHAnsi" w:cstheme="minorHAnsi"/>
          <w:sz w:val="22"/>
        </w:rPr>
        <w:t>.</w:t>
      </w:r>
      <w:r w:rsidR="003D11EB" w:rsidRPr="008B037E">
        <w:rPr>
          <w:rFonts w:asciiTheme="minorHAnsi" w:hAnsiTheme="minorHAnsi" w:cstheme="minorHAnsi"/>
          <w:sz w:val="22"/>
        </w:rPr>
        <w:t xml:space="preserve">691 samo iz občine Velenja in občine Šoštanj. Glede na odstotek delovno aktivnih prebivalcev, zaposlenih v premogovništvu, </w:t>
      </w:r>
      <w:r w:rsidR="00BC5A6E">
        <w:rPr>
          <w:rFonts w:asciiTheme="minorHAnsi" w:hAnsiTheme="minorHAnsi" w:cstheme="minorHAnsi"/>
          <w:sz w:val="22"/>
        </w:rPr>
        <w:t>iz</w:t>
      </w:r>
      <w:r w:rsidR="00BC5A6E" w:rsidRPr="008B037E">
        <w:rPr>
          <w:rFonts w:asciiTheme="minorHAnsi" w:hAnsiTheme="minorHAnsi" w:cstheme="minorHAnsi"/>
          <w:sz w:val="22"/>
        </w:rPr>
        <w:t xml:space="preserve">stopajo </w:t>
      </w:r>
      <w:r w:rsidR="003D11EB" w:rsidRPr="008B037E">
        <w:rPr>
          <w:rFonts w:asciiTheme="minorHAnsi" w:hAnsiTheme="minorHAnsi" w:cstheme="minorHAnsi"/>
          <w:sz w:val="22"/>
        </w:rPr>
        <w:t xml:space="preserve">3 občine </w:t>
      </w:r>
      <w:r>
        <w:rPr>
          <w:rFonts w:asciiTheme="minorHAnsi" w:hAnsiTheme="minorHAnsi" w:cstheme="minorHAnsi"/>
          <w:sz w:val="22"/>
        </w:rPr>
        <w:t>(</w:t>
      </w:r>
      <w:r w:rsidR="003D11EB" w:rsidRPr="008B037E">
        <w:rPr>
          <w:rFonts w:asciiTheme="minorHAnsi" w:hAnsiTheme="minorHAnsi" w:cstheme="minorHAnsi"/>
          <w:sz w:val="22"/>
        </w:rPr>
        <w:t>Velenje, Šoštanj in Šmartno ob Paki), kjer premogovništvo neposredno zaposluje med 7 % in 12,5 % delovno aktivnega prebivalstva.</w:t>
      </w:r>
    </w:p>
    <w:p w14:paraId="3B2294C8" w14:textId="42074CBD" w:rsidR="003D11EB" w:rsidRPr="008B037E" w:rsidRDefault="003D11EB" w:rsidP="00050BDF">
      <w:pPr>
        <w:spacing w:before="0" w:line="276" w:lineRule="auto"/>
        <w:rPr>
          <w:rFonts w:asciiTheme="minorHAnsi" w:hAnsiTheme="minorHAnsi" w:cstheme="minorHAnsi"/>
          <w:sz w:val="22"/>
        </w:rPr>
      </w:pPr>
      <w:r w:rsidRPr="008B037E">
        <w:rPr>
          <w:rFonts w:asciiTheme="minorHAnsi" w:hAnsiTheme="minorHAnsi" w:cstheme="minorHAnsi"/>
          <w:sz w:val="22"/>
        </w:rPr>
        <w:t>Drug pomemben vidik gospodarskega vpliva premogovniške industrije predstavlja neposredni gospodarski vpliv na regijo in občine, za kar je bil analiziran kumulativni obseg transakcij med subjekti premogovništva (PV in TEŠ) in podjetji iz lokalnega poslovnega okolja. Glede na absolutno vrednost (</w:t>
      </w:r>
      <w:r w:rsidR="00050BDF">
        <w:rPr>
          <w:rFonts w:asciiTheme="minorHAnsi" w:hAnsiTheme="minorHAnsi" w:cstheme="minorHAnsi"/>
          <w:sz w:val="22"/>
        </w:rPr>
        <w:t>k</w:t>
      </w:r>
      <w:r w:rsidRPr="008B037E">
        <w:rPr>
          <w:rFonts w:asciiTheme="minorHAnsi" w:hAnsiTheme="minorHAnsi" w:cstheme="minorHAnsi"/>
          <w:sz w:val="22"/>
        </w:rPr>
        <w:t xml:space="preserve">umulativna velikost transakcij med subjekti premogovniške industrije in lokalnimi podjetji (na </w:t>
      </w:r>
      <w:r w:rsidR="00050BDF">
        <w:rPr>
          <w:rFonts w:asciiTheme="minorHAnsi" w:hAnsiTheme="minorHAnsi" w:cstheme="minorHAnsi"/>
          <w:sz w:val="22"/>
        </w:rPr>
        <w:t>občino in 3 letno</w:t>
      </w:r>
      <w:r w:rsidRPr="008B037E">
        <w:rPr>
          <w:rFonts w:asciiTheme="minorHAnsi" w:hAnsiTheme="minorHAnsi" w:cstheme="minorHAnsi"/>
          <w:sz w:val="22"/>
        </w:rPr>
        <w:t xml:space="preserve"> povprečje; 2017-2019) </w:t>
      </w:r>
      <w:r w:rsidR="00BC5A6E">
        <w:rPr>
          <w:rFonts w:asciiTheme="minorHAnsi" w:hAnsiTheme="minorHAnsi" w:cstheme="minorHAnsi"/>
          <w:sz w:val="22"/>
        </w:rPr>
        <w:t>iz</w:t>
      </w:r>
      <w:r w:rsidR="00BC5A6E" w:rsidRPr="008B037E">
        <w:rPr>
          <w:rFonts w:asciiTheme="minorHAnsi" w:hAnsiTheme="minorHAnsi" w:cstheme="minorHAnsi"/>
          <w:sz w:val="22"/>
        </w:rPr>
        <w:t xml:space="preserve">stopata </w:t>
      </w:r>
      <w:r w:rsidRPr="008B037E">
        <w:rPr>
          <w:rFonts w:asciiTheme="minorHAnsi" w:hAnsiTheme="minorHAnsi" w:cstheme="minorHAnsi"/>
          <w:sz w:val="22"/>
        </w:rPr>
        <w:t>občin</w:t>
      </w:r>
      <w:r w:rsidR="00050BDF">
        <w:rPr>
          <w:rFonts w:asciiTheme="minorHAnsi" w:hAnsiTheme="minorHAnsi" w:cstheme="minorHAnsi"/>
          <w:sz w:val="22"/>
        </w:rPr>
        <w:t xml:space="preserve">i Velenje in Šoštanj, glede na </w:t>
      </w:r>
      <w:r w:rsidRPr="008B037E">
        <w:rPr>
          <w:rFonts w:asciiTheme="minorHAnsi" w:hAnsiTheme="minorHAnsi" w:cstheme="minorHAnsi"/>
          <w:sz w:val="22"/>
        </w:rPr>
        <w:t>relativno odvisnost lokalnega poslovnega okolja pa je velika odvisnost izkazana v občinah Velenje, Šoštanj in Šmartno ob Paki (1,1 do 11,8% celotnega prihodka vseh gospodarskih družb v občini v letu 2018 predstavlja prihodek od premogovne industrije), med tem, ko ima poslovno okolje Mislinje le manjše neposredne poslovne vezi s premogovno industrijo.</w:t>
      </w:r>
    </w:p>
    <w:p w14:paraId="5FB97180" w14:textId="4B729CEA" w:rsidR="003D11EB" w:rsidRDefault="003D11EB" w:rsidP="00050BDF">
      <w:pPr>
        <w:spacing w:before="0" w:line="276" w:lineRule="auto"/>
        <w:rPr>
          <w:rFonts w:asciiTheme="minorHAnsi" w:hAnsiTheme="minorHAnsi" w:cstheme="minorHAnsi"/>
          <w:sz w:val="22"/>
        </w:rPr>
      </w:pPr>
      <w:r w:rsidRPr="008B037E">
        <w:rPr>
          <w:rFonts w:asciiTheme="minorHAnsi" w:hAnsiTheme="minorHAnsi" w:cstheme="minorHAnsi"/>
          <w:sz w:val="22"/>
        </w:rPr>
        <w:t xml:space="preserve">Območje treh občin </w:t>
      </w:r>
      <w:r w:rsidRPr="008B037E">
        <w:rPr>
          <w:rFonts w:asciiTheme="minorHAnsi" w:hAnsiTheme="minorHAnsi" w:cstheme="minorHAnsi"/>
          <w:b/>
          <w:sz w:val="22"/>
        </w:rPr>
        <w:t xml:space="preserve">Velenje, Šoštanj in Šmartno ob Paki </w:t>
      </w:r>
      <w:r w:rsidRPr="008B037E">
        <w:rPr>
          <w:rFonts w:asciiTheme="minorHAnsi" w:hAnsiTheme="minorHAnsi" w:cstheme="minorHAnsi"/>
          <w:sz w:val="22"/>
        </w:rPr>
        <w:t>je bilo, je in bo tudi v prihodnje najbolj izpostavljeno spremembam okolja in s tem povezanim tveganjem. Glede na vse navedene opredelitve in zgodovinsko povezanost pred</w:t>
      </w:r>
      <w:r w:rsidR="00050BDF">
        <w:rPr>
          <w:rFonts w:asciiTheme="minorHAnsi" w:hAnsiTheme="minorHAnsi" w:cstheme="minorHAnsi"/>
          <w:sz w:val="22"/>
        </w:rPr>
        <w:t>stavljajo te tri občine celovito</w:t>
      </w:r>
      <w:r w:rsidRPr="008B037E">
        <w:rPr>
          <w:rFonts w:asciiTheme="minorHAnsi" w:hAnsiTheme="minorHAnsi" w:cstheme="minorHAnsi"/>
          <w:sz w:val="22"/>
        </w:rPr>
        <w:t xml:space="preserve"> enot</w:t>
      </w:r>
      <w:r w:rsidR="00050BDF">
        <w:rPr>
          <w:rFonts w:asciiTheme="minorHAnsi" w:hAnsiTheme="minorHAnsi" w:cstheme="minorHAnsi"/>
          <w:sz w:val="22"/>
        </w:rPr>
        <w:t>o</w:t>
      </w:r>
      <w:r w:rsidRPr="008B037E">
        <w:rPr>
          <w:rFonts w:asciiTheme="minorHAnsi" w:hAnsiTheme="minorHAnsi" w:cstheme="minorHAnsi"/>
          <w:sz w:val="22"/>
        </w:rPr>
        <w:t xml:space="preserve">, zato to območje </w:t>
      </w:r>
      <w:r w:rsidRPr="008B037E">
        <w:rPr>
          <w:rFonts w:asciiTheme="minorHAnsi" w:hAnsiTheme="minorHAnsi" w:cstheme="minorHAnsi"/>
          <w:b/>
          <w:sz w:val="22"/>
        </w:rPr>
        <w:t>opredeljujemo kot ožje vplivno območje</w:t>
      </w:r>
      <w:r w:rsidR="00050BDF">
        <w:rPr>
          <w:rFonts w:asciiTheme="minorHAnsi" w:hAnsiTheme="minorHAnsi" w:cstheme="minorHAnsi"/>
          <w:b/>
          <w:sz w:val="22"/>
        </w:rPr>
        <w:t xml:space="preserve"> </w:t>
      </w:r>
    </w:p>
    <w:p w14:paraId="68442406" w14:textId="54AFD5AA" w:rsidR="003D11EB" w:rsidRPr="008B037E" w:rsidRDefault="003D11EB" w:rsidP="00697478">
      <w:pPr>
        <w:spacing w:before="0" w:line="276" w:lineRule="auto"/>
        <w:rPr>
          <w:rFonts w:asciiTheme="minorHAnsi" w:hAnsiTheme="minorHAnsi" w:cstheme="minorHAnsi"/>
          <w:sz w:val="22"/>
          <w:lang w:eastAsia="sl-SI"/>
        </w:rPr>
      </w:pPr>
      <w:r w:rsidRPr="008B037E">
        <w:rPr>
          <w:rFonts w:asciiTheme="minorHAnsi" w:hAnsiTheme="minorHAnsi" w:cstheme="minorHAnsi"/>
          <w:sz w:val="22"/>
          <w:lang w:eastAsia="sl-SI"/>
        </w:rPr>
        <w:lastRenderedPageBreak/>
        <w:t xml:space="preserve">Zaradi celostnega reševanja problematike prestrukturiranja je kot </w:t>
      </w:r>
      <w:r w:rsidRPr="008B037E">
        <w:rPr>
          <w:rFonts w:asciiTheme="minorHAnsi" w:hAnsiTheme="minorHAnsi" w:cstheme="minorHAnsi"/>
          <w:b/>
          <w:sz w:val="22"/>
          <w:lang w:eastAsia="sl-SI"/>
        </w:rPr>
        <w:t>širše vplivno območje</w:t>
      </w:r>
      <w:r w:rsidRPr="008B037E">
        <w:rPr>
          <w:rFonts w:asciiTheme="minorHAnsi" w:hAnsiTheme="minorHAnsi" w:cstheme="minorHAnsi"/>
          <w:sz w:val="22"/>
          <w:lang w:eastAsia="sl-SI"/>
        </w:rPr>
        <w:t xml:space="preserve"> smiselno opredeliti celotno SAŠA premogovno regijo, saj predstavlja zaokroženo </w:t>
      </w:r>
      <w:r w:rsidRPr="008B037E">
        <w:rPr>
          <w:rFonts w:asciiTheme="minorHAnsi" w:hAnsiTheme="minorHAnsi" w:cstheme="minorHAnsi"/>
          <w:b/>
          <w:sz w:val="22"/>
          <w:lang w:eastAsia="sl-SI"/>
        </w:rPr>
        <w:t>celoto desetih občin</w:t>
      </w:r>
      <w:r w:rsidRPr="008B037E">
        <w:rPr>
          <w:rFonts w:asciiTheme="minorHAnsi" w:hAnsiTheme="minorHAnsi" w:cstheme="minorHAnsi"/>
          <w:sz w:val="22"/>
          <w:lang w:eastAsia="sl-SI"/>
        </w:rPr>
        <w:t xml:space="preserve"> z močnimi zgodovinskimi, gospodarskimi in kulturnimi vezmi, ki se dnevno prepletajo na številnih ravneh javnega in zasebnega sektorja. Ob tem pa je pomembno razumevanje dinamike vplivov, ki z geografsko oddaljenostjo (od sedežev podjetij Premogovnik Velenje (PV) in Termoelektrarna Šoštanj (TEŠ)) hitro bledijo. Ključni strateški cilji ter nadaljnji ukrepi pravičnega prehoda </w:t>
      </w:r>
      <w:r w:rsidR="001651E9" w:rsidRPr="008B037E">
        <w:rPr>
          <w:rFonts w:asciiTheme="minorHAnsi" w:hAnsiTheme="minorHAnsi" w:cstheme="minorHAnsi"/>
          <w:sz w:val="22"/>
          <w:lang w:eastAsia="sl-SI"/>
        </w:rPr>
        <w:t>bodo</w:t>
      </w:r>
      <w:r w:rsidRPr="008B037E">
        <w:rPr>
          <w:rFonts w:asciiTheme="minorHAnsi" w:hAnsiTheme="minorHAnsi" w:cstheme="minorHAnsi"/>
          <w:sz w:val="22"/>
          <w:lang w:eastAsia="sl-SI"/>
        </w:rPr>
        <w:t xml:space="preserve"> usmerjeni v ustvarjanje pozitivnih vplivov na ožje vplivno območje, pri čemer se ti vplivi lahko dosegajo z izvajanjem ukrepov </w:t>
      </w:r>
      <w:r w:rsidRPr="008B037E">
        <w:rPr>
          <w:rFonts w:asciiTheme="minorHAnsi" w:hAnsiTheme="minorHAnsi" w:cstheme="minorHAnsi"/>
          <w:sz w:val="22"/>
        </w:rPr>
        <w:t>znotraj</w:t>
      </w:r>
      <w:r w:rsidRPr="008B037E">
        <w:rPr>
          <w:rFonts w:asciiTheme="minorHAnsi" w:hAnsiTheme="minorHAnsi" w:cstheme="minorHAnsi"/>
          <w:sz w:val="22"/>
          <w:lang w:eastAsia="sl-SI"/>
        </w:rPr>
        <w:t xml:space="preserve"> celotne SAŠA premogovne regije.</w:t>
      </w:r>
    </w:p>
    <w:p w14:paraId="27EEF563" w14:textId="77777777" w:rsidR="00E35207" w:rsidRPr="008B037E" w:rsidRDefault="00E35207" w:rsidP="00720E72">
      <w:pPr>
        <w:spacing w:before="0" w:after="0" w:line="276" w:lineRule="auto"/>
        <w:rPr>
          <w:rFonts w:asciiTheme="minorHAnsi" w:hAnsiTheme="minorHAnsi" w:cstheme="minorHAnsi"/>
          <w:sz w:val="22"/>
          <w:lang w:eastAsia="sl-SI"/>
        </w:rPr>
      </w:pPr>
    </w:p>
    <w:p w14:paraId="1FF8C8EB" w14:textId="77777777" w:rsidR="004629A9" w:rsidRPr="008B037E" w:rsidRDefault="004629A9" w:rsidP="00720E72">
      <w:pPr>
        <w:pStyle w:val="Odstavekseznama"/>
        <w:numPr>
          <w:ilvl w:val="0"/>
          <w:numId w:val="2"/>
        </w:numPr>
        <w:spacing w:after="0"/>
        <w:jc w:val="both"/>
        <w:rPr>
          <w:rFonts w:eastAsia="Times New Roman" w:cstheme="minorHAnsi"/>
          <w:b/>
        </w:rPr>
      </w:pPr>
      <w:r w:rsidRPr="008B037E">
        <w:rPr>
          <w:rFonts w:cstheme="minorHAnsi"/>
          <w:b/>
        </w:rPr>
        <w:t>Ocena izzivov prehoda za vsako opredeljeno območje</w:t>
      </w:r>
    </w:p>
    <w:p w14:paraId="264091BA" w14:textId="77777777" w:rsidR="004629A9" w:rsidRPr="008B037E" w:rsidRDefault="004629A9" w:rsidP="0013096A">
      <w:pPr>
        <w:pStyle w:val="Odstavekseznama"/>
        <w:spacing w:after="0"/>
        <w:ind w:left="502"/>
        <w:rPr>
          <w:rFonts w:cstheme="minorHAnsi"/>
          <w:i/>
        </w:rPr>
      </w:pPr>
      <w:r w:rsidRPr="008B037E">
        <w:rPr>
          <w:rFonts w:cstheme="minorHAnsi"/>
        </w:rPr>
        <w:t xml:space="preserve">2.1. Ocena gospodarskega, socialnega in območnega učinka na podnebno nevtralno gospodarstvo </w:t>
      </w:r>
    </w:p>
    <w:p w14:paraId="16234272" w14:textId="77777777" w:rsidR="004742D2" w:rsidRPr="008B037E" w:rsidRDefault="004742D2" w:rsidP="00720E72">
      <w:pPr>
        <w:pStyle w:val="Odstavekseznama"/>
        <w:spacing w:after="0"/>
        <w:jc w:val="both"/>
        <w:rPr>
          <w:rFonts w:cstheme="minorHAnsi"/>
          <w:highlight w:val="yellow"/>
        </w:rPr>
      </w:pPr>
    </w:p>
    <w:p w14:paraId="61B8D9E4" w14:textId="110482C6" w:rsidR="004742D2" w:rsidRPr="008B037E" w:rsidRDefault="004742D2" w:rsidP="00720E72">
      <w:pPr>
        <w:pStyle w:val="Odstavekseznama"/>
        <w:spacing w:after="0"/>
        <w:jc w:val="both"/>
        <w:rPr>
          <w:rFonts w:cstheme="minorHAnsi"/>
          <w:i/>
        </w:rPr>
      </w:pPr>
      <w:r w:rsidRPr="008B037E">
        <w:rPr>
          <w:rFonts w:cstheme="minorHAnsi"/>
          <w:i/>
        </w:rPr>
        <w:t xml:space="preserve">Sklic: člen </w:t>
      </w:r>
      <w:r w:rsidR="00A356E3" w:rsidRPr="008B037E">
        <w:rPr>
          <w:rFonts w:cstheme="minorHAnsi"/>
          <w:i/>
        </w:rPr>
        <w:t>11</w:t>
      </w:r>
      <w:r w:rsidRPr="008B037E">
        <w:rPr>
          <w:rFonts w:cstheme="minorHAnsi"/>
          <w:i/>
        </w:rPr>
        <w:t>(2)(c)</w:t>
      </w:r>
    </w:p>
    <w:tbl>
      <w:tblPr>
        <w:tblStyle w:val="Tabelamrea"/>
        <w:tblW w:w="0" w:type="auto"/>
        <w:tblInd w:w="0" w:type="dxa"/>
        <w:tblLook w:val="04A0" w:firstRow="1" w:lastRow="0" w:firstColumn="1" w:lastColumn="0" w:noHBand="0" w:noVBand="1"/>
      </w:tblPr>
      <w:tblGrid>
        <w:gridCol w:w="9062"/>
      </w:tblGrid>
      <w:tr w:rsidR="004742D2" w:rsidRPr="008B037E" w14:paraId="1254E253" w14:textId="77777777" w:rsidTr="002970DA">
        <w:trPr>
          <w:trHeight w:val="306"/>
        </w:trPr>
        <w:tc>
          <w:tcPr>
            <w:tcW w:w="9288" w:type="dxa"/>
            <w:tcBorders>
              <w:top w:val="single" w:sz="4" w:space="0" w:color="auto"/>
              <w:left w:val="single" w:sz="4" w:space="0" w:color="auto"/>
              <w:bottom w:val="single" w:sz="4" w:space="0" w:color="auto"/>
              <w:right w:val="single" w:sz="4" w:space="0" w:color="auto"/>
            </w:tcBorders>
            <w:hideMark/>
          </w:tcPr>
          <w:p w14:paraId="0B8BEECD"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Besedilno polje [12 000]</w:t>
            </w:r>
          </w:p>
        </w:tc>
      </w:tr>
    </w:tbl>
    <w:p w14:paraId="5D7B584D" w14:textId="77777777" w:rsidR="004742D2" w:rsidRPr="008B037E" w:rsidRDefault="004742D2" w:rsidP="00720E72">
      <w:pPr>
        <w:pStyle w:val="Odstavekseznama"/>
        <w:spacing w:after="0"/>
        <w:jc w:val="both"/>
        <w:rPr>
          <w:rFonts w:cstheme="minorHAnsi"/>
        </w:rPr>
      </w:pPr>
    </w:p>
    <w:tbl>
      <w:tblPr>
        <w:tblStyle w:val="Tabelamrea"/>
        <w:tblW w:w="0" w:type="auto"/>
        <w:tblInd w:w="0" w:type="dxa"/>
        <w:tblLook w:val="04A0" w:firstRow="1" w:lastRow="0" w:firstColumn="1" w:lastColumn="0" w:noHBand="0" w:noVBand="1"/>
      </w:tblPr>
      <w:tblGrid>
        <w:gridCol w:w="9062"/>
      </w:tblGrid>
      <w:tr w:rsidR="004742D2" w:rsidRPr="008B037E" w14:paraId="085D633E" w14:textId="77777777" w:rsidTr="001D68DF">
        <w:trPr>
          <w:trHeight w:val="699"/>
        </w:trPr>
        <w:tc>
          <w:tcPr>
            <w:tcW w:w="9288" w:type="dxa"/>
            <w:tcBorders>
              <w:top w:val="single" w:sz="4" w:space="0" w:color="auto"/>
              <w:left w:val="single" w:sz="4" w:space="0" w:color="auto"/>
              <w:bottom w:val="single" w:sz="4" w:space="0" w:color="auto"/>
              <w:right w:val="single" w:sz="4" w:space="0" w:color="auto"/>
            </w:tcBorders>
            <w:hideMark/>
          </w:tcPr>
          <w:p w14:paraId="5FF76D1E"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Opredelitev prizadetih gospodarskih dejavnosti in industrijskih sektorjev, ločeno po naslednjih kategorijah:</w:t>
            </w:r>
          </w:p>
          <w:p w14:paraId="32220E5C"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nazadujoči sektorji, za katere se pričakuje, da bodo zaradi prehoda prenehali z dejavnostmi oziroma jih znatno zmanjšali, vključno z ustrezno časovnico;</w:t>
            </w:r>
          </w:p>
          <w:p w14:paraId="5F8DBFEE"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sektorji v preoblikovanju, za katerih dejavnosti, procese in proizvode se pričakuje, da se bodo preoblikovali.</w:t>
            </w:r>
          </w:p>
          <w:p w14:paraId="5C08E580"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xml:space="preserve">Za vsakega od teh sektorjev: </w:t>
            </w:r>
          </w:p>
          <w:p w14:paraId="5C5949BF"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pričakovana izguba delovnih mest in potrebe po prekvalifikaciji, vključno z napovedjo potreb po znanju in spretnostih;</w:t>
            </w:r>
          </w:p>
          <w:p w14:paraId="686F13F4" w14:textId="77777777" w:rsidR="004742D2" w:rsidRPr="008B037E" w:rsidRDefault="004742D2" w:rsidP="00720E72">
            <w:pPr>
              <w:spacing w:before="0" w:after="0" w:line="276" w:lineRule="auto"/>
              <w:rPr>
                <w:rFonts w:asciiTheme="minorHAnsi" w:hAnsiTheme="minorHAnsi" w:cstheme="minorHAnsi"/>
                <w:sz w:val="22"/>
              </w:rPr>
            </w:pPr>
            <w:r w:rsidRPr="008B037E">
              <w:rPr>
                <w:rFonts w:asciiTheme="minorHAnsi" w:hAnsiTheme="minorHAnsi" w:cstheme="minorHAnsi"/>
                <w:i/>
                <w:sz w:val="22"/>
              </w:rPr>
              <w:t>– možnosti za diverzifikacijo gospodarstva in razvojne priložnosti.</w:t>
            </w:r>
          </w:p>
        </w:tc>
      </w:tr>
    </w:tbl>
    <w:p w14:paraId="01B4EEB6" w14:textId="77777777" w:rsidR="004742D2" w:rsidRPr="008B037E" w:rsidRDefault="004742D2" w:rsidP="00720E72">
      <w:pPr>
        <w:spacing w:before="0" w:after="0" w:line="276" w:lineRule="auto"/>
        <w:contextualSpacing/>
        <w:rPr>
          <w:rFonts w:asciiTheme="minorHAnsi" w:eastAsia="Times New Roman" w:hAnsiTheme="minorHAnsi" w:cstheme="minorHAnsi"/>
          <w:sz w:val="22"/>
        </w:rPr>
      </w:pPr>
    </w:p>
    <w:p w14:paraId="1B8D4F2B" w14:textId="624740CF" w:rsidR="00776C45" w:rsidRPr="008B037E" w:rsidRDefault="000A3B49" w:rsidP="00BC27E7">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SAŠA regija je še edina v državi, v kateri potekajo premogovne dejavnosti in kjer deluje termoelektr</w:t>
      </w:r>
      <w:r w:rsidR="00B12044" w:rsidRPr="008B037E">
        <w:rPr>
          <w:rFonts w:asciiTheme="minorHAnsi" w:eastAsia="Times New Roman" w:hAnsiTheme="minorHAnsi" w:cstheme="minorHAnsi"/>
          <w:sz w:val="22"/>
        </w:rPr>
        <w:t>ar</w:t>
      </w:r>
      <w:r w:rsidRPr="008B037E">
        <w:rPr>
          <w:rFonts w:asciiTheme="minorHAnsi" w:eastAsia="Times New Roman" w:hAnsiTheme="minorHAnsi" w:cstheme="minorHAnsi"/>
          <w:sz w:val="22"/>
        </w:rPr>
        <w:t>na na premog. Zaradi opuš</w:t>
      </w:r>
      <w:r w:rsidR="00AA2DA3" w:rsidRPr="008B037E">
        <w:rPr>
          <w:rFonts w:asciiTheme="minorHAnsi" w:eastAsia="Times New Roman" w:hAnsiTheme="minorHAnsi" w:cstheme="minorHAnsi"/>
          <w:sz w:val="22"/>
        </w:rPr>
        <w:t>č</w:t>
      </w:r>
      <w:r w:rsidRPr="008B037E">
        <w:rPr>
          <w:rFonts w:asciiTheme="minorHAnsi" w:eastAsia="Times New Roman" w:hAnsiTheme="minorHAnsi" w:cstheme="minorHAnsi"/>
          <w:sz w:val="22"/>
        </w:rPr>
        <w:t>anj</w:t>
      </w:r>
      <w:r w:rsidR="00AA2DA3" w:rsidRPr="008B037E">
        <w:rPr>
          <w:rFonts w:asciiTheme="minorHAnsi" w:eastAsia="Times New Roman" w:hAnsiTheme="minorHAnsi" w:cstheme="minorHAnsi"/>
          <w:sz w:val="22"/>
        </w:rPr>
        <w:t>a</w:t>
      </w:r>
      <w:r w:rsidRPr="008B037E">
        <w:rPr>
          <w:rFonts w:asciiTheme="minorHAnsi" w:eastAsia="Times New Roman" w:hAnsiTheme="minorHAnsi" w:cstheme="minorHAnsi"/>
          <w:sz w:val="22"/>
        </w:rPr>
        <w:t xml:space="preserve"> rabe premoga bodo, kot že omenjeno najbolj prizadete tri občine v katerih je bilo leta 2021 v podjetjih, ki so povezana z rabo premoga zaposlenih 2.473 prebivalcev. </w:t>
      </w:r>
      <w:r w:rsidR="00776C45" w:rsidRPr="008B037E">
        <w:rPr>
          <w:rFonts w:asciiTheme="minorHAnsi" w:eastAsia="Times New Roman" w:hAnsiTheme="minorHAnsi" w:cstheme="minorHAnsi"/>
          <w:sz w:val="22"/>
        </w:rPr>
        <w:t>Med zaposlenimi v SAŠA regiji prevladujejo moški (55,5 %). Po starostni strukturi je na</w:t>
      </w:r>
      <w:r w:rsidR="00AA2DA3" w:rsidRPr="008B037E">
        <w:rPr>
          <w:rFonts w:asciiTheme="minorHAnsi" w:eastAsia="Times New Roman" w:hAnsiTheme="minorHAnsi" w:cstheme="minorHAnsi"/>
          <w:sz w:val="22"/>
        </w:rPr>
        <w:t>j</w:t>
      </w:r>
      <w:r w:rsidR="00776C45" w:rsidRPr="008B037E">
        <w:rPr>
          <w:rFonts w:asciiTheme="minorHAnsi" w:eastAsia="Times New Roman" w:hAnsiTheme="minorHAnsi" w:cstheme="minorHAnsi"/>
          <w:sz w:val="22"/>
        </w:rPr>
        <w:t>večji delež (44 %) v skupini me</w:t>
      </w:r>
      <w:r w:rsidR="00473067" w:rsidRPr="008B037E">
        <w:rPr>
          <w:rFonts w:asciiTheme="minorHAnsi" w:eastAsia="Times New Roman" w:hAnsiTheme="minorHAnsi" w:cstheme="minorHAnsi"/>
          <w:sz w:val="22"/>
        </w:rPr>
        <w:t>d</w:t>
      </w:r>
      <w:r w:rsidR="00776C45" w:rsidRPr="008B037E">
        <w:rPr>
          <w:rFonts w:asciiTheme="minorHAnsi" w:eastAsia="Times New Roman" w:hAnsiTheme="minorHAnsi" w:cstheme="minorHAnsi"/>
          <w:sz w:val="22"/>
        </w:rPr>
        <w:t xml:space="preserve"> 35 in 49 leti. Mladi zaposleni (med 15 – 29 let) predstavljajo 15 %, kar je primerljivo z deležem mladih zaposlenih v Zasavju. Največja občina Velenje, bo zaradi opuščanja rabe premoga </w:t>
      </w:r>
      <w:r w:rsidR="00776C45" w:rsidRPr="00BC27E7">
        <w:rPr>
          <w:rFonts w:asciiTheme="minorHAnsi" w:hAnsiTheme="minorHAnsi" w:cstheme="minorHAnsi"/>
          <w:sz w:val="22"/>
          <w:lang w:eastAsia="sl-SI"/>
        </w:rPr>
        <w:t>najbolj</w:t>
      </w:r>
      <w:r w:rsidR="00776C45" w:rsidRPr="008B037E">
        <w:rPr>
          <w:rFonts w:asciiTheme="minorHAnsi" w:eastAsia="Times New Roman" w:hAnsiTheme="minorHAnsi" w:cstheme="minorHAnsi"/>
          <w:sz w:val="22"/>
        </w:rPr>
        <w:t xml:space="preserve"> prizadeta</w:t>
      </w:r>
      <w:r w:rsidR="0013096A">
        <w:rPr>
          <w:rFonts w:asciiTheme="minorHAnsi" w:eastAsia="Times New Roman" w:hAnsiTheme="minorHAnsi" w:cstheme="minorHAnsi"/>
          <w:sz w:val="22"/>
        </w:rPr>
        <w:t>,</w:t>
      </w:r>
      <w:r w:rsidR="00776C45" w:rsidRPr="008B037E">
        <w:rPr>
          <w:rFonts w:asciiTheme="minorHAnsi" w:eastAsia="Times New Roman" w:hAnsiTheme="minorHAnsi" w:cstheme="minorHAnsi"/>
          <w:sz w:val="22"/>
        </w:rPr>
        <w:t xml:space="preserve"> saj so prihodki občinskega proračuna, ki so povezani s premogovno dejavnostjo sorazmerno visoki (11,8 %) v primerjavi s Šoštanjem (5,1 %) in Šmartnim ob Paki (1,1 %).</w:t>
      </w:r>
      <w:r w:rsidR="003A64C7" w:rsidRPr="008B037E">
        <w:rPr>
          <w:rStyle w:val="Sprotnaopomba-sklic"/>
          <w:rFonts w:asciiTheme="minorHAnsi" w:eastAsia="Times New Roman" w:hAnsiTheme="minorHAnsi" w:cstheme="minorHAnsi"/>
          <w:sz w:val="22"/>
        </w:rPr>
        <w:footnoteReference w:id="4"/>
      </w:r>
    </w:p>
    <w:p w14:paraId="17F8D4EF" w14:textId="67A785B0" w:rsidR="000A3B49" w:rsidRPr="008B037E" w:rsidRDefault="000A3B49" w:rsidP="00BC27E7">
      <w:pPr>
        <w:spacing w:before="0" w:line="276" w:lineRule="auto"/>
        <w:rPr>
          <w:rFonts w:asciiTheme="minorHAnsi" w:eastAsia="Times New Roman" w:hAnsiTheme="minorHAnsi" w:cstheme="minorHAnsi"/>
          <w:sz w:val="22"/>
        </w:rPr>
      </w:pPr>
      <w:bookmarkStart w:id="1" w:name="_Hlk100731611"/>
      <w:r w:rsidRPr="008B037E">
        <w:rPr>
          <w:rFonts w:asciiTheme="minorHAnsi" w:eastAsia="Times New Roman" w:hAnsiTheme="minorHAnsi" w:cstheme="minorHAnsi"/>
          <w:sz w:val="22"/>
        </w:rPr>
        <w:t>V podjetjih povezanih z izrabo premoga je med zaposlenimi največ tistih, ki spadajo v starostno skupino med 45 – 50 let (20 % vseh zaposlenih), po velikosti sledi starostna skupina med 40  - 50 let. Zaposleni v starostni skupini med 20 – 35 let predstavljajo le 26 % vseh, kar je mogoče med drugim pripisati tudi dejstvu</w:t>
      </w:r>
      <w:r w:rsidR="00BC27E7">
        <w:rPr>
          <w:rFonts w:asciiTheme="minorHAnsi" w:eastAsia="Times New Roman" w:hAnsiTheme="minorHAnsi" w:cstheme="minorHAnsi"/>
          <w:sz w:val="22"/>
        </w:rPr>
        <w:t>,</w:t>
      </w:r>
      <w:r w:rsidRPr="008B037E">
        <w:rPr>
          <w:rFonts w:asciiTheme="minorHAnsi" w:eastAsia="Times New Roman" w:hAnsiTheme="minorHAnsi" w:cstheme="minorHAnsi"/>
          <w:sz w:val="22"/>
        </w:rPr>
        <w:t xml:space="preserve"> da zaposlitve v tem sektorju za mlade</w:t>
      </w:r>
      <w:r w:rsidR="009F18BC" w:rsidRPr="008B037E">
        <w:rPr>
          <w:rFonts w:asciiTheme="minorHAnsi" w:eastAsia="Times New Roman" w:hAnsiTheme="minorHAnsi" w:cstheme="minorHAnsi"/>
          <w:sz w:val="22"/>
        </w:rPr>
        <w:t>, ki na trg dela šele vstopajo,</w:t>
      </w:r>
      <w:r w:rsidRPr="008B037E">
        <w:rPr>
          <w:rFonts w:asciiTheme="minorHAnsi" w:eastAsia="Times New Roman" w:hAnsiTheme="minorHAnsi" w:cstheme="minorHAnsi"/>
          <w:sz w:val="22"/>
        </w:rPr>
        <w:t xml:space="preserve"> niso najbolj privlačne.</w:t>
      </w:r>
      <w:r w:rsidR="009F18BC" w:rsidRPr="008B037E">
        <w:rPr>
          <w:rFonts w:asciiTheme="minorHAnsi" w:eastAsia="Times New Roman" w:hAnsiTheme="minorHAnsi" w:cstheme="minorHAnsi"/>
          <w:sz w:val="22"/>
        </w:rPr>
        <w:t xml:space="preserve"> Druga značilnost v tem sektorju so dolgotrajne zaposlitve, kar kaže na to, da bo ob postopnem zapiranju rudnika, prehod zaposlenih v druge sektorje lahko težaven. Analiza </w:t>
      </w:r>
      <w:r w:rsidR="00C3019C" w:rsidRPr="008B037E">
        <w:rPr>
          <w:rFonts w:asciiTheme="minorHAnsi" w:eastAsia="Times New Roman" w:hAnsiTheme="minorHAnsi" w:cstheme="minorHAnsi"/>
          <w:sz w:val="22"/>
        </w:rPr>
        <w:t xml:space="preserve">vrzeli </w:t>
      </w:r>
      <w:r w:rsidR="009F18BC" w:rsidRPr="008B037E">
        <w:rPr>
          <w:rFonts w:asciiTheme="minorHAnsi" w:eastAsia="Times New Roman" w:hAnsiTheme="minorHAnsi" w:cstheme="minorHAnsi"/>
          <w:sz w:val="22"/>
        </w:rPr>
        <w:t>tako pokaže, da je večina zaposlenih v PV in skupini PV tam zaposlena več kot deset let, kar 16 % zaposlenih pa ima t</w:t>
      </w:r>
      <w:r w:rsidR="00473067" w:rsidRPr="008B037E">
        <w:rPr>
          <w:rFonts w:asciiTheme="minorHAnsi" w:eastAsia="Times New Roman" w:hAnsiTheme="minorHAnsi" w:cstheme="minorHAnsi"/>
          <w:sz w:val="22"/>
        </w:rPr>
        <w:t>a</w:t>
      </w:r>
      <w:r w:rsidR="009F18BC" w:rsidRPr="008B037E">
        <w:rPr>
          <w:rFonts w:asciiTheme="minorHAnsi" w:eastAsia="Times New Roman" w:hAnsiTheme="minorHAnsi" w:cstheme="minorHAnsi"/>
          <w:sz w:val="22"/>
        </w:rPr>
        <w:t xml:space="preserve">m med 25 </w:t>
      </w:r>
      <w:r w:rsidR="009F18BC" w:rsidRPr="008B037E">
        <w:rPr>
          <w:rFonts w:asciiTheme="minorHAnsi" w:eastAsia="Times New Roman" w:hAnsiTheme="minorHAnsi" w:cstheme="minorHAnsi"/>
          <w:sz w:val="22"/>
        </w:rPr>
        <w:lastRenderedPageBreak/>
        <w:t>in 30 let delovne dobe, 20 % pa celo več kot 30 let. Ta izrazita nizka delovna mobilnost kaže na to, da bo treba sredstva usmetiti v diverzifikacijo dela energetskih podjetij in tako ohraniti delovna mesta, čeprav so lahko izkušnje zaposlenih lahko zanimive tudi v drugih delovno-intenzivnih panogah, kot sta denimo predelovalna industrija in pa gradbeništvo.</w:t>
      </w:r>
    </w:p>
    <w:p w14:paraId="4BA1A899" w14:textId="7A69462A" w:rsidR="000A3B49" w:rsidRPr="008B037E" w:rsidRDefault="00D92217" w:rsidP="00BC27E7">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 xml:space="preserve">Izobrazbena struktura je pričakovana. Kar 37,4 % zaposlenih (brez TEŠ) ima izobrazbo s področja rudarstva/geodezije, sledi pa področje inženirjev (23 %), </w:t>
      </w:r>
      <w:r w:rsidR="00D431B9" w:rsidRPr="008B037E">
        <w:rPr>
          <w:rFonts w:asciiTheme="minorHAnsi" w:eastAsia="Times New Roman" w:hAnsiTheme="minorHAnsi" w:cstheme="minorHAnsi"/>
          <w:sz w:val="22"/>
        </w:rPr>
        <w:t>elektrotehniki</w:t>
      </w:r>
      <w:r w:rsidRPr="008B037E">
        <w:rPr>
          <w:rFonts w:asciiTheme="minorHAnsi" w:eastAsia="Times New Roman" w:hAnsiTheme="minorHAnsi" w:cstheme="minorHAnsi"/>
          <w:sz w:val="22"/>
        </w:rPr>
        <w:t xml:space="preserve"> predstavljajo 11 %. Velika večina zaposlenih ima srednješolsko izobrazbo z dodatnim poklicnim usposabljanjem, redki pa so zaposleni z visokošolsko in podiplomsko izobrazbo.</w:t>
      </w:r>
      <w:r w:rsidR="00776C45" w:rsidRPr="008B037E">
        <w:rPr>
          <w:rFonts w:asciiTheme="minorHAnsi" w:eastAsia="Times New Roman" w:hAnsiTheme="minorHAnsi" w:cstheme="minorHAnsi"/>
          <w:sz w:val="22"/>
        </w:rPr>
        <w:t xml:space="preserve"> </w:t>
      </w:r>
    </w:p>
    <w:p w14:paraId="2E35C999" w14:textId="77777777" w:rsidR="007659EE" w:rsidRDefault="00F43EA9" w:rsidP="007659EE">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Tudi z</w:t>
      </w:r>
      <w:r w:rsidR="00D544CB" w:rsidRPr="008B037E">
        <w:rPr>
          <w:rFonts w:asciiTheme="minorHAnsi" w:eastAsia="Times New Roman" w:hAnsiTheme="minorHAnsi" w:cstheme="minorHAnsi"/>
          <w:sz w:val="22"/>
        </w:rPr>
        <w:t xml:space="preserve"> ustrezno podporo preobrazbi energetskega sektorja </w:t>
      </w:r>
      <w:r w:rsidRPr="008B037E">
        <w:rPr>
          <w:rFonts w:asciiTheme="minorHAnsi" w:eastAsia="Times New Roman" w:hAnsiTheme="minorHAnsi" w:cstheme="minorHAnsi"/>
          <w:sz w:val="22"/>
        </w:rPr>
        <w:t xml:space="preserve">bomo </w:t>
      </w:r>
      <w:r w:rsidR="00D544CB" w:rsidRPr="008B037E">
        <w:rPr>
          <w:rFonts w:asciiTheme="minorHAnsi" w:eastAsia="Times New Roman" w:hAnsiTheme="minorHAnsi" w:cstheme="minorHAnsi"/>
          <w:sz w:val="22"/>
        </w:rPr>
        <w:t xml:space="preserve">lahko </w:t>
      </w:r>
      <w:r w:rsidRPr="008B037E">
        <w:rPr>
          <w:rFonts w:asciiTheme="minorHAnsi" w:eastAsia="Times New Roman" w:hAnsiTheme="minorHAnsi" w:cstheme="minorHAnsi"/>
          <w:sz w:val="22"/>
        </w:rPr>
        <w:t>prispevali</w:t>
      </w:r>
      <w:r w:rsidR="007659EE">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k ohranjanju</w:t>
      </w:r>
      <w:r w:rsidR="00D544CB" w:rsidRPr="008B037E">
        <w:rPr>
          <w:rFonts w:asciiTheme="minorHAnsi" w:eastAsia="Times New Roman" w:hAnsiTheme="minorHAnsi" w:cstheme="minorHAnsi"/>
          <w:sz w:val="22"/>
        </w:rPr>
        <w:t xml:space="preserve"> delovnih mest. </w:t>
      </w:r>
      <w:r w:rsidR="00246470" w:rsidRPr="008B037E">
        <w:rPr>
          <w:rFonts w:asciiTheme="minorHAnsi" w:eastAsia="Times New Roman" w:hAnsiTheme="minorHAnsi" w:cstheme="minorHAnsi"/>
          <w:sz w:val="22"/>
        </w:rPr>
        <w:t>Pri čemer bo posebno pozornost treba nameniti tistim zaposlenim, ki svojih</w:t>
      </w:r>
      <w:r w:rsidR="007659EE">
        <w:rPr>
          <w:rFonts w:asciiTheme="minorHAnsi" w:eastAsia="Times New Roman" w:hAnsiTheme="minorHAnsi" w:cstheme="minorHAnsi"/>
          <w:sz w:val="22"/>
        </w:rPr>
        <w:t xml:space="preserve"> </w:t>
      </w:r>
      <w:r w:rsidR="00D544CB" w:rsidRPr="008B037E">
        <w:rPr>
          <w:rFonts w:asciiTheme="minorHAnsi" w:eastAsia="Times New Roman" w:hAnsiTheme="minorHAnsi" w:cstheme="minorHAnsi"/>
          <w:sz w:val="22"/>
        </w:rPr>
        <w:t xml:space="preserve">znanj in kompetenc ne bi mogli uporabiti v drugih sektorjih. To še posebej velja za starejše, tiste, ki imajo v tem sektorju dolg staž ali pa imajo skromne kompetence. Prav ti zaposleni bi lahko v sektorju vztrajali najdlje. </w:t>
      </w:r>
    </w:p>
    <w:p w14:paraId="382BCE26" w14:textId="33E4808E" w:rsidR="00D92217" w:rsidRPr="008B037E" w:rsidRDefault="007659EE" w:rsidP="007659EE">
      <w:pPr>
        <w:spacing w:before="0" w:line="276" w:lineRule="auto"/>
        <w:rPr>
          <w:rFonts w:asciiTheme="minorHAnsi" w:eastAsia="Times New Roman" w:hAnsiTheme="minorHAnsi" w:cstheme="minorHAnsi"/>
          <w:sz w:val="22"/>
        </w:rPr>
      </w:pPr>
      <w:r w:rsidRPr="000A4308">
        <w:rPr>
          <w:rFonts w:asciiTheme="minorHAnsi" w:hAnsiTheme="minorHAnsi"/>
          <w:sz w:val="22"/>
        </w:rPr>
        <w:t>Š</w:t>
      </w:r>
      <w:r w:rsidR="00D92217" w:rsidRPr="000A4308">
        <w:rPr>
          <w:rFonts w:asciiTheme="minorHAnsi" w:hAnsiTheme="minorHAnsi"/>
          <w:sz w:val="22"/>
        </w:rPr>
        <w:t>tevilna podjetja v regiji</w:t>
      </w:r>
      <w:r w:rsidRPr="000A4308">
        <w:rPr>
          <w:rFonts w:asciiTheme="minorHAnsi" w:hAnsiTheme="minorHAnsi"/>
          <w:sz w:val="22"/>
        </w:rPr>
        <w:t xml:space="preserve"> se</w:t>
      </w:r>
      <w:r w:rsidR="00D92217" w:rsidRPr="000A4308">
        <w:rPr>
          <w:rFonts w:asciiTheme="minorHAnsi" w:hAnsiTheme="minorHAnsi"/>
          <w:sz w:val="22"/>
        </w:rPr>
        <w:t xml:space="preserve"> že soočajo s pomanjkanjem ust</w:t>
      </w:r>
      <w:r w:rsidRPr="000A4308">
        <w:rPr>
          <w:rFonts w:asciiTheme="minorHAnsi" w:hAnsiTheme="minorHAnsi"/>
          <w:sz w:val="22"/>
        </w:rPr>
        <w:t>rezno usposobljene delovne sile,</w:t>
      </w:r>
      <w:r w:rsidR="00D92217" w:rsidRPr="000A4308">
        <w:rPr>
          <w:rFonts w:asciiTheme="minorHAnsi" w:hAnsiTheme="minorHAnsi"/>
          <w:sz w:val="22"/>
        </w:rPr>
        <w:t xml:space="preserve"> kot </w:t>
      </w:r>
      <w:r w:rsidRPr="000A4308">
        <w:rPr>
          <w:rFonts w:asciiTheme="minorHAnsi" w:hAnsiTheme="minorHAnsi"/>
          <w:sz w:val="22"/>
        </w:rPr>
        <w:t xml:space="preserve">so </w:t>
      </w:r>
      <w:r w:rsidR="00D92217" w:rsidRPr="000A4308">
        <w:rPr>
          <w:rFonts w:asciiTheme="minorHAnsi" w:hAnsiTheme="minorHAnsi"/>
          <w:sz w:val="22"/>
        </w:rPr>
        <w:t>denimo elektr</w:t>
      </w:r>
      <w:r w:rsidR="00473067" w:rsidRPr="000A4308">
        <w:rPr>
          <w:rFonts w:asciiTheme="minorHAnsi" w:hAnsiTheme="minorHAnsi"/>
          <w:sz w:val="22"/>
        </w:rPr>
        <w:t>otehniki</w:t>
      </w:r>
      <w:r w:rsidR="00D92217" w:rsidRPr="000A4308">
        <w:rPr>
          <w:rFonts w:asciiTheme="minorHAnsi" w:hAnsiTheme="minorHAnsi"/>
          <w:sz w:val="22"/>
        </w:rPr>
        <w:t xml:space="preserve"> ali inženirji</w:t>
      </w:r>
      <w:r w:rsidR="00DE161E" w:rsidRPr="000A4308">
        <w:rPr>
          <w:rFonts w:asciiTheme="minorHAnsi" w:hAnsiTheme="minorHAnsi"/>
          <w:sz w:val="22"/>
        </w:rPr>
        <w:t xml:space="preserve">. Zato imajo </w:t>
      </w:r>
      <w:r w:rsidR="00D544CB" w:rsidRPr="000A4308">
        <w:rPr>
          <w:rFonts w:asciiTheme="minorHAnsi" w:hAnsiTheme="minorHAnsi"/>
          <w:sz w:val="22"/>
        </w:rPr>
        <w:t xml:space="preserve">ti </w:t>
      </w:r>
      <w:r w:rsidR="00DE161E" w:rsidRPr="000A4308">
        <w:rPr>
          <w:rFonts w:asciiTheme="minorHAnsi" w:hAnsiTheme="minorHAnsi"/>
          <w:sz w:val="22"/>
        </w:rPr>
        <w:t>zaposleni v premogovništv</w:t>
      </w:r>
      <w:r w:rsidR="00D544CB" w:rsidRPr="000A4308">
        <w:rPr>
          <w:rFonts w:asciiTheme="minorHAnsi" w:hAnsiTheme="minorHAnsi"/>
          <w:sz w:val="22"/>
        </w:rPr>
        <w:t>u, ki bi se vključili v ustrezne programe prekvalifikacij</w:t>
      </w:r>
      <w:r w:rsidR="00DE161E" w:rsidRPr="000A4308">
        <w:rPr>
          <w:rFonts w:asciiTheme="minorHAnsi" w:hAnsiTheme="minorHAnsi"/>
          <w:sz w:val="22"/>
        </w:rPr>
        <w:t xml:space="preserve">, dokaj ugodne </w:t>
      </w:r>
      <w:r w:rsidR="00D92217" w:rsidRPr="000A4308">
        <w:rPr>
          <w:rFonts w:asciiTheme="minorHAnsi" w:hAnsiTheme="minorHAnsi"/>
          <w:sz w:val="22"/>
        </w:rPr>
        <w:t>možnosti</w:t>
      </w:r>
      <w:r w:rsidR="00DE161E" w:rsidRPr="000A4308">
        <w:rPr>
          <w:rFonts w:asciiTheme="minorHAnsi" w:hAnsiTheme="minorHAnsi"/>
          <w:sz w:val="22"/>
        </w:rPr>
        <w:t xml:space="preserve"> za pr</w:t>
      </w:r>
      <w:r w:rsidR="00473067" w:rsidRPr="000A4308">
        <w:rPr>
          <w:rFonts w:asciiTheme="minorHAnsi" w:hAnsiTheme="minorHAnsi"/>
          <w:sz w:val="22"/>
        </w:rPr>
        <w:t>e</w:t>
      </w:r>
      <w:r w:rsidR="00DE161E" w:rsidRPr="000A4308">
        <w:rPr>
          <w:rFonts w:asciiTheme="minorHAnsi" w:hAnsiTheme="minorHAnsi"/>
          <w:sz w:val="22"/>
        </w:rPr>
        <w:t>zaposlitev</w:t>
      </w:r>
      <w:r w:rsidR="002C7265" w:rsidRPr="000A4308">
        <w:rPr>
          <w:rFonts w:asciiTheme="minorHAnsi" w:hAnsiTheme="minorHAnsi"/>
          <w:sz w:val="22"/>
        </w:rPr>
        <w:t xml:space="preserve">, </w:t>
      </w:r>
      <w:r w:rsidR="00991B30" w:rsidRPr="000A4308">
        <w:rPr>
          <w:rFonts w:asciiTheme="minorHAnsi" w:hAnsiTheme="minorHAnsi"/>
          <w:sz w:val="22"/>
        </w:rPr>
        <w:t xml:space="preserve">razvoja in </w:t>
      </w:r>
      <w:r w:rsidR="00D544CB" w:rsidRPr="000A4308">
        <w:rPr>
          <w:rFonts w:asciiTheme="minorHAnsi" w:hAnsiTheme="minorHAnsi"/>
          <w:sz w:val="22"/>
        </w:rPr>
        <w:t>ko se bo začel proces</w:t>
      </w:r>
      <w:r w:rsidR="00D92217" w:rsidRPr="000A4308">
        <w:rPr>
          <w:rFonts w:asciiTheme="minorHAnsi" w:hAnsiTheme="minorHAnsi"/>
          <w:sz w:val="22"/>
        </w:rPr>
        <w:t xml:space="preserve"> </w:t>
      </w:r>
      <w:r w:rsidR="00246470" w:rsidRPr="000A4308">
        <w:rPr>
          <w:rFonts w:asciiTheme="minorHAnsi" w:hAnsiTheme="minorHAnsi"/>
          <w:sz w:val="22"/>
        </w:rPr>
        <w:t xml:space="preserve">postopnega </w:t>
      </w:r>
      <w:r w:rsidR="00D92217" w:rsidRPr="000A4308">
        <w:rPr>
          <w:rFonts w:asciiTheme="minorHAnsi" w:hAnsiTheme="minorHAnsi"/>
          <w:sz w:val="22"/>
        </w:rPr>
        <w:t>opuščanja rabe premoga.</w:t>
      </w:r>
      <w:r w:rsidR="00D544CB" w:rsidRPr="000A4308">
        <w:rPr>
          <w:rFonts w:asciiTheme="minorHAnsi" w:hAnsiTheme="minorHAnsi"/>
          <w:sz w:val="22"/>
        </w:rPr>
        <w:t xml:space="preserve"> </w:t>
      </w:r>
      <w:r w:rsidR="003A64C7" w:rsidRPr="000A4308">
        <w:rPr>
          <w:rFonts w:asciiTheme="minorHAnsi" w:hAnsiTheme="minorHAnsi"/>
          <w:sz w:val="22"/>
        </w:rPr>
        <w:t xml:space="preserve">Pri </w:t>
      </w:r>
      <w:r w:rsidRPr="000A4308">
        <w:rPr>
          <w:rFonts w:asciiTheme="minorHAnsi" w:hAnsiTheme="minorHAnsi"/>
          <w:sz w:val="22"/>
        </w:rPr>
        <w:t>tem</w:t>
      </w:r>
      <w:r w:rsidR="003A64C7" w:rsidRPr="000A4308">
        <w:rPr>
          <w:rFonts w:asciiTheme="minorHAnsi" w:hAnsiTheme="minorHAnsi"/>
          <w:sz w:val="22"/>
        </w:rPr>
        <w:t xml:space="preserve"> bo treba oblikovati zelo kakovostne in ciljane programe usposabljanja in s katerimi bi zadostili potrebam po bodočih delovnih mestih ter s katerimi bomo zmanjševali obstoječo vrzel na med ponudbo in povpraševanjem na trgu dela.</w:t>
      </w:r>
      <w:r w:rsidR="002C7265" w:rsidRPr="000A4308">
        <w:rPr>
          <w:rFonts w:asciiTheme="minorHAnsi" w:hAnsiTheme="minorHAnsi"/>
          <w:sz w:val="22"/>
        </w:rPr>
        <w:t xml:space="preserve"> Predvsem bodo v ospredju programi prekvalifikacij in pridobitve veljavne formalne izobrazbe, pridobivanje certifikata nacionalne policne kvalifikacije oz. NPK in sicer za </w:t>
      </w:r>
      <w:r w:rsidR="00556394" w:rsidRPr="000A4308">
        <w:rPr>
          <w:rFonts w:asciiTheme="minorHAnsi" w:hAnsiTheme="minorHAnsi"/>
          <w:sz w:val="22"/>
        </w:rPr>
        <w:t xml:space="preserve">področja </w:t>
      </w:r>
      <w:r w:rsidR="002C7265" w:rsidRPr="000A4308">
        <w:rPr>
          <w:rFonts w:asciiTheme="minorHAnsi" w:hAnsiTheme="minorHAnsi"/>
          <w:sz w:val="22"/>
        </w:rPr>
        <w:t>gradbeništva, strojništva, kovinarstva, elektrotehnike, energetike, lesarstva,</w:t>
      </w:r>
      <w:r w:rsidR="002C7265" w:rsidRPr="000A4308">
        <w:rPr>
          <w:sz w:val="22"/>
        </w:rPr>
        <w:t xml:space="preserve"> </w:t>
      </w:r>
      <w:r w:rsidR="002C7265" w:rsidRPr="000A4308">
        <w:rPr>
          <w:rFonts w:asciiTheme="minorHAnsi" w:hAnsiTheme="minorHAnsi"/>
          <w:sz w:val="22"/>
        </w:rPr>
        <w:t>sanacije okolja in ravnanja z odpadki, predelovalne industrije, logistike, skladiščenja in vzdrževanja, proizvodnje gospodinjskih aparatov oz. bele tehnike ipd.</w:t>
      </w:r>
    </w:p>
    <w:p w14:paraId="4551890B" w14:textId="48B9093B" w:rsidR="00776C45" w:rsidRPr="008B037E" w:rsidRDefault="00776C45" w:rsidP="007659EE">
      <w:pPr>
        <w:spacing w:before="0" w:line="276" w:lineRule="auto"/>
      </w:pPr>
      <w:r w:rsidRPr="008B037E">
        <w:rPr>
          <w:rFonts w:asciiTheme="minorHAnsi" w:eastAsia="Times New Roman" w:hAnsiTheme="minorHAnsi" w:cstheme="minorHAnsi"/>
          <w:sz w:val="22"/>
        </w:rPr>
        <w:t xml:space="preserve">Po ocenah bo do 2033 namanj 22 % trenutno zaposlenih v premogovnem sektorju upravičenih do upokojitve. Več sto rudarjev bo delalo na zapiralnih delih, tako da je po oceni Ministrstva za infrastrukturo rešitev treba najti </w:t>
      </w:r>
      <w:r w:rsidRPr="000A4308">
        <w:rPr>
          <w:rFonts w:asciiTheme="minorHAnsi" w:hAnsiTheme="minorHAnsi"/>
          <w:sz w:val="22"/>
        </w:rPr>
        <w:t>za približno tretjino zaposlenih rudarjev</w:t>
      </w:r>
      <w:r w:rsidR="00E23B36" w:rsidRPr="000A4308">
        <w:rPr>
          <w:rFonts w:asciiTheme="minorHAnsi" w:hAnsiTheme="minorHAnsi"/>
          <w:sz w:val="22"/>
        </w:rPr>
        <w:t xml:space="preserve"> (podatki iz Območnega razvojnega programa SAŠA</w:t>
      </w:r>
      <w:r w:rsidR="002669E5" w:rsidRPr="002669E5">
        <w:rPr>
          <w:rStyle w:val="Sprotnaopomba-sklic"/>
          <w:rFonts w:asciiTheme="minorHAnsi" w:eastAsia="Times New Roman" w:hAnsiTheme="minorHAnsi" w:cstheme="minorHAnsi"/>
          <w:sz w:val="22"/>
        </w:rPr>
        <w:footnoteReference w:id="5"/>
      </w:r>
      <w:r w:rsidR="00E23B36" w:rsidRPr="002669E5">
        <w:rPr>
          <w:rFonts w:asciiTheme="minorHAnsi" w:eastAsia="Times New Roman" w:hAnsiTheme="minorHAnsi" w:cstheme="minorHAnsi"/>
          <w:sz w:val="22"/>
        </w:rPr>
        <w:t>;</w:t>
      </w:r>
      <w:r w:rsidR="00E23B36" w:rsidRPr="000A4308">
        <w:rPr>
          <w:rFonts w:asciiTheme="minorHAnsi" w:hAnsiTheme="minorHAnsi"/>
          <w:sz w:val="22"/>
        </w:rPr>
        <w:t xml:space="preserve"> zaposleni z več kot 20 let do upokojitve)</w:t>
      </w:r>
      <w:r w:rsidRPr="000A4308">
        <w:rPr>
          <w:rFonts w:asciiTheme="minorHAnsi" w:hAnsiTheme="minorHAnsi"/>
          <w:sz w:val="22"/>
        </w:rPr>
        <w:t xml:space="preserve">. </w:t>
      </w:r>
      <w:r w:rsidR="00763A4B" w:rsidRPr="000A4308">
        <w:rPr>
          <w:rFonts w:asciiTheme="minorHAnsi" w:hAnsiTheme="minorHAnsi"/>
          <w:sz w:val="22"/>
        </w:rPr>
        <w:t xml:space="preserve">Prilagoditev trga dela je ena ključnih gonilnih sil </w:t>
      </w:r>
      <w:r w:rsidR="00E23B36" w:rsidRPr="000A4308">
        <w:rPr>
          <w:rFonts w:asciiTheme="minorHAnsi" w:hAnsiTheme="minorHAnsi"/>
          <w:sz w:val="22"/>
        </w:rPr>
        <w:t xml:space="preserve">razvoja </w:t>
      </w:r>
      <w:r w:rsidR="00763A4B" w:rsidRPr="000A4308">
        <w:rPr>
          <w:rFonts w:asciiTheme="minorHAnsi" w:hAnsiTheme="minorHAnsi"/>
          <w:sz w:val="22"/>
        </w:rPr>
        <w:t>SAŠA območja. Predvsem zato, ker bo potrebno hitro prilagajanje glede na prestrukturiranje regije ob zapiranju rudnika. Poleg posodobitve nacionalnih programov za prilagoditev trgu dela, bo območje potrebovalo tudi svoje lastne programe »po meri«, ki bodo omogočili prilagajanje glede na trenutne razmere na trgu dela</w:t>
      </w:r>
      <w:r w:rsidR="00763A4B" w:rsidRPr="00AA2FD2">
        <w:rPr>
          <w:rFonts w:asciiTheme="minorHAnsi" w:eastAsia="Times New Roman" w:hAnsiTheme="minorHAnsi" w:cstheme="minorHAnsi"/>
          <w:sz w:val="22"/>
        </w:rPr>
        <w:t>.</w:t>
      </w:r>
      <w:r w:rsidRPr="008B037E">
        <w:rPr>
          <w:rFonts w:asciiTheme="minorHAnsi" w:eastAsia="Times New Roman" w:hAnsiTheme="minorHAnsi" w:cstheme="minorHAnsi"/>
          <w:sz w:val="22"/>
        </w:rPr>
        <w:t xml:space="preserve"> Zaradi njihove starostne in izobrazbene strukture bo treba ukrepe v okviru tega programa, ki bodo usmerjeni v diverzifikacijo in prestrukturiranje energetskega sektorja, </w:t>
      </w:r>
      <w:r w:rsidR="00CD3022" w:rsidRPr="008B037E">
        <w:rPr>
          <w:rFonts w:asciiTheme="minorHAnsi" w:eastAsia="Times New Roman" w:hAnsiTheme="minorHAnsi" w:cstheme="minorHAnsi"/>
          <w:sz w:val="22"/>
        </w:rPr>
        <w:t>oblikovati tako, da bo</w:t>
      </w:r>
      <w:r w:rsidR="008758BA">
        <w:rPr>
          <w:rFonts w:asciiTheme="minorHAnsi" w:eastAsia="Times New Roman" w:hAnsiTheme="minorHAnsi" w:cstheme="minorHAnsi"/>
          <w:sz w:val="22"/>
        </w:rPr>
        <w:t>do</w:t>
      </w:r>
      <w:r w:rsidR="00CD3022" w:rsidRPr="008B037E">
        <w:rPr>
          <w:rFonts w:asciiTheme="minorHAnsi" w:eastAsia="Times New Roman" w:hAnsiTheme="minorHAnsi" w:cstheme="minorHAnsi"/>
          <w:sz w:val="22"/>
        </w:rPr>
        <w:t xml:space="preserve"> podpiral</w:t>
      </w:r>
      <w:r w:rsidR="008758BA">
        <w:rPr>
          <w:rFonts w:asciiTheme="minorHAnsi" w:eastAsia="Times New Roman" w:hAnsiTheme="minorHAnsi" w:cstheme="minorHAnsi"/>
          <w:sz w:val="22"/>
        </w:rPr>
        <w:t>i</w:t>
      </w:r>
      <w:r w:rsidR="00CD3022" w:rsidRPr="008B037E">
        <w:rPr>
          <w:rFonts w:asciiTheme="minorHAnsi" w:eastAsia="Times New Roman" w:hAnsiTheme="minorHAnsi" w:cstheme="minorHAnsi"/>
          <w:sz w:val="22"/>
        </w:rPr>
        <w:t xml:space="preserve"> prehod države v podnebno nevtralnost in da bo</w:t>
      </w:r>
      <w:r w:rsidR="00473067" w:rsidRPr="008B037E">
        <w:rPr>
          <w:rFonts w:asciiTheme="minorHAnsi" w:eastAsia="Times New Roman" w:hAnsiTheme="minorHAnsi" w:cstheme="minorHAnsi"/>
          <w:sz w:val="22"/>
        </w:rPr>
        <w:t>d</w:t>
      </w:r>
      <w:r w:rsidR="00CD3022" w:rsidRPr="008B037E">
        <w:rPr>
          <w:rFonts w:asciiTheme="minorHAnsi" w:eastAsia="Times New Roman" w:hAnsiTheme="minorHAnsi" w:cstheme="minorHAnsi"/>
          <w:sz w:val="22"/>
        </w:rPr>
        <w:t xml:space="preserve">o ti zaposleni lahko obdržali aktivno zaposlitev. </w:t>
      </w:r>
    </w:p>
    <w:p w14:paraId="283E2F12" w14:textId="118FE8AE" w:rsidR="00D544CB" w:rsidRPr="008B037E" w:rsidRDefault="00CD3022" w:rsidP="007659EE">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 xml:space="preserve">Na podlagi izkušenj iz Zasavja je mogoče sklepati, da bodo ob opuščanju rabe premoga najbolj prizadeti zaposleni v starostni skupini nad 40 let, brez ali le z osnovnošolsko izobrazbo, ki imajo več kot 10 let delovnih izkušenj. </w:t>
      </w:r>
      <w:r w:rsidR="00D544CB" w:rsidRPr="008B037E">
        <w:rPr>
          <w:rFonts w:asciiTheme="minorHAnsi" w:eastAsia="Times New Roman" w:hAnsiTheme="minorHAnsi" w:cstheme="minorHAnsi"/>
          <w:sz w:val="22"/>
        </w:rPr>
        <w:t>Podatki iz sektorja rabe premoga pa kažejo, da mladi nimajo velikega interesa za delo v tem sektorju, zato se v njem zaposlujejo le redki mladi.</w:t>
      </w:r>
      <w:r w:rsidR="006D7B6D" w:rsidRPr="008B037E">
        <w:rPr>
          <w:rFonts w:asciiTheme="minorHAnsi" w:eastAsia="Times New Roman" w:hAnsiTheme="minorHAnsi" w:cstheme="minorHAnsi"/>
          <w:sz w:val="22"/>
        </w:rPr>
        <w:t xml:space="preserve"> Sektor rabe premoga tako ne predstavlja pomembnega zaposlovalnega »magneta« za mlade ali za to, da bodo mladi in visoko usposobljeni zaposleni zaradi delovnih mest v tem sektorju ostajali v regiji.</w:t>
      </w:r>
      <w:r w:rsidR="00757226" w:rsidRPr="008B037E">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 xml:space="preserve">Za privabljanje in zadržanje mladih </w:t>
      </w:r>
      <w:r w:rsidRPr="008B037E">
        <w:rPr>
          <w:rFonts w:asciiTheme="minorHAnsi" w:eastAsia="Times New Roman" w:hAnsiTheme="minorHAnsi" w:cstheme="minorHAnsi"/>
          <w:sz w:val="22"/>
        </w:rPr>
        <w:lastRenderedPageBreak/>
        <w:t>(starostna skupina 15 – 29 let) v regiji je za njihovo usposabljanje in prakse treba zagotoviti dodatna sredstva</w:t>
      </w:r>
      <w:r w:rsidR="005F4BD5" w:rsidRPr="008B037E">
        <w:rPr>
          <w:rFonts w:asciiTheme="minorHAnsi" w:eastAsia="Times New Roman" w:hAnsiTheme="minorHAnsi" w:cstheme="minorHAnsi"/>
          <w:sz w:val="22"/>
        </w:rPr>
        <w:t>.</w:t>
      </w:r>
    </w:p>
    <w:p w14:paraId="1DA690DC" w14:textId="730EC993" w:rsidR="00F87E5C" w:rsidRPr="008B037E" w:rsidRDefault="00F87E5C" w:rsidP="008758BA">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V regiji so prisotna tako mala in srednjevelika podjetja, pa tudi velika podjetja. V celotni SAŠA regiji trenutno deluje 1</w:t>
      </w:r>
      <w:r w:rsidR="008758BA">
        <w:rPr>
          <w:rFonts w:asciiTheme="minorHAnsi" w:eastAsia="Times New Roman" w:hAnsiTheme="minorHAnsi" w:cstheme="minorHAnsi"/>
          <w:sz w:val="22"/>
        </w:rPr>
        <w:t>.</w:t>
      </w:r>
      <w:r w:rsidRPr="008B037E">
        <w:rPr>
          <w:rFonts w:asciiTheme="minorHAnsi" w:eastAsia="Times New Roman" w:hAnsiTheme="minorHAnsi" w:cstheme="minorHAnsi"/>
          <w:sz w:val="22"/>
        </w:rPr>
        <w:t>170 podjetij, letno se njihovo število v povprečju poveča za 2 % (od leta 2011). Nova podjetja so nastajala tudi v času pandemije Covid19, čeprav v malo manjšem številu kot v treh letih pred tem. Pandemija se je negativno odrazila tudi na trgu dela, saj je delo izgubilo 8 % zaposlenih. To je izničilo počasno rast zaposlen</w:t>
      </w:r>
      <w:r w:rsidR="00072D52" w:rsidRPr="008B037E">
        <w:rPr>
          <w:rFonts w:asciiTheme="minorHAnsi" w:eastAsia="Times New Roman" w:hAnsiTheme="minorHAnsi" w:cstheme="minorHAnsi"/>
          <w:sz w:val="22"/>
        </w:rPr>
        <w:t xml:space="preserve">ih </w:t>
      </w:r>
      <w:r w:rsidR="008A0E4A" w:rsidRPr="008B037E">
        <w:rPr>
          <w:rFonts w:asciiTheme="minorHAnsi" w:eastAsia="Times New Roman" w:hAnsiTheme="minorHAnsi" w:cstheme="minorHAnsi"/>
          <w:sz w:val="22"/>
        </w:rPr>
        <w:t>v</w:t>
      </w:r>
      <w:r w:rsidR="00072D52" w:rsidRPr="008B037E">
        <w:rPr>
          <w:rFonts w:asciiTheme="minorHAnsi" w:eastAsia="Times New Roman" w:hAnsiTheme="minorHAnsi" w:cstheme="minorHAnsi"/>
          <w:sz w:val="22"/>
        </w:rPr>
        <w:t xml:space="preserve"> novo nastalih podjetjih </w:t>
      </w:r>
      <w:r w:rsidRPr="008B037E">
        <w:rPr>
          <w:rFonts w:asciiTheme="minorHAnsi" w:eastAsia="Times New Roman" w:hAnsiTheme="minorHAnsi" w:cstheme="minorHAnsi"/>
          <w:sz w:val="22"/>
        </w:rPr>
        <w:t xml:space="preserve">v obdobju 2015 – 2019 (povprečno 1,6 % letna rast). </w:t>
      </w:r>
      <w:r w:rsidR="00072D52" w:rsidRPr="008B037E">
        <w:rPr>
          <w:rFonts w:asciiTheme="minorHAnsi" w:eastAsia="Times New Roman" w:hAnsiTheme="minorHAnsi" w:cstheme="minorHAnsi"/>
          <w:sz w:val="22"/>
        </w:rPr>
        <w:t>Postopno opuščanje rabe premoga bo negativno vplivalo na zaposlenost, zato morajo biti prednostni ukrepi usmerjeni v to, da zaposleni v energetskem sektorju ohranijo delovna mesta. Za dosego tega cilja bo treba oblikovati ustrezne aktivnosti in podporo na področjih preusposabljanja, dodatnega usposabljanja, štipendiranja in ustvarjanja novih delovnih mest s podp</w:t>
      </w:r>
      <w:r w:rsidR="00D431B9" w:rsidRPr="008B037E">
        <w:rPr>
          <w:rFonts w:asciiTheme="minorHAnsi" w:eastAsia="Times New Roman" w:hAnsiTheme="minorHAnsi" w:cstheme="minorHAnsi"/>
          <w:sz w:val="22"/>
        </w:rPr>
        <w:t>o</w:t>
      </w:r>
      <w:r w:rsidR="00072D52" w:rsidRPr="008B037E">
        <w:rPr>
          <w:rFonts w:asciiTheme="minorHAnsi" w:eastAsia="Times New Roman" w:hAnsiTheme="minorHAnsi" w:cstheme="minorHAnsi"/>
          <w:sz w:val="22"/>
        </w:rPr>
        <w:t xml:space="preserve">ro </w:t>
      </w:r>
      <w:r w:rsidR="00E3425C" w:rsidRPr="008B037E">
        <w:rPr>
          <w:rFonts w:asciiTheme="minorHAnsi" w:eastAsia="Times New Roman" w:hAnsiTheme="minorHAnsi" w:cstheme="minorHAnsi"/>
          <w:sz w:val="22"/>
        </w:rPr>
        <w:t>»</w:t>
      </w:r>
      <w:r w:rsidR="00072D52" w:rsidRPr="008B037E">
        <w:rPr>
          <w:rFonts w:asciiTheme="minorHAnsi" w:eastAsia="Times New Roman" w:hAnsiTheme="minorHAnsi" w:cstheme="minorHAnsi"/>
          <w:sz w:val="22"/>
        </w:rPr>
        <w:t>brown</w:t>
      </w:r>
      <w:r w:rsidR="00D431B9" w:rsidRPr="008B037E">
        <w:rPr>
          <w:rFonts w:asciiTheme="minorHAnsi" w:eastAsia="Times New Roman" w:hAnsiTheme="minorHAnsi" w:cstheme="minorHAnsi"/>
          <w:sz w:val="22"/>
        </w:rPr>
        <w:t xml:space="preserve"> field«</w:t>
      </w:r>
      <w:r w:rsidR="00072D52" w:rsidRPr="008B037E">
        <w:rPr>
          <w:rFonts w:asciiTheme="minorHAnsi" w:eastAsia="Times New Roman" w:hAnsiTheme="minorHAnsi" w:cstheme="minorHAnsi"/>
          <w:sz w:val="22"/>
        </w:rPr>
        <w:t xml:space="preserve"> in </w:t>
      </w:r>
      <w:r w:rsidR="00D431B9" w:rsidRPr="008B037E">
        <w:rPr>
          <w:rFonts w:asciiTheme="minorHAnsi" w:eastAsia="Times New Roman" w:hAnsiTheme="minorHAnsi" w:cstheme="minorHAnsi"/>
          <w:sz w:val="22"/>
        </w:rPr>
        <w:t>»</w:t>
      </w:r>
      <w:r w:rsidR="00072D52" w:rsidRPr="008B037E">
        <w:rPr>
          <w:rFonts w:asciiTheme="minorHAnsi" w:eastAsia="Times New Roman" w:hAnsiTheme="minorHAnsi" w:cstheme="minorHAnsi"/>
          <w:sz w:val="22"/>
        </w:rPr>
        <w:t>green field</w:t>
      </w:r>
      <w:r w:rsidR="00E3425C" w:rsidRPr="008B037E">
        <w:rPr>
          <w:rFonts w:asciiTheme="minorHAnsi" w:eastAsia="Times New Roman" w:hAnsiTheme="minorHAnsi" w:cstheme="minorHAnsi"/>
          <w:sz w:val="22"/>
        </w:rPr>
        <w:t>«</w:t>
      </w:r>
      <w:r w:rsidR="00072D52" w:rsidRPr="008B037E">
        <w:rPr>
          <w:rFonts w:asciiTheme="minorHAnsi" w:eastAsia="Times New Roman" w:hAnsiTheme="minorHAnsi" w:cstheme="minorHAnsi"/>
          <w:sz w:val="22"/>
        </w:rPr>
        <w:t xml:space="preserve"> investicijam. Pozornost bi bilo treba usmeriti v ohranjanje pozitivn</w:t>
      </w:r>
      <w:r w:rsidR="00E3425C" w:rsidRPr="008B037E">
        <w:rPr>
          <w:rFonts w:asciiTheme="minorHAnsi" w:eastAsia="Times New Roman" w:hAnsiTheme="minorHAnsi" w:cstheme="minorHAnsi"/>
          <w:sz w:val="22"/>
        </w:rPr>
        <w:t>e</w:t>
      </w:r>
      <w:r w:rsidR="00072D52" w:rsidRPr="008B037E">
        <w:rPr>
          <w:rFonts w:asciiTheme="minorHAnsi" w:eastAsia="Times New Roman" w:hAnsiTheme="minorHAnsi" w:cstheme="minorHAnsi"/>
          <w:sz w:val="22"/>
        </w:rPr>
        <w:t xml:space="preserve"> stopnj</w:t>
      </w:r>
      <w:r w:rsidR="00E3425C" w:rsidRPr="008B037E">
        <w:rPr>
          <w:rFonts w:asciiTheme="minorHAnsi" w:eastAsia="Times New Roman" w:hAnsiTheme="minorHAnsi" w:cstheme="minorHAnsi"/>
          <w:sz w:val="22"/>
        </w:rPr>
        <w:t>e</w:t>
      </w:r>
      <w:r w:rsidR="00072D52" w:rsidRPr="008B037E">
        <w:rPr>
          <w:rFonts w:asciiTheme="minorHAnsi" w:eastAsia="Times New Roman" w:hAnsiTheme="minorHAnsi" w:cstheme="minorHAnsi"/>
          <w:sz w:val="22"/>
        </w:rPr>
        <w:t xml:space="preserve"> rasti delovno aktivnega prebivalstva, saj izkušnje iz Zasavja kažejo, da pozamezniki, ki niso na trgu dela, lahko ostanejo brez dela več kot leto dni, zaradi česar je njihovo vrač</w:t>
      </w:r>
      <w:r w:rsidR="00E3425C" w:rsidRPr="008B037E">
        <w:rPr>
          <w:rFonts w:asciiTheme="minorHAnsi" w:eastAsia="Times New Roman" w:hAnsiTheme="minorHAnsi" w:cstheme="minorHAnsi"/>
          <w:sz w:val="22"/>
        </w:rPr>
        <w:t>a</w:t>
      </w:r>
      <w:r w:rsidR="00072D52" w:rsidRPr="008B037E">
        <w:rPr>
          <w:rFonts w:asciiTheme="minorHAnsi" w:eastAsia="Times New Roman" w:hAnsiTheme="minorHAnsi" w:cstheme="minorHAnsi"/>
          <w:sz w:val="22"/>
        </w:rPr>
        <w:t>nje v zaposlitev velik izziv.</w:t>
      </w:r>
    </w:p>
    <w:bookmarkEnd w:id="1"/>
    <w:p w14:paraId="41076FA5" w14:textId="1016D93B" w:rsidR="00175E42" w:rsidRPr="008B037E" w:rsidRDefault="001C5E19" w:rsidP="00A5690C">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Podrobnejši pregled strukture gospodarskih subjektov pokaže, da se je med letoma 2011 in 2020 število velikih podjetij zmanjšalo (</w:t>
      </w:r>
      <w:r w:rsidR="0044327A" w:rsidRPr="008B037E">
        <w:rPr>
          <w:rFonts w:asciiTheme="minorHAnsi" w:eastAsia="Times New Roman" w:hAnsiTheme="minorHAnsi" w:cstheme="minorHAnsi"/>
          <w:sz w:val="22"/>
        </w:rPr>
        <w:t>s 14 na 8). S tem se je v tem obdobju zmanjšal tudi delež zaposlenih, ki so delali v velikih podjetjih (brez energetskih) in je leta 2020 znašal 45,5 % (57,6 % v letu 2011).</w:t>
      </w:r>
      <w:r w:rsidR="00731EC1" w:rsidRPr="008B037E">
        <w:rPr>
          <w:rFonts w:asciiTheme="minorHAnsi" w:eastAsia="Times New Roman" w:hAnsiTheme="minorHAnsi" w:cstheme="minorHAnsi"/>
          <w:sz w:val="22"/>
        </w:rPr>
        <w:t xml:space="preserve"> Ne glede na ta upad, pa velika podjetja predstavljajo pomembnega zaposlovalca in so zato pomemben deležnik v procesu preobrazbe regije, saj je njihova vloga, da ohranijo in ustvarijo nova delovna mesta</w:t>
      </w:r>
      <w:r w:rsidR="00A22262" w:rsidRPr="008B037E">
        <w:rPr>
          <w:rFonts w:asciiTheme="minorHAnsi" w:eastAsia="Times New Roman" w:hAnsiTheme="minorHAnsi" w:cstheme="minorHAnsi"/>
          <w:sz w:val="22"/>
        </w:rPr>
        <w:t xml:space="preserve"> z višjo dodano vrednostjo</w:t>
      </w:r>
      <w:r w:rsidR="00731EC1" w:rsidRPr="008B037E">
        <w:rPr>
          <w:rFonts w:asciiTheme="minorHAnsi" w:eastAsia="Times New Roman" w:hAnsiTheme="minorHAnsi" w:cstheme="minorHAnsi"/>
          <w:sz w:val="22"/>
        </w:rPr>
        <w:t xml:space="preserve"> nezanemarljiva.</w:t>
      </w:r>
      <w:r w:rsidR="00051E1F" w:rsidRPr="008B037E">
        <w:rPr>
          <w:rFonts w:asciiTheme="minorHAnsi" w:eastAsia="Times New Roman" w:hAnsiTheme="minorHAnsi" w:cstheme="minorHAnsi"/>
          <w:sz w:val="22"/>
        </w:rPr>
        <w:t xml:space="preserve"> Ob tem je treba poudariti tudi to, da se velika neenergetska podjetja (npr. Gorenje</w:t>
      </w:r>
      <w:r w:rsidR="003A64C7" w:rsidRPr="008B037E">
        <w:rPr>
          <w:rFonts w:asciiTheme="minorHAnsi" w:eastAsia="Times New Roman" w:hAnsiTheme="minorHAnsi" w:cstheme="minorHAnsi"/>
          <w:sz w:val="22"/>
        </w:rPr>
        <w:t xml:space="preserve"> </w:t>
      </w:r>
      <w:r w:rsidR="00FE543D" w:rsidRPr="008B037E">
        <w:rPr>
          <w:rFonts w:asciiTheme="minorHAnsi" w:eastAsia="Times New Roman" w:hAnsiTheme="minorHAnsi" w:cstheme="minorHAnsi"/>
          <w:sz w:val="22"/>
        </w:rPr>
        <w:t>mali in veliki gospodinjski aparati</w:t>
      </w:r>
      <w:r w:rsidR="00051E1F" w:rsidRPr="008B037E">
        <w:rPr>
          <w:rFonts w:asciiTheme="minorHAnsi" w:eastAsia="Times New Roman" w:hAnsiTheme="minorHAnsi" w:cstheme="minorHAnsi"/>
          <w:sz w:val="22"/>
        </w:rPr>
        <w:t>, Skaza</w:t>
      </w:r>
      <w:r w:rsidR="003A64C7" w:rsidRPr="008B037E">
        <w:rPr>
          <w:rFonts w:asciiTheme="minorHAnsi" w:eastAsia="Times New Roman" w:hAnsiTheme="minorHAnsi" w:cstheme="minorHAnsi"/>
          <w:sz w:val="22"/>
        </w:rPr>
        <w:t xml:space="preserve"> </w:t>
      </w:r>
      <w:r w:rsidR="00FE543D" w:rsidRPr="008B037E">
        <w:rPr>
          <w:rFonts w:asciiTheme="minorHAnsi" w:eastAsia="Times New Roman" w:hAnsiTheme="minorHAnsi" w:cstheme="minorHAnsi"/>
          <w:sz w:val="22"/>
        </w:rPr>
        <w:t>proizvodnja plastike</w:t>
      </w:r>
      <w:r w:rsidR="00051E1F" w:rsidRPr="008B037E">
        <w:rPr>
          <w:rFonts w:asciiTheme="minorHAnsi" w:eastAsia="Times New Roman" w:hAnsiTheme="minorHAnsi" w:cstheme="minorHAnsi"/>
          <w:sz w:val="22"/>
        </w:rPr>
        <w:t>, Turna</w:t>
      </w:r>
      <w:r w:rsidR="00FE543D" w:rsidRPr="008B037E">
        <w:rPr>
          <w:rFonts w:asciiTheme="minorHAnsi" w:eastAsia="Times New Roman" w:hAnsiTheme="minorHAnsi" w:cstheme="minorHAnsi"/>
          <w:sz w:val="22"/>
        </w:rPr>
        <w:t xml:space="preserve"> proizvodnja komponent za industrijo bele tehnike</w:t>
      </w:r>
      <w:r w:rsidR="00051E1F" w:rsidRPr="008B037E">
        <w:rPr>
          <w:rFonts w:asciiTheme="minorHAnsi" w:eastAsia="Times New Roman" w:hAnsiTheme="minorHAnsi" w:cstheme="minorHAnsi"/>
          <w:sz w:val="22"/>
        </w:rPr>
        <w:t>, itd.) v regiji s</w:t>
      </w:r>
      <w:r w:rsidR="00A5690C">
        <w:rPr>
          <w:rFonts w:asciiTheme="minorHAnsi" w:eastAsia="Times New Roman" w:hAnsiTheme="minorHAnsi" w:cstheme="minorHAnsi"/>
          <w:sz w:val="22"/>
        </w:rPr>
        <w:t xml:space="preserve">oočajo z nenehnim pomanjkanjem </w:t>
      </w:r>
      <w:r w:rsidR="00051E1F" w:rsidRPr="008B037E">
        <w:rPr>
          <w:rFonts w:asciiTheme="minorHAnsi" w:eastAsia="Times New Roman" w:hAnsiTheme="minorHAnsi" w:cstheme="minorHAnsi"/>
          <w:sz w:val="22"/>
        </w:rPr>
        <w:t>ustrezno usposobljene delovne sile.</w:t>
      </w:r>
      <w:r w:rsidR="00AA720C" w:rsidRPr="008B037E">
        <w:rPr>
          <w:rFonts w:asciiTheme="minorHAnsi" w:eastAsia="Times New Roman" w:hAnsiTheme="minorHAnsi" w:cstheme="minorHAnsi"/>
          <w:sz w:val="22"/>
        </w:rPr>
        <w:t xml:space="preserve"> Prav zato je upravičena podpora velikim </w:t>
      </w:r>
      <w:r w:rsidR="00CF03E0">
        <w:rPr>
          <w:rFonts w:asciiTheme="minorHAnsi" w:eastAsia="Times New Roman" w:hAnsiTheme="minorHAnsi" w:cstheme="minorHAnsi"/>
          <w:sz w:val="22"/>
        </w:rPr>
        <w:t xml:space="preserve">podjetjem </w:t>
      </w:r>
      <w:r w:rsidR="00AA720C" w:rsidRPr="008B037E">
        <w:rPr>
          <w:rFonts w:asciiTheme="minorHAnsi" w:eastAsia="Times New Roman" w:hAnsiTheme="minorHAnsi" w:cstheme="minorHAnsi"/>
          <w:sz w:val="22"/>
        </w:rPr>
        <w:t>pri širitvi njihovega poslovanja in zaposlovanja, vendar pa mora to temeljiti na robustni in prilagojeni strategiji usklajevanja povpraševanja s ponudbo na tr</w:t>
      </w:r>
      <w:r w:rsidR="00D431B9" w:rsidRPr="008B037E">
        <w:rPr>
          <w:rFonts w:asciiTheme="minorHAnsi" w:eastAsia="Times New Roman" w:hAnsiTheme="minorHAnsi" w:cstheme="minorHAnsi"/>
          <w:sz w:val="22"/>
        </w:rPr>
        <w:t>g</w:t>
      </w:r>
      <w:r w:rsidR="00AA720C" w:rsidRPr="008B037E">
        <w:rPr>
          <w:rFonts w:asciiTheme="minorHAnsi" w:eastAsia="Times New Roman" w:hAnsiTheme="minorHAnsi" w:cstheme="minorHAnsi"/>
          <w:sz w:val="22"/>
        </w:rPr>
        <w:t xml:space="preserve">u </w:t>
      </w:r>
      <w:r w:rsidR="0060234B" w:rsidRPr="008B037E">
        <w:rPr>
          <w:rFonts w:asciiTheme="minorHAnsi" w:eastAsia="Times New Roman" w:hAnsiTheme="minorHAnsi" w:cstheme="minorHAnsi"/>
          <w:sz w:val="22"/>
        </w:rPr>
        <w:t>dela</w:t>
      </w:r>
      <w:r w:rsidR="00AA720C" w:rsidRPr="008B037E">
        <w:rPr>
          <w:rFonts w:asciiTheme="minorHAnsi" w:eastAsia="Times New Roman" w:hAnsiTheme="minorHAnsi" w:cstheme="minorHAnsi"/>
          <w:sz w:val="22"/>
        </w:rPr>
        <w:t xml:space="preserve">, saj v gospodarskem sektorju v regiji </w:t>
      </w:r>
      <w:r w:rsidR="00D431B9" w:rsidRPr="008B037E">
        <w:rPr>
          <w:rFonts w:asciiTheme="minorHAnsi" w:eastAsia="Times New Roman" w:hAnsiTheme="minorHAnsi" w:cstheme="minorHAnsi"/>
          <w:sz w:val="22"/>
        </w:rPr>
        <w:t>ugotavljajo</w:t>
      </w:r>
      <w:r w:rsidR="00AA720C" w:rsidRPr="008B037E">
        <w:rPr>
          <w:rFonts w:asciiTheme="minorHAnsi" w:eastAsia="Times New Roman" w:hAnsiTheme="minorHAnsi" w:cstheme="minorHAnsi"/>
          <w:sz w:val="22"/>
        </w:rPr>
        <w:t>, da je na tem področju velika v</w:t>
      </w:r>
      <w:r w:rsidR="0060234B" w:rsidRPr="008B037E">
        <w:rPr>
          <w:rFonts w:asciiTheme="minorHAnsi" w:eastAsia="Times New Roman" w:hAnsiTheme="minorHAnsi" w:cstheme="minorHAnsi"/>
          <w:sz w:val="22"/>
        </w:rPr>
        <w:t>r</w:t>
      </w:r>
      <w:r w:rsidR="00AA720C" w:rsidRPr="008B037E">
        <w:rPr>
          <w:rFonts w:asciiTheme="minorHAnsi" w:eastAsia="Times New Roman" w:hAnsiTheme="minorHAnsi" w:cstheme="minorHAnsi"/>
          <w:sz w:val="22"/>
        </w:rPr>
        <w:t xml:space="preserve">zel. </w:t>
      </w:r>
      <w:r w:rsidR="00175E42" w:rsidRPr="008B037E">
        <w:rPr>
          <w:rFonts w:asciiTheme="minorHAnsi" w:eastAsia="Times New Roman" w:hAnsiTheme="minorHAnsi" w:cstheme="minorHAnsi"/>
          <w:sz w:val="22"/>
        </w:rPr>
        <w:t>Ker vsa velika podjetja že načrtujejo širitev proizvodnih dejavnosti in se hkrati že soočajo s pomanjkanjem ustreznih zaposlenih, bi lahko z indikativnim seznamom širitvenih načrtov glavnih zaposlovalcev v regiji pomagal</w:t>
      </w:r>
      <w:r w:rsidR="0001651C">
        <w:rPr>
          <w:rFonts w:asciiTheme="minorHAnsi" w:eastAsia="Times New Roman" w:hAnsiTheme="minorHAnsi" w:cstheme="minorHAnsi"/>
          <w:sz w:val="22"/>
        </w:rPr>
        <w:t>i</w:t>
      </w:r>
      <w:r w:rsidR="00175E42" w:rsidRPr="008B037E">
        <w:rPr>
          <w:rFonts w:asciiTheme="minorHAnsi" w:eastAsia="Times New Roman" w:hAnsiTheme="minorHAnsi" w:cstheme="minorHAnsi"/>
          <w:sz w:val="22"/>
        </w:rPr>
        <w:t xml:space="preserve"> zmanjšati to vrzel.</w:t>
      </w:r>
      <w:r w:rsidR="00495697" w:rsidRPr="008B037E">
        <w:rPr>
          <w:rFonts w:asciiTheme="minorHAnsi" w:eastAsia="Times New Roman" w:hAnsiTheme="minorHAnsi" w:cstheme="minorHAnsi"/>
          <w:sz w:val="22"/>
        </w:rPr>
        <w:t xml:space="preserve"> </w:t>
      </w:r>
    </w:p>
    <w:p w14:paraId="081DE7D4" w14:textId="62405FA9" w:rsidR="002B6A10" w:rsidRPr="008B037E" w:rsidRDefault="00FD5C73" w:rsidP="005C70A5">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 xml:space="preserve">V času priprave tega dokumenta so velika podjetja pa tudi komunale (in občine) predstavila načrtovane projekte s katerimi želijo prispevati k preobrazbi regije. </w:t>
      </w:r>
      <w:r w:rsidR="005C70A5">
        <w:rPr>
          <w:rFonts w:asciiTheme="minorHAnsi" w:eastAsia="Times New Roman" w:hAnsiTheme="minorHAnsi" w:cstheme="minorHAnsi"/>
          <w:sz w:val="22"/>
        </w:rPr>
        <w:t>Projekti</w:t>
      </w:r>
      <w:r w:rsidR="002B6A10" w:rsidRPr="008B037E">
        <w:rPr>
          <w:rFonts w:asciiTheme="minorHAnsi" w:eastAsia="Times New Roman" w:hAnsiTheme="minorHAnsi" w:cstheme="minorHAnsi"/>
          <w:sz w:val="22"/>
        </w:rPr>
        <w:t xml:space="preserve"> kažejo na to, da bo v </w:t>
      </w:r>
      <w:r w:rsidRPr="008B037E">
        <w:rPr>
          <w:rFonts w:asciiTheme="minorHAnsi" w:eastAsia="Times New Roman" w:hAnsiTheme="minorHAnsi" w:cstheme="minorHAnsi"/>
          <w:sz w:val="22"/>
        </w:rPr>
        <w:t>procesu preobrazbe</w:t>
      </w:r>
      <w:r w:rsidR="002B6A10" w:rsidRPr="008B037E">
        <w:rPr>
          <w:rFonts w:asciiTheme="minorHAnsi" w:eastAsia="Times New Roman" w:hAnsiTheme="minorHAnsi" w:cstheme="minorHAnsi"/>
          <w:sz w:val="22"/>
        </w:rPr>
        <w:t xml:space="preserve"> regije sektor energetike še naprej igral pomembno vlogo. </w:t>
      </w:r>
      <w:r w:rsidR="00A22262" w:rsidRPr="008B037E">
        <w:rPr>
          <w:rFonts w:asciiTheme="minorHAnsi" w:eastAsia="Times New Roman" w:hAnsiTheme="minorHAnsi" w:cstheme="minorHAnsi"/>
          <w:sz w:val="22"/>
        </w:rPr>
        <w:t>Večje število</w:t>
      </w:r>
      <w:r w:rsidR="002B6A10" w:rsidRPr="008B037E">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načrtovanih</w:t>
      </w:r>
      <w:r w:rsidR="002B6A10" w:rsidRPr="008B037E">
        <w:rPr>
          <w:rFonts w:asciiTheme="minorHAnsi" w:eastAsia="Times New Roman" w:hAnsiTheme="minorHAnsi" w:cstheme="minorHAnsi"/>
          <w:sz w:val="22"/>
        </w:rPr>
        <w:t xml:space="preserve"> projektov, ki se nanašajo na upravičena področja SPP</w:t>
      </w:r>
      <w:r w:rsidR="00F44016" w:rsidRPr="008B037E">
        <w:rPr>
          <w:rFonts w:asciiTheme="minorHAnsi" w:eastAsia="Times New Roman" w:hAnsiTheme="minorHAnsi" w:cstheme="minorHAnsi"/>
          <w:sz w:val="22"/>
        </w:rPr>
        <w:t>,</w:t>
      </w:r>
      <w:r w:rsidR="002B6A10" w:rsidRPr="008B037E">
        <w:rPr>
          <w:rFonts w:asciiTheme="minorHAnsi" w:eastAsia="Times New Roman" w:hAnsiTheme="minorHAnsi" w:cstheme="minorHAnsi"/>
          <w:sz w:val="22"/>
        </w:rPr>
        <w:t xml:space="preserve"> </w:t>
      </w:r>
      <w:r w:rsidR="00F44016" w:rsidRPr="008B037E">
        <w:rPr>
          <w:rFonts w:asciiTheme="minorHAnsi" w:eastAsia="Times New Roman" w:hAnsiTheme="minorHAnsi" w:cstheme="minorHAnsi"/>
          <w:sz w:val="22"/>
        </w:rPr>
        <w:t>je</w:t>
      </w:r>
      <w:r w:rsidR="002B6A10" w:rsidRPr="008B037E">
        <w:rPr>
          <w:rFonts w:asciiTheme="minorHAnsi" w:eastAsia="Times New Roman" w:hAnsiTheme="minorHAnsi" w:cstheme="minorHAnsi"/>
          <w:sz w:val="22"/>
        </w:rPr>
        <w:t xml:space="preserve"> povezan</w:t>
      </w:r>
      <w:r w:rsidR="005C70A5">
        <w:rPr>
          <w:rFonts w:asciiTheme="minorHAnsi" w:eastAsia="Times New Roman" w:hAnsiTheme="minorHAnsi" w:cstheme="minorHAnsi"/>
          <w:sz w:val="22"/>
        </w:rPr>
        <w:t>o</w:t>
      </w:r>
      <w:r w:rsidR="002B6A10" w:rsidRPr="008B037E">
        <w:rPr>
          <w:rFonts w:asciiTheme="minorHAnsi" w:eastAsia="Times New Roman" w:hAnsiTheme="minorHAnsi" w:cstheme="minorHAnsi"/>
          <w:sz w:val="22"/>
        </w:rPr>
        <w:t xml:space="preserve"> s sektorjem energetike ali prenove/spremembe rabe starih energetskih lokacij, območij, itd. Med predlogi so prekrivanja</w:t>
      </w:r>
      <w:r w:rsidR="00F44016" w:rsidRPr="008B037E">
        <w:rPr>
          <w:rFonts w:asciiTheme="minorHAnsi" w:eastAsia="Times New Roman" w:hAnsiTheme="minorHAnsi" w:cstheme="minorHAnsi"/>
          <w:sz w:val="22"/>
        </w:rPr>
        <w:t>,</w:t>
      </w:r>
      <w:r w:rsidR="002B6A10" w:rsidRPr="008B037E">
        <w:rPr>
          <w:rFonts w:asciiTheme="minorHAnsi" w:eastAsia="Times New Roman" w:hAnsiTheme="minorHAnsi" w:cstheme="minorHAnsi"/>
          <w:sz w:val="22"/>
        </w:rPr>
        <w:t xml:space="preserve"> zato jih je treba ustrezno </w:t>
      </w:r>
      <w:r w:rsidR="00F131AC" w:rsidRPr="008B037E">
        <w:rPr>
          <w:rFonts w:asciiTheme="minorHAnsi" w:eastAsia="Times New Roman" w:hAnsiTheme="minorHAnsi" w:cstheme="minorHAnsi"/>
          <w:sz w:val="22"/>
        </w:rPr>
        <w:t xml:space="preserve">prioritizirati </w:t>
      </w:r>
      <w:r w:rsidR="002B6A10" w:rsidRPr="008B037E">
        <w:rPr>
          <w:rFonts w:asciiTheme="minorHAnsi" w:eastAsia="Times New Roman" w:hAnsiTheme="minorHAnsi" w:cstheme="minorHAnsi"/>
          <w:sz w:val="22"/>
        </w:rPr>
        <w:t>in pri oceni njihove primernosti/upravičenosti ustrezno upoštevati tudi načelo onesnaževalec plača.</w:t>
      </w:r>
      <w:r w:rsidR="00EF7CAD" w:rsidRPr="008B037E">
        <w:rPr>
          <w:rFonts w:asciiTheme="minorHAnsi" w:eastAsia="Times New Roman" w:hAnsiTheme="minorHAnsi" w:cstheme="minorHAnsi"/>
          <w:sz w:val="22"/>
        </w:rPr>
        <w:t xml:space="preserve"> Pri podpori je treba sredstva ustrezno povezati z drugimi dostopnimi finančnimi viri.</w:t>
      </w:r>
      <w:r w:rsidR="002B6A10" w:rsidRPr="008B037E">
        <w:rPr>
          <w:rFonts w:asciiTheme="minorHAnsi" w:eastAsia="Times New Roman" w:hAnsiTheme="minorHAnsi" w:cstheme="minorHAnsi"/>
          <w:sz w:val="22"/>
        </w:rPr>
        <w:t xml:space="preserve"> </w:t>
      </w:r>
      <w:r w:rsidR="00CD3022" w:rsidRPr="008B037E">
        <w:rPr>
          <w:rFonts w:asciiTheme="minorHAnsi" w:eastAsia="Times New Roman" w:hAnsiTheme="minorHAnsi" w:cstheme="minorHAnsi"/>
          <w:sz w:val="22"/>
        </w:rPr>
        <w:t>Projekti, ki so jih predlagala druga velika podjetja v regiji</w:t>
      </w:r>
      <w:r w:rsidR="00F44016" w:rsidRPr="008B037E">
        <w:rPr>
          <w:rFonts w:asciiTheme="minorHAnsi" w:eastAsia="Times New Roman" w:hAnsiTheme="minorHAnsi" w:cstheme="minorHAnsi"/>
          <w:sz w:val="22"/>
        </w:rPr>
        <w:t>,</w:t>
      </w:r>
      <w:r w:rsidR="00CD3022" w:rsidRPr="008B037E">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ki niso v sektorju energetike,</w:t>
      </w:r>
      <w:r w:rsidR="00CD3022" w:rsidRPr="008B037E">
        <w:rPr>
          <w:rFonts w:asciiTheme="minorHAnsi" w:eastAsia="Times New Roman" w:hAnsiTheme="minorHAnsi" w:cstheme="minorHAnsi"/>
          <w:sz w:val="22"/>
        </w:rPr>
        <w:t xml:space="preserve"> lahko ob ustrezni podpori za njihovo izvedbo ustvarijo okoli 6</w:t>
      </w:r>
      <w:r w:rsidR="00704CB0" w:rsidRPr="008B037E">
        <w:rPr>
          <w:rFonts w:asciiTheme="minorHAnsi" w:eastAsia="Times New Roman" w:hAnsiTheme="minorHAnsi" w:cstheme="minorHAnsi"/>
          <w:sz w:val="22"/>
        </w:rPr>
        <w:t>3</w:t>
      </w:r>
      <w:r w:rsidR="00CD3022" w:rsidRPr="008B037E">
        <w:rPr>
          <w:rFonts w:asciiTheme="minorHAnsi" w:eastAsia="Times New Roman" w:hAnsiTheme="minorHAnsi" w:cstheme="minorHAnsi"/>
          <w:sz w:val="22"/>
        </w:rPr>
        <w:t>0 dodatnih delovnih mest v naslednjih nekaj letih.</w:t>
      </w:r>
    </w:p>
    <w:p w14:paraId="4C80F24D" w14:textId="0EC9B19E" w:rsidR="00175E42" w:rsidRPr="008B037E" w:rsidRDefault="00175E42" w:rsidP="00720E72">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t xml:space="preserve">V sektorju MSP je bilo v zadnjih desetih letih mogoče opaziti naraščanje tako števila podjetij, kot tudi zaposlenih v njih. V letu 2020 je bilo v tem segmentu zaposlenih 12 % več ljudi kot leta 2011, kar je mogoče pripisati tudi prezaposlitvam zaradi zapiranja velikih regijskih podjetij. </w:t>
      </w:r>
      <w:r w:rsidR="00FF1AED" w:rsidRPr="00FF1AED">
        <w:rPr>
          <w:rFonts w:asciiTheme="minorHAnsi" w:eastAsia="Times New Roman" w:hAnsiTheme="minorHAnsi" w:cstheme="minorHAnsi"/>
          <w:sz w:val="22"/>
        </w:rPr>
        <w:t xml:space="preserve">Potrebno je spodbuditi diverzifikacijo gospodarstva v smislu sektorske in velikostne raznolikosti, kar vključuje uravnotežene naložbe v razvoj raznolikih panog kot so elektroindustrija, gozdarstvo in lesna industrija, turizem, kmetijstvo in trajnostna pridelava hrane, energetika kot gospodarski sektor, proizvodnja in predelava </w:t>
      </w:r>
      <w:r w:rsidR="00FF1AED" w:rsidRPr="00FF1AED">
        <w:rPr>
          <w:rFonts w:asciiTheme="minorHAnsi" w:eastAsia="Times New Roman" w:hAnsiTheme="minorHAnsi" w:cstheme="minorHAnsi"/>
          <w:sz w:val="22"/>
        </w:rPr>
        <w:lastRenderedPageBreak/>
        <w:t xml:space="preserve">kovin, ter nove tehnologije (zlasti avtomatizacija in robotika) v smislu koriščenja novih in razvojnih priložnosti. </w:t>
      </w:r>
      <w:r w:rsidRPr="008B037E">
        <w:rPr>
          <w:rFonts w:asciiTheme="minorHAnsi" w:eastAsia="Times New Roman" w:hAnsiTheme="minorHAnsi" w:cstheme="minorHAnsi"/>
          <w:sz w:val="22"/>
        </w:rPr>
        <w:t>Ker je sektor robusten, je treba podporo usmeriti v programe, ki so se izkazali kot koristni pri odpiranju novih delovnih mest npr.</w:t>
      </w:r>
      <w:r w:rsidR="00704CB0" w:rsidRPr="008B037E">
        <w:rPr>
          <w:rFonts w:asciiTheme="minorHAnsi" w:eastAsia="Times New Roman" w:hAnsiTheme="minorHAnsi" w:cstheme="minorHAnsi"/>
          <w:sz w:val="22"/>
        </w:rPr>
        <w:t xml:space="preserve"> </w:t>
      </w:r>
      <w:r w:rsidR="00CB6555" w:rsidRPr="008B037E">
        <w:rPr>
          <w:rFonts w:asciiTheme="minorHAnsi" w:eastAsia="Times New Roman" w:hAnsiTheme="minorHAnsi" w:cstheme="minorHAnsi"/>
          <w:sz w:val="22"/>
        </w:rPr>
        <w:t>SAŠA inkubator d.o.o.</w:t>
      </w:r>
      <w:r w:rsidR="00BA6C6A" w:rsidRPr="008B037E">
        <w:rPr>
          <w:rFonts w:asciiTheme="minorHAnsi" w:eastAsia="Times New Roman" w:hAnsiTheme="minorHAnsi" w:cstheme="minorHAnsi"/>
          <w:sz w:val="22"/>
        </w:rPr>
        <w:t>,</w:t>
      </w:r>
      <w:r w:rsidR="00CB6555" w:rsidRPr="008B037E">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v katerem so nastala mnoga uspešna MSP (npr. Autotech</w:t>
      </w:r>
      <w:r w:rsidR="00FD5C73" w:rsidRPr="008B037E">
        <w:rPr>
          <w:rFonts w:asciiTheme="minorHAnsi" w:eastAsia="Times New Roman" w:hAnsiTheme="minorHAnsi" w:cstheme="minorHAnsi"/>
          <w:sz w:val="22"/>
        </w:rPr>
        <w:t xml:space="preserve"> avtomat</w:t>
      </w:r>
      <w:r w:rsidR="005A4A58" w:rsidRPr="008B037E">
        <w:rPr>
          <w:rFonts w:asciiTheme="minorHAnsi" w:eastAsia="Times New Roman" w:hAnsiTheme="minorHAnsi" w:cstheme="minorHAnsi"/>
          <w:sz w:val="22"/>
        </w:rPr>
        <w:t>i</w:t>
      </w:r>
      <w:r w:rsidR="00FD5C73" w:rsidRPr="008B037E">
        <w:rPr>
          <w:rFonts w:asciiTheme="minorHAnsi" w:eastAsia="Times New Roman" w:hAnsiTheme="minorHAnsi" w:cstheme="minorHAnsi"/>
          <w:sz w:val="22"/>
        </w:rPr>
        <w:t>z</w:t>
      </w:r>
      <w:r w:rsidR="005A4A58" w:rsidRPr="008B037E">
        <w:rPr>
          <w:rFonts w:asciiTheme="minorHAnsi" w:eastAsia="Times New Roman" w:hAnsiTheme="minorHAnsi" w:cstheme="minorHAnsi"/>
          <w:sz w:val="22"/>
        </w:rPr>
        <w:t>acija in robotizacija</w:t>
      </w:r>
      <w:r w:rsidRPr="008B037E">
        <w:rPr>
          <w:rFonts w:asciiTheme="minorHAnsi" w:eastAsia="Times New Roman" w:hAnsiTheme="minorHAnsi" w:cstheme="minorHAnsi"/>
          <w:sz w:val="22"/>
        </w:rPr>
        <w:t>, ki je svojo proizvodnjo razširil tudi izven Slovenije).</w:t>
      </w:r>
      <w:r w:rsidR="00B9149D" w:rsidRPr="008B037E">
        <w:rPr>
          <w:rFonts w:asciiTheme="minorHAnsi" w:eastAsia="Times New Roman" w:hAnsiTheme="minorHAnsi" w:cstheme="minorHAnsi"/>
          <w:sz w:val="22"/>
        </w:rPr>
        <w:t xml:space="preserve"> Tudi ta podjetja se soočajo z mankom podpore</w:t>
      </w:r>
      <w:r w:rsidR="00C40C54" w:rsidRPr="008B037E">
        <w:rPr>
          <w:rFonts w:asciiTheme="minorHAnsi" w:eastAsia="Times New Roman" w:hAnsiTheme="minorHAnsi" w:cstheme="minorHAnsi"/>
          <w:sz w:val="22"/>
        </w:rPr>
        <w:t xml:space="preserve"> pri širitvi proizvodnje in iskanju prostora za nove proizvodne linije ter s pomanjkanjem</w:t>
      </w:r>
      <w:r w:rsidR="00B9149D" w:rsidRPr="008B037E">
        <w:rPr>
          <w:rFonts w:asciiTheme="minorHAnsi" w:eastAsia="Times New Roman" w:hAnsiTheme="minorHAnsi" w:cstheme="minorHAnsi"/>
          <w:sz w:val="22"/>
        </w:rPr>
        <w:t xml:space="preserve"> ustrezno usposobljene delovne sile</w:t>
      </w:r>
      <w:r w:rsidR="00C40C54" w:rsidRPr="008B037E">
        <w:rPr>
          <w:rFonts w:asciiTheme="minorHAnsi" w:eastAsia="Times New Roman" w:hAnsiTheme="minorHAnsi" w:cstheme="minorHAnsi"/>
          <w:sz w:val="22"/>
        </w:rPr>
        <w:t xml:space="preserve">. </w:t>
      </w:r>
      <w:r w:rsidR="00CB6555" w:rsidRPr="008B037E">
        <w:rPr>
          <w:rFonts w:asciiTheme="minorHAnsi" w:eastAsia="Times New Roman" w:hAnsiTheme="minorHAnsi" w:cstheme="minorHAnsi"/>
          <w:sz w:val="22"/>
        </w:rPr>
        <w:t xml:space="preserve">Zato je potreba po industrijsko-tehnološkem </w:t>
      </w:r>
      <w:r w:rsidR="00A26429" w:rsidRPr="008B037E">
        <w:rPr>
          <w:rFonts w:asciiTheme="minorHAnsi" w:eastAsia="Times New Roman" w:hAnsiTheme="minorHAnsi" w:cstheme="minorHAnsi"/>
          <w:sz w:val="22"/>
        </w:rPr>
        <w:t>parku</w:t>
      </w:r>
      <w:r w:rsidR="00CB6555" w:rsidRPr="008B037E">
        <w:rPr>
          <w:rFonts w:asciiTheme="minorHAnsi" w:eastAsia="Times New Roman" w:hAnsiTheme="minorHAnsi" w:cstheme="minorHAnsi"/>
          <w:sz w:val="22"/>
        </w:rPr>
        <w:t xml:space="preserve">, ki </w:t>
      </w:r>
      <w:r w:rsidR="0060570D" w:rsidRPr="008B037E">
        <w:rPr>
          <w:rFonts w:asciiTheme="minorHAnsi" w:eastAsia="Times New Roman" w:hAnsiTheme="minorHAnsi" w:cstheme="minorHAnsi"/>
          <w:sz w:val="22"/>
        </w:rPr>
        <w:t xml:space="preserve">bo zagotovil ugodne prostorske pogoje </w:t>
      </w:r>
      <w:r w:rsidR="00704CB0" w:rsidRPr="008B037E">
        <w:rPr>
          <w:rFonts w:asciiTheme="minorHAnsi" w:eastAsia="Times New Roman" w:hAnsiTheme="minorHAnsi" w:cstheme="minorHAnsi"/>
          <w:sz w:val="22"/>
        </w:rPr>
        <w:t xml:space="preserve">hitro </w:t>
      </w:r>
      <w:r w:rsidR="00BA6C6A" w:rsidRPr="008B037E">
        <w:rPr>
          <w:rFonts w:asciiTheme="minorHAnsi" w:eastAsia="Times New Roman" w:hAnsiTheme="minorHAnsi" w:cstheme="minorHAnsi"/>
          <w:sz w:val="22"/>
        </w:rPr>
        <w:t xml:space="preserve">rastočim </w:t>
      </w:r>
      <w:r w:rsidR="00704CB0" w:rsidRPr="008B037E">
        <w:rPr>
          <w:rFonts w:asciiTheme="minorHAnsi" w:eastAsia="Times New Roman" w:hAnsiTheme="minorHAnsi" w:cstheme="minorHAnsi"/>
          <w:sz w:val="22"/>
        </w:rPr>
        <w:t>podjetj</w:t>
      </w:r>
      <w:r w:rsidR="00BA6C6A" w:rsidRPr="008B037E">
        <w:rPr>
          <w:rFonts w:asciiTheme="minorHAnsi" w:eastAsia="Times New Roman" w:hAnsiTheme="minorHAnsi" w:cstheme="minorHAnsi"/>
          <w:sz w:val="22"/>
        </w:rPr>
        <w:t>em</w:t>
      </w:r>
      <w:r w:rsidR="00704CB0" w:rsidRPr="008B037E">
        <w:rPr>
          <w:rFonts w:asciiTheme="minorHAnsi" w:eastAsia="Times New Roman" w:hAnsiTheme="minorHAnsi" w:cstheme="minorHAnsi"/>
          <w:sz w:val="22"/>
        </w:rPr>
        <w:t xml:space="preserve"> (scale up podjetj</w:t>
      </w:r>
      <w:r w:rsidR="00BA6C6A" w:rsidRPr="008B037E">
        <w:rPr>
          <w:rFonts w:asciiTheme="minorHAnsi" w:eastAsia="Times New Roman" w:hAnsiTheme="minorHAnsi" w:cstheme="minorHAnsi"/>
          <w:sz w:val="22"/>
        </w:rPr>
        <w:t>em</w:t>
      </w:r>
      <w:r w:rsidR="00704CB0" w:rsidRPr="008B037E">
        <w:rPr>
          <w:rFonts w:asciiTheme="minorHAnsi" w:eastAsia="Times New Roman" w:hAnsiTheme="minorHAnsi" w:cstheme="minorHAnsi"/>
          <w:sz w:val="22"/>
        </w:rPr>
        <w:t>)</w:t>
      </w:r>
      <w:r w:rsidR="00EC1AF0" w:rsidRPr="008B037E">
        <w:rPr>
          <w:rFonts w:asciiTheme="minorHAnsi" w:eastAsia="Times New Roman" w:hAnsiTheme="minorHAnsi" w:cstheme="minorHAnsi"/>
          <w:sz w:val="22"/>
        </w:rPr>
        <w:t xml:space="preserve">, ki so proizvodno naravnani, izjemno velika. </w:t>
      </w:r>
      <w:r w:rsidR="00C40C54" w:rsidRPr="008B037E">
        <w:rPr>
          <w:rFonts w:asciiTheme="minorHAnsi" w:eastAsia="Times New Roman" w:hAnsiTheme="minorHAnsi" w:cstheme="minorHAnsi"/>
          <w:sz w:val="22"/>
        </w:rPr>
        <w:t>Ob ustrezni institucionalni podpori</w:t>
      </w:r>
      <w:r w:rsidR="00AB658B" w:rsidRPr="008B037E">
        <w:rPr>
          <w:rFonts w:asciiTheme="minorHAnsi" w:eastAsia="Times New Roman" w:hAnsiTheme="minorHAnsi" w:cstheme="minorHAnsi"/>
          <w:sz w:val="22"/>
        </w:rPr>
        <w:t xml:space="preserve"> in/ali dostopu do ne/povratnih virov,</w:t>
      </w:r>
      <w:r w:rsidR="00C40C54" w:rsidRPr="008B037E">
        <w:rPr>
          <w:rFonts w:asciiTheme="minorHAnsi" w:eastAsia="Times New Roman" w:hAnsiTheme="minorHAnsi" w:cstheme="minorHAnsi"/>
          <w:sz w:val="22"/>
        </w:rPr>
        <w:t xml:space="preserve"> </w:t>
      </w:r>
      <w:r w:rsidR="00AB658B" w:rsidRPr="008B037E">
        <w:rPr>
          <w:rFonts w:asciiTheme="minorHAnsi" w:eastAsia="Times New Roman" w:hAnsiTheme="minorHAnsi" w:cstheme="minorHAnsi"/>
          <w:sz w:val="22"/>
        </w:rPr>
        <w:t>o</w:t>
      </w:r>
      <w:r w:rsidR="00C40C54" w:rsidRPr="008B037E">
        <w:rPr>
          <w:rFonts w:asciiTheme="minorHAnsi" w:eastAsia="Times New Roman" w:hAnsiTheme="minorHAnsi" w:cstheme="minorHAnsi"/>
          <w:sz w:val="22"/>
        </w:rPr>
        <w:t xml:space="preserve">ba segmenta podjetij zanimajo </w:t>
      </w:r>
      <w:r w:rsidR="00CF7B9B" w:rsidRPr="008B037E">
        <w:rPr>
          <w:rFonts w:asciiTheme="minorHAnsi" w:eastAsia="Times New Roman" w:hAnsiTheme="minorHAnsi" w:cstheme="minorHAnsi"/>
          <w:sz w:val="22"/>
        </w:rPr>
        <w:t>»</w:t>
      </w:r>
      <w:r w:rsidR="00C40C54" w:rsidRPr="008B037E">
        <w:rPr>
          <w:rFonts w:asciiTheme="minorHAnsi" w:eastAsia="Times New Roman" w:hAnsiTheme="minorHAnsi" w:cstheme="minorHAnsi"/>
          <w:sz w:val="22"/>
        </w:rPr>
        <w:t>green field</w:t>
      </w:r>
      <w:r w:rsidR="00CF7B9B" w:rsidRPr="008B037E">
        <w:rPr>
          <w:rFonts w:asciiTheme="minorHAnsi" w:eastAsia="Times New Roman" w:hAnsiTheme="minorHAnsi" w:cstheme="minorHAnsi"/>
          <w:sz w:val="22"/>
        </w:rPr>
        <w:t>«</w:t>
      </w:r>
      <w:r w:rsidR="00C40C54" w:rsidRPr="008B037E">
        <w:rPr>
          <w:rFonts w:asciiTheme="minorHAnsi" w:eastAsia="Times New Roman" w:hAnsiTheme="minorHAnsi" w:cstheme="minorHAnsi"/>
          <w:sz w:val="22"/>
        </w:rPr>
        <w:t xml:space="preserve"> in </w:t>
      </w:r>
      <w:r w:rsidR="00CF7B9B" w:rsidRPr="008B037E">
        <w:rPr>
          <w:rFonts w:asciiTheme="minorHAnsi" w:eastAsia="Times New Roman" w:hAnsiTheme="minorHAnsi" w:cstheme="minorHAnsi"/>
          <w:sz w:val="22"/>
        </w:rPr>
        <w:t>»</w:t>
      </w:r>
      <w:r w:rsidR="00C40C54" w:rsidRPr="008B037E">
        <w:rPr>
          <w:rFonts w:asciiTheme="minorHAnsi" w:eastAsia="Times New Roman" w:hAnsiTheme="minorHAnsi" w:cstheme="minorHAnsi"/>
          <w:sz w:val="22"/>
        </w:rPr>
        <w:t>brown field</w:t>
      </w:r>
      <w:r w:rsidR="00CF7B9B" w:rsidRPr="008B037E">
        <w:rPr>
          <w:rFonts w:asciiTheme="minorHAnsi" w:eastAsia="Times New Roman" w:hAnsiTheme="minorHAnsi" w:cstheme="minorHAnsi"/>
          <w:sz w:val="22"/>
        </w:rPr>
        <w:t>«</w:t>
      </w:r>
      <w:r w:rsidR="00C40C54" w:rsidRPr="008B037E">
        <w:rPr>
          <w:rFonts w:asciiTheme="minorHAnsi" w:eastAsia="Times New Roman" w:hAnsiTheme="minorHAnsi" w:cstheme="minorHAnsi"/>
          <w:sz w:val="22"/>
        </w:rPr>
        <w:t xml:space="preserve"> naložbe</w:t>
      </w:r>
      <w:r w:rsidR="005A4A58" w:rsidRPr="008B037E">
        <w:rPr>
          <w:rFonts w:asciiTheme="minorHAnsi" w:eastAsia="Times New Roman" w:hAnsiTheme="minorHAnsi" w:cstheme="minorHAnsi"/>
          <w:sz w:val="22"/>
        </w:rPr>
        <w:t>, pri čemer bodo imele slednje prednost</w:t>
      </w:r>
      <w:r w:rsidR="00C40C54" w:rsidRPr="008B037E">
        <w:rPr>
          <w:rFonts w:asciiTheme="minorHAnsi" w:eastAsia="Times New Roman" w:hAnsiTheme="minorHAnsi" w:cstheme="minorHAnsi"/>
          <w:sz w:val="22"/>
        </w:rPr>
        <w:t>.</w:t>
      </w:r>
    </w:p>
    <w:p w14:paraId="1640965B" w14:textId="1A9470B0" w:rsidR="00FB5272" w:rsidRPr="008B037E" w:rsidRDefault="008C3039" w:rsidP="008C3039">
      <w:pPr>
        <w:spacing w:before="0" w:after="0" w:line="276" w:lineRule="auto"/>
        <w:rPr>
          <w:rFonts w:asciiTheme="minorHAnsi" w:hAnsiTheme="minorHAnsi" w:cstheme="minorHAnsi"/>
          <w:sz w:val="22"/>
          <w:lang w:eastAsia="sl-SI"/>
        </w:rPr>
      </w:pPr>
      <w:r w:rsidRPr="008C3039">
        <w:rPr>
          <w:rFonts w:asciiTheme="minorHAnsi" w:hAnsiTheme="minorHAnsi" w:cstheme="minorHAnsi"/>
          <w:sz w:val="22"/>
          <w:lang w:eastAsia="sl-SI"/>
        </w:rPr>
        <w:t xml:space="preserve">Večina občin SAŠA regije je podeželskih z nizko gostoto poselitve, slabo prometno infrastrukturo in nekonkurenčnim javnim prevozom. Najbolj razvita občina v regiji z urbanimi značilnostmi je </w:t>
      </w:r>
      <w:r w:rsidR="00EF4BB5">
        <w:rPr>
          <w:rFonts w:asciiTheme="minorHAnsi" w:hAnsiTheme="minorHAnsi" w:cstheme="minorHAnsi"/>
          <w:sz w:val="22"/>
          <w:lang w:eastAsia="sl-SI"/>
        </w:rPr>
        <w:t>MO</w:t>
      </w:r>
      <w:r w:rsidRPr="008C3039">
        <w:rPr>
          <w:rFonts w:asciiTheme="minorHAnsi" w:hAnsiTheme="minorHAnsi" w:cstheme="minorHAnsi"/>
          <w:sz w:val="22"/>
          <w:lang w:eastAsia="sl-SI"/>
        </w:rPr>
        <w:t xml:space="preserve"> Velenje, katere mestno naselje ima zadovoljivo infrastrukturo ter ponuja bolj trajnostne oblike mobilnosti. Vendar pa bi bilo potrebno tako v Velenju in Šoštanju kot v drugih delih SAŠA regije še veliko narediti na področju širitve ponudbe, optimizacije in razogljičenja JPP, širitvi sistema izposoje koles na druge občine in spodbujanju daljinskega kolesarjenja za namen dnevne mobilnosti (npr. z izposojo e-koles) ter vzpostavitvi multimodalnih točk za lažji prehod iz osebnega avtomobila na bolj trajnostne načine prevoza npr. z vzpostavitvijo P+R vozlišč za zagotavljanje učinkovitejših dnevnih migracij in ter spodbujanje koriščenja okolju bolj prijaznih načinov prevoza</w:t>
      </w:r>
      <w:r w:rsidR="0044236F">
        <w:rPr>
          <w:rFonts w:asciiTheme="minorHAnsi" w:hAnsiTheme="minorHAnsi" w:cstheme="minorHAnsi"/>
          <w:sz w:val="22"/>
          <w:lang w:eastAsia="sl-SI"/>
        </w:rPr>
        <w:t>.</w:t>
      </w:r>
      <w:r w:rsidR="00AA2FD2">
        <w:rPr>
          <w:rFonts w:asciiTheme="minorHAnsi" w:hAnsiTheme="minorHAnsi" w:cstheme="minorHAnsi"/>
          <w:sz w:val="22"/>
          <w:lang w:eastAsia="sl-SI"/>
        </w:rPr>
        <w:t xml:space="preserve"> </w:t>
      </w:r>
      <w:r w:rsidRPr="008C3039">
        <w:rPr>
          <w:rFonts w:asciiTheme="minorHAnsi" w:hAnsiTheme="minorHAnsi" w:cstheme="minorHAnsi"/>
          <w:sz w:val="22"/>
          <w:lang w:eastAsia="sl-SI"/>
        </w:rPr>
        <w:t xml:space="preserve">Za razvoj mesta Velenje kot tudi celotne Šaleške doline je omejitveni dejavnik </w:t>
      </w:r>
      <w:r w:rsidR="0044236F">
        <w:rPr>
          <w:rFonts w:asciiTheme="minorHAnsi" w:hAnsiTheme="minorHAnsi" w:cstheme="minorHAnsi"/>
          <w:sz w:val="22"/>
          <w:lang w:eastAsia="sl-SI"/>
        </w:rPr>
        <w:t>tudi</w:t>
      </w:r>
      <w:r w:rsidR="00EF4BB5">
        <w:rPr>
          <w:rFonts w:asciiTheme="minorHAnsi" w:hAnsiTheme="minorHAnsi" w:cstheme="minorHAnsi"/>
          <w:sz w:val="22"/>
          <w:lang w:eastAsia="sl-SI"/>
        </w:rPr>
        <w:t xml:space="preserve"> slabša regionalna povezava</w:t>
      </w:r>
      <w:r w:rsidR="0044236F">
        <w:rPr>
          <w:rFonts w:asciiTheme="minorHAnsi" w:hAnsiTheme="minorHAnsi" w:cstheme="minorHAnsi"/>
          <w:sz w:val="22"/>
          <w:lang w:eastAsia="sl-SI"/>
        </w:rPr>
        <w:t xml:space="preserve"> do</w:t>
      </w:r>
      <w:r w:rsidRPr="008C3039">
        <w:rPr>
          <w:rFonts w:asciiTheme="minorHAnsi" w:hAnsiTheme="minorHAnsi" w:cstheme="minorHAnsi"/>
          <w:sz w:val="22"/>
          <w:lang w:eastAsia="sl-SI"/>
        </w:rPr>
        <w:t xml:space="preserve"> V. vseevropskega prometnega koridorja, kar se bo </w:t>
      </w:r>
      <w:r w:rsidR="00766A01">
        <w:rPr>
          <w:rFonts w:asciiTheme="minorHAnsi" w:hAnsiTheme="minorHAnsi" w:cstheme="minorHAnsi"/>
          <w:sz w:val="22"/>
          <w:lang w:eastAsia="sl-SI"/>
        </w:rPr>
        <w:t xml:space="preserve">sicer </w:t>
      </w:r>
      <w:r w:rsidRPr="008C3039">
        <w:rPr>
          <w:rFonts w:asciiTheme="minorHAnsi" w:hAnsiTheme="minorHAnsi" w:cstheme="minorHAnsi"/>
          <w:sz w:val="22"/>
          <w:lang w:eastAsia="sl-SI"/>
        </w:rPr>
        <w:t>izboljšalo z izgradnjo ceste v 3. razvojni osi RS. Do Velenja poteka regionalna železniška proga C3 Celje–Velenje</w:t>
      </w:r>
      <w:r w:rsidR="00EF4BB5">
        <w:rPr>
          <w:rFonts w:asciiTheme="minorHAnsi" w:hAnsiTheme="minorHAnsi" w:cstheme="minorHAnsi"/>
          <w:sz w:val="22"/>
          <w:lang w:eastAsia="sl-SI"/>
        </w:rPr>
        <w:t>.</w:t>
      </w:r>
    </w:p>
    <w:p w14:paraId="4E605B0C" w14:textId="77777777" w:rsidR="00FB5272" w:rsidRPr="008B037E" w:rsidRDefault="00FB5272" w:rsidP="00720E72">
      <w:pPr>
        <w:spacing w:before="0" w:after="0" w:line="276" w:lineRule="auto"/>
        <w:rPr>
          <w:rFonts w:asciiTheme="minorHAnsi" w:hAnsiTheme="minorHAnsi" w:cstheme="minorHAnsi"/>
          <w:sz w:val="22"/>
          <w:lang w:eastAsia="sl-SI"/>
        </w:rPr>
      </w:pPr>
    </w:p>
    <w:p w14:paraId="46D4DE93" w14:textId="77777777" w:rsidR="004742D2" w:rsidRPr="008B037E" w:rsidRDefault="004742D2" w:rsidP="00720E72">
      <w:pPr>
        <w:pStyle w:val="Odstavekseznama"/>
        <w:spacing w:after="0"/>
        <w:jc w:val="both"/>
        <w:rPr>
          <w:rFonts w:cstheme="minorHAnsi"/>
        </w:rPr>
      </w:pPr>
      <w:r w:rsidRPr="008B037E">
        <w:rPr>
          <w:rFonts w:cstheme="minorHAnsi"/>
        </w:rPr>
        <w:t>2.2. Razvojne potrebe in cilji do leta 2030 glede dosege podnebne nevtralnosti</w:t>
      </w:r>
    </w:p>
    <w:p w14:paraId="6F6B8C1C" w14:textId="77777777" w:rsidR="004742D2" w:rsidRPr="008B037E" w:rsidRDefault="004742D2" w:rsidP="00720E72">
      <w:pPr>
        <w:pStyle w:val="Odstavekseznama"/>
        <w:spacing w:after="0"/>
        <w:jc w:val="both"/>
        <w:rPr>
          <w:rFonts w:cstheme="minorHAnsi"/>
        </w:rPr>
      </w:pPr>
    </w:p>
    <w:p w14:paraId="0BEAFECB" w14:textId="2BB2E523" w:rsidR="004742D2" w:rsidRPr="008B037E" w:rsidRDefault="004742D2" w:rsidP="00720E72">
      <w:pPr>
        <w:pStyle w:val="Odstavekseznama"/>
        <w:spacing w:after="0"/>
        <w:jc w:val="both"/>
        <w:rPr>
          <w:rFonts w:cstheme="minorHAnsi"/>
          <w:i/>
        </w:rPr>
      </w:pPr>
      <w:r w:rsidRPr="008B037E">
        <w:rPr>
          <w:rFonts w:cstheme="minorHAnsi"/>
          <w:i/>
        </w:rPr>
        <w:t xml:space="preserve">Sklic: člen </w:t>
      </w:r>
      <w:r w:rsidR="00A356E3" w:rsidRPr="008B037E">
        <w:rPr>
          <w:rFonts w:cstheme="minorHAnsi"/>
          <w:i/>
        </w:rPr>
        <w:t>11</w:t>
      </w:r>
      <w:r w:rsidRPr="008B037E">
        <w:rPr>
          <w:rFonts w:cstheme="minorHAnsi"/>
          <w:i/>
        </w:rPr>
        <w:t>(2)(d)</w:t>
      </w:r>
    </w:p>
    <w:tbl>
      <w:tblPr>
        <w:tblStyle w:val="Tabelamrea"/>
        <w:tblW w:w="0" w:type="auto"/>
        <w:tblInd w:w="0" w:type="dxa"/>
        <w:tblLook w:val="04A0" w:firstRow="1" w:lastRow="0" w:firstColumn="1" w:lastColumn="0" w:noHBand="0" w:noVBand="1"/>
      </w:tblPr>
      <w:tblGrid>
        <w:gridCol w:w="9062"/>
      </w:tblGrid>
      <w:tr w:rsidR="004742D2" w:rsidRPr="008B037E" w14:paraId="3B6C8CDD" w14:textId="77777777" w:rsidTr="002970DA">
        <w:trPr>
          <w:trHeight w:val="306"/>
        </w:trPr>
        <w:tc>
          <w:tcPr>
            <w:tcW w:w="9288" w:type="dxa"/>
            <w:tcBorders>
              <w:top w:val="single" w:sz="4" w:space="0" w:color="auto"/>
              <w:left w:val="single" w:sz="4" w:space="0" w:color="auto"/>
              <w:bottom w:val="single" w:sz="4" w:space="0" w:color="auto"/>
              <w:right w:val="single" w:sz="4" w:space="0" w:color="auto"/>
            </w:tcBorders>
            <w:hideMark/>
          </w:tcPr>
          <w:p w14:paraId="513D6585"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Besedilno polje [6 000]</w:t>
            </w:r>
          </w:p>
        </w:tc>
      </w:tr>
    </w:tbl>
    <w:p w14:paraId="4E64C331" w14:textId="77777777" w:rsidR="004742D2" w:rsidRPr="008B037E" w:rsidRDefault="004742D2" w:rsidP="00720E72">
      <w:pPr>
        <w:pStyle w:val="Odstavekseznama"/>
        <w:spacing w:after="0"/>
        <w:jc w:val="both"/>
        <w:rPr>
          <w:rFonts w:cstheme="minorHAnsi"/>
        </w:rPr>
      </w:pPr>
    </w:p>
    <w:tbl>
      <w:tblPr>
        <w:tblStyle w:val="Tabelamrea"/>
        <w:tblW w:w="0" w:type="auto"/>
        <w:tblInd w:w="0" w:type="dxa"/>
        <w:tblLook w:val="04A0" w:firstRow="1" w:lastRow="0" w:firstColumn="1" w:lastColumn="0" w:noHBand="0" w:noVBand="1"/>
      </w:tblPr>
      <w:tblGrid>
        <w:gridCol w:w="9062"/>
      </w:tblGrid>
      <w:tr w:rsidR="004742D2" w:rsidRPr="008B037E" w14:paraId="10DF9267" w14:textId="77777777" w:rsidTr="001D68DF">
        <w:trPr>
          <w:trHeight w:val="699"/>
        </w:trPr>
        <w:tc>
          <w:tcPr>
            <w:tcW w:w="9288" w:type="dxa"/>
            <w:tcBorders>
              <w:top w:val="single" w:sz="4" w:space="0" w:color="auto"/>
              <w:left w:val="single" w:sz="4" w:space="0" w:color="auto"/>
              <w:bottom w:val="single" w:sz="4" w:space="0" w:color="auto"/>
              <w:right w:val="single" w:sz="4" w:space="0" w:color="auto"/>
            </w:tcBorders>
            <w:hideMark/>
          </w:tcPr>
          <w:p w14:paraId="0AA0FE87"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sz w:val="22"/>
              </w:rPr>
              <w:t xml:space="preserve">– </w:t>
            </w:r>
            <w:r w:rsidRPr="008B037E">
              <w:rPr>
                <w:rFonts w:asciiTheme="minorHAnsi" w:hAnsiTheme="minorHAnsi" w:cstheme="minorHAnsi"/>
                <w:i/>
                <w:sz w:val="22"/>
              </w:rPr>
              <w:t xml:space="preserve">razvojne potrebe za reševanje izzivov prehoda; </w:t>
            </w:r>
          </w:p>
          <w:p w14:paraId="5D513EB5" w14:textId="77777777" w:rsidR="004742D2" w:rsidRPr="008B037E" w:rsidRDefault="004742D2" w:rsidP="00720E72">
            <w:pPr>
              <w:spacing w:before="0" w:after="0" w:line="276" w:lineRule="auto"/>
              <w:rPr>
                <w:rFonts w:asciiTheme="minorHAnsi" w:eastAsia="Times New Roman" w:hAnsiTheme="minorHAnsi" w:cstheme="minorHAnsi"/>
                <w:sz w:val="22"/>
              </w:rPr>
            </w:pPr>
            <w:r w:rsidRPr="008B037E">
              <w:rPr>
                <w:rFonts w:asciiTheme="minorHAnsi" w:hAnsiTheme="minorHAnsi" w:cstheme="minorHAnsi"/>
                <w:i/>
                <w:sz w:val="22"/>
              </w:rPr>
              <w:t>– cilji in rezultati, ki naj bi se dosegli s prednostnim izvajanjem Sklada za pravični prehod.</w:t>
            </w:r>
            <w:r w:rsidRPr="008B037E">
              <w:rPr>
                <w:rFonts w:asciiTheme="minorHAnsi" w:hAnsiTheme="minorHAnsi" w:cstheme="minorHAnsi"/>
                <w:sz w:val="22"/>
              </w:rPr>
              <w:t xml:space="preserve"> </w:t>
            </w:r>
          </w:p>
        </w:tc>
      </w:tr>
    </w:tbl>
    <w:p w14:paraId="6C003B6D" w14:textId="58C4B4E7" w:rsidR="00C026D3" w:rsidRPr="008B037E" w:rsidRDefault="00C026D3" w:rsidP="00720E72">
      <w:pPr>
        <w:spacing w:before="0" w:after="0" w:line="276" w:lineRule="auto"/>
        <w:contextualSpacing/>
        <w:rPr>
          <w:rFonts w:asciiTheme="minorHAnsi" w:eastAsia="Times New Roman" w:hAnsiTheme="minorHAnsi" w:cstheme="minorHAnsi"/>
          <w:sz w:val="22"/>
        </w:rPr>
      </w:pPr>
    </w:p>
    <w:p w14:paraId="0D5CF71C" w14:textId="197AE2B0" w:rsidR="00E52245" w:rsidRPr="008B037E" w:rsidRDefault="00E52245" w:rsidP="00720E72">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t>2</w:t>
      </w:r>
      <w:r w:rsidR="00306704" w:rsidRPr="008B037E">
        <w:rPr>
          <w:rFonts w:asciiTheme="minorHAnsi" w:eastAsia="Times New Roman" w:hAnsiTheme="minorHAnsi" w:cstheme="minorHAnsi"/>
          <w:sz w:val="22"/>
        </w:rPr>
        <w:t>.2.1 Razvojne potrebe za reševanje izzivov prehoda</w:t>
      </w:r>
    </w:p>
    <w:p w14:paraId="3FC81F5B" w14:textId="77777777" w:rsidR="005266AC" w:rsidRPr="008B037E" w:rsidRDefault="005266AC" w:rsidP="00720E72">
      <w:pPr>
        <w:spacing w:before="0" w:after="0" w:line="276" w:lineRule="auto"/>
        <w:contextualSpacing/>
        <w:rPr>
          <w:rFonts w:asciiTheme="minorHAnsi" w:eastAsia="Times New Roman" w:hAnsiTheme="minorHAnsi" w:cstheme="minorHAnsi"/>
          <w:sz w:val="22"/>
        </w:rPr>
      </w:pPr>
    </w:p>
    <w:p w14:paraId="4C541C76" w14:textId="492D8C08" w:rsidR="00643C87" w:rsidRPr="008B037E" w:rsidRDefault="005266AC" w:rsidP="0067323F">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Za vpogled v trenutno stanje v SAŠA premogovniški regiji je bila ob pripravi NSPP izvedena temeljita primerjalna analiza</w:t>
      </w:r>
      <w:r w:rsidR="0067323F">
        <w:rPr>
          <w:rFonts w:asciiTheme="minorHAnsi" w:eastAsia="Times New Roman" w:hAnsiTheme="minorHAnsi" w:cstheme="minorHAnsi"/>
          <w:sz w:val="22"/>
        </w:rPr>
        <w:t>.</w:t>
      </w:r>
      <w:r w:rsidRPr="008B037E">
        <w:rPr>
          <w:rFonts w:asciiTheme="minorHAnsi" w:eastAsia="Times New Roman" w:hAnsiTheme="minorHAnsi" w:cstheme="minorHAnsi"/>
          <w:sz w:val="22"/>
        </w:rPr>
        <w:t xml:space="preserve"> </w:t>
      </w:r>
      <w:r w:rsidR="0067323F">
        <w:rPr>
          <w:rFonts w:asciiTheme="minorHAnsi" w:eastAsia="Times New Roman" w:hAnsiTheme="minorHAnsi" w:cstheme="minorHAnsi"/>
          <w:sz w:val="22"/>
        </w:rPr>
        <w:t>V</w:t>
      </w:r>
      <w:r w:rsidRPr="008B037E">
        <w:rPr>
          <w:rFonts w:asciiTheme="minorHAnsi" w:eastAsia="Times New Roman" w:hAnsiTheme="minorHAnsi" w:cstheme="minorHAnsi"/>
          <w:sz w:val="22"/>
        </w:rPr>
        <w:t xml:space="preserve"> okviru nje so bili obravnavani vsi elementi pravičnega prehoda – energetski prehod, tranzicija človeškega kapitala in družbene infrastrukture, tranzicija gospodarstva in tranzicija okolja. Na osnovi uradnih statističnih podatkov Statističnega urada Republike Slovenije in sodb deležnikov je bila izdelana ocena stanja za vsako od pr</w:t>
      </w:r>
      <w:r w:rsidR="00AA2FD2">
        <w:rPr>
          <w:rFonts w:asciiTheme="minorHAnsi" w:eastAsia="Times New Roman" w:hAnsiTheme="minorHAnsi" w:cstheme="minorHAnsi"/>
          <w:sz w:val="22"/>
        </w:rPr>
        <w:t>e</w:t>
      </w:r>
      <w:r w:rsidRPr="008B037E">
        <w:rPr>
          <w:rFonts w:asciiTheme="minorHAnsi" w:eastAsia="Times New Roman" w:hAnsiTheme="minorHAnsi" w:cstheme="minorHAnsi"/>
          <w:sz w:val="22"/>
        </w:rPr>
        <w:t>mogovnih regij in opredeljene glavne razvojne potrebe v posamezni premogovni regiji.</w:t>
      </w:r>
      <w:r w:rsidR="00E51A4B" w:rsidRPr="008B037E">
        <w:rPr>
          <w:rFonts w:asciiTheme="minorHAnsi" w:eastAsia="Times New Roman" w:hAnsiTheme="minorHAnsi" w:cstheme="minorHAnsi"/>
          <w:sz w:val="22"/>
        </w:rPr>
        <w:t xml:space="preserve"> </w:t>
      </w:r>
    </w:p>
    <w:p w14:paraId="6191B1FA" w14:textId="50EB2A5C" w:rsidR="00C37A74" w:rsidRPr="008B037E" w:rsidRDefault="00C026D3" w:rsidP="00720E72">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lastRenderedPageBreak/>
        <w:t xml:space="preserve">Za področje </w:t>
      </w:r>
      <w:r w:rsidRPr="008B037E">
        <w:rPr>
          <w:rFonts w:asciiTheme="minorHAnsi" w:eastAsia="Times New Roman" w:hAnsiTheme="minorHAnsi" w:cstheme="minorHAnsi"/>
          <w:b/>
          <w:sz w:val="22"/>
        </w:rPr>
        <w:t>energetike</w:t>
      </w:r>
      <w:r w:rsidRPr="008B037E">
        <w:rPr>
          <w:rFonts w:asciiTheme="minorHAnsi" w:eastAsia="Times New Roman" w:hAnsiTheme="minorHAnsi" w:cstheme="minorHAnsi"/>
          <w:sz w:val="22"/>
        </w:rPr>
        <w:t xml:space="preserve"> </w:t>
      </w:r>
      <w:r w:rsidR="00556BCC" w:rsidRPr="008B037E">
        <w:rPr>
          <w:rFonts w:asciiTheme="minorHAnsi" w:eastAsia="Times New Roman" w:hAnsiTheme="minorHAnsi" w:cstheme="minorHAnsi"/>
          <w:sz w:val="22"/>
        </w:rPr>
        <w:t>m</w:t>
      </w:r>
      <w:r w:rsidR="000C19CA" w:rsidRPr="008B037E">
        <w:rPr>
          <w:rFonts w:asciiTheme="minorHAnsi" w:eastAsia="Times New Roman" w:hAnsiTheme="minorHAnsi" w:cstheme="minorHAnsi"/>
          <w:sz w:val="22"/>
        </w:rPr>
        <w:t>ed splošne razvojne potrebe</w:t>
      </w:r>
      <w:r w:rsidR="00B20B00" w:rsidRPr="008B037E">
        <w:rPr>
          <w:rFonts w:asciiTheme="minorHAnsi" w:eastAsia="Times New Roman" w:hAnsiTheme="minorHAnsi" w:cstheme="minorHAnsi"/>
          <w:sz w:val="22"/>
        </w:rPr>
        <w:t xml:space="preserve"> </w:t>
      </w:r>
      <w:r w:rsidR="00982F53" w:rsidRPr="008B037E">
        <w:rPr>
          <w:rFonts w:asciiTheme="minorHAnsi" w:eastAsia="Times New Roman" w:hAnsiTheme="minorHAnsi" w:cstheme="minorHAnsi"/>
          <w:sz w:val="22"/>
        </w:rPr>
        <w:t>regije</w:t>
      </w:r>
      <w:r w:rsidR="00AE063F">
        <w:rPr>
          <w:rFonts w:asciiTheme="minorHAnsi" w:eastAsia="Times New Roman" w:hAnsiTheme="minorHAnsi" w:cstheme="minorHAnsi"/>
          <w:sz w:val="22"/>
        </w:rPr>
        <w:t>, kot izhaja iz NSPP</w:t>
      </w:r>
      <w:r w:rsidR="00980FDD">
        <w:rPr>
          <w:rStyle w:val="Sprotnaopomba-sklic"/>
          <w:rFonts w:asciiTheme="minorHAnsi" w:eastAsia="Times New Roman" w:hAnsiTheme="minorHAnsi" w:cstheme="minorHAnsi"/>
          <w:sz w:val="22"/>
        </w:rPr>
        <w:footnoteReference w:id="6"/>
      </w:r>
      <w:r w:rsidR="00AE063F">
        <w:rPr>
          <w:rFonts w:asciiTheme="minorHAnsi" w:eastAsia="Times New Roman" w:hAnsiTheme="minorHAnsi" w:cstheme="minorHAnsi"/>
          <w:sz w:val="22"/>
        </w:rPr>
        <w:t xml:space="preserve"> in tudi iz Območnega razvojnega programa</w:t>
      </w:r>
      <w:r w:rsidR="00980FDD">
        <w:rPr>
          <w:rStyle w:val="Sprotnaopomba-sklic"/>
          <w:rFonts w:asciiTheme="minorHAnsi" w:eastAsia="Times New Roman" w:hAnsiTheme="minorHAnsi" w:cstheme="minorHAnsi"/>
          <w:sz w:val="22"/>
        </w:rPr>
        <w:footnoteReference w:id="7"/>
      </w:r>
      <w:r w:rsidR="00AE063F">
        <w:rPr>
          <w:rFonts w:asciiTheme="minorHAnsi" w:eastAsia="Times New Roman" w:hAnsiTheme="minorHAnsi" w:cstheme="minorHAnsi"/>
          <w:sz w:val="22"/>
        </w:rPr>
        <w:t>,</w:t>
      </w:r>
      <w:r w:rsidR="00982F53" w:rsidRPr="008B037E">
        <w:rPr>
          <w:rFonts w:asciiTheme="minorHAnsi" w:eastAsia="Times New Roman" w:hAnsiTheme="minorHAnsi" w:cstheme="minorHAnsi"/>
          <w:sz w:val="22"/>
        </w:rPr>
        <w:t xml:space="preserve"> </w:t>
      </w:r>
      <w:r w:rsidR="000C19CA" w:rsidRPr="008B037E">
        <w:rPr>
          <w:rFonts w:asciiTheme="minorHAnsi" w:eastAsia="Times New Roman" w:hAnsiTheme="minorHAnsi" w:cstheme="minorHAnsi"/>
          <w:sz w:val="22"/>
        </w:rPr>
        <w:t xml:space="preserve">spadajo: </w:t>
      </w:r>
    </w:p>
    <w:p w14:paraId="1944A22E" w14:textId="77777777" w:rsidR="00C37A74" w:rsidRPr="008B037E" w:rsidRDefault="00982F53" w:rsidP="00E60FF6">
      <w:pPr>
        <w:pStyle w:val="Odstavekseznama"/>
        <w:numPr>
          <w:ilvl w:val="0"/>
          <w:numId w:val="35"/>
        </w:numPr>
        <w:spacing w:after="0"/>
        <w:rPr>
          <w:rFonts w:eastAsia="Times New Roman" w:cstheme="minorHAnsi"/>
        </w:rPr>
      </w:pPr>
      <w:r w:rsidRPr="008B037E">
        <w:rPr>
          <w:rFonts w:eastAsia="Times New Roman" w:cstheme="minorHAnsi"/>
        </w:rPr>
        <w:t>povečanje zanesljivosti regijske oskrbe</w:t>
      </w:r>
      <w:r w:rsidR="000C19CA" w:rsidRPr="008B037E">
        <w:rPr>
          <w:rFonts w:eastAsia="Times New Roman" w:cstheme="minorHAnsi"/>
        </w:rPr>
        <w:t xml:space="preserve">; </w:t>
      </w:r>
    </w:p>
    <w:p w14:paraId="4CE694E1" w14:textId="530C9578" w:rsidR="00C37A74" w:rsidRPr="008B037E" w:rsidRDefault="000C19CA" w:rsidP="00E60FF6">
      <w:pPr>
        <w:pStyle w:val="Odstavekseznama"/>
        <w:numPr>
          <w:ilvl w:val="0"/>
          <w:numId w:val="35"/>
        </w:numPr>
        <w:spacing w:after="0"/>
        <w:rPr>
          <w:rFonts w:eastAsia="Times New Roman" w:cstheme="minorHAnsi"/>
        </w:rPr>
      </w:pPr>
      <w:r w:rsidRPr="008B037E">
        <w:t>večji delež OVE v končni rabi energije,</w:t>
      </w:r>
      <w:r w:rsidRPr="008B037E">
        <w:rPr>
          <w:rFonts w:eastAsia="Times New Roman" w:cstheme="minorHAnsi"/>
        </w:rPr>
        <w:t xml:space="preserve"> </w:t>
      </w:r>
    </w:p>
    <w:p w14:paraId="4402857C" w14:textId="77777777" w:rsidR="00C37A74" w:rsidRPr="008B037E" w:rsidRDefault="000C19CA" w:rsidP="00E60FF6">
      <w:pPr>
        <w:pStyle w:val="Odstavekseznama"/>
        <w:numPr>
          <w:ilvl w:val="0"/>
          <w:numId w:val="35"/>
        </w:numPr>
        <w:spacing w:after="0"/>
      </w:pPr>
      <w:r w:rsidRPr="008B037E">
        <w:rPr>
          <w:rFonts w:eastAsia="Times New Roman" w:cstheme="minorHAnsi"/>
        </w:rPr>
        <w:t>povečevanje energetske učinkovitosti in povečanje zmogljivosti shranjevanja energije</w:t>
      </w:r>
      <w:r w:rsidR="00982F53" w:rsidRPr="008B037E">
        <w:rPr>
          <w:rFonts w:eastAsia="Times New Roman" w:cstheme="minorHAnsi"/>
        </w:rPr>
        <w:t>;</w:t>
      </w:r>
      <w:r w:rsidRPr="008B037E">
        <w:t xml:space="preserve"> </w:t>
      </w:r>
    </w:p>
    <w:p w14:paraId="46106ECC" w14:textId="395416FE" w:rsidR="00C37A74" w:rsidRPr="008B037E" w:rsidRDefault="000C19CA" w:rsidP="00E60FF6">
      <w:pPr>
        <w:pStyle w:val="Odstavekseznama"/>
        <w:numPr>
          <w:ilvl w:val="0"/>
          <w:numId w:val="35"/>
        </w:numPr>
        <w:spacing w:after="0"/>
      </w:pPr>
      <w:r w:rsidRPr="008B037E">
        <w:t>ohranitev in nadgradnja energetskih lokacij v regiji</w:t>
      </w:r>
      <w:r w:rsidR="00C37A74" w:rsidRPr="008B037E">
        <w:t>;</w:t>
      </w:r>
    </w:p>
    <w:p w14:paraId="51D4CB69" w14:textId="0E7F8DFD" w:rsidR="00370F69" w:rsidRPr="00F64A84" w:rsidRDefault="00370F69" w:rsidP="0067323F">
      <w:pPr>
        <w:pStyle w:val="Odstavekseznama"/>
        <w:numPr>
          <w:ilvl w:val="0"/>
          <w:numId w:val="35"/>
        </w:numPr>
        <w:spacing w:after="120"/>
        <w:ind w:left="714" w:hanging="357"/>
        <w:contextualSpacing w:val="0"/>
      </w:pPr>
      <w:r w:rsidRPr="008B037E">
        <w:t xml:space="preserve">vzpostavitev </w:t>
      </w:r>
      <w:r w:rsidR="00EC1AF0" w:rsidRPr="008B037E">
        <w:t xml:space="preserve">zanesljivega </w:t>
      </w:r>
      <w:r w:rsidRPr="008B037E">
        <w:t>daljinskega ogrevanja iz obnovljivih virov energije</w:t>
      </w:r>
      <w:r w:rsidR="00EC1AF0" w:rsidRPr="008B037E">
        <w:t xml:space="preserve"> </w:t>
      </w:r>
      <w:r w:rsidR="00B20B00" w:rsidRPr="008B037E">
        <w:t>vključno z</w:t>
      </w:r>
      <w:r w:rsidR="00EC1AF0" w:rsidRPr="008B037E">
        <w:t xml:space="preserve"> optimizacij</w:t>
      </w:r>
      <w:r w:rsidR="00B20B00" w:rsidRPr="008B037E">
        <w:t>o</w:t>
      </w:r>
      <w:r w:rsidR="00EC1AF0" w:rsidRPr="008B037E">
        <w:t xml:space="preserve"> obstoječega sistema, da bo </w:t>
      </w:r>
      <w:r w:rsidR="00C820C8">
        <w:t xml:space="preserve">lahko v naslednji fazi </w:t>
      </w:r>
      <w:r w:rsidR="00EC1AF0" w:rsidRPr="008B037E">
        <w:t>prilagojen za OVE</w:t>
      </w:r>
      <w:r w:rsidR="00C820C8">
        <w:t xml:space="preserve"> </w:t>
      </w:r>
      <w:r w:rsidR="00C820C8" w:rsidRPr="00F64A84">
        <w:t>(nizkotemperaturni režim)</w:t>
      </w:r>
      <w:r w:rsidR="00EC1AF0" w:rsidRPr="00F64A84">
        <w:t>.</w:t>
      </w:r>
    </w:p>
    <w:p w14:paraId="6B6E0E21" w14:textId="77777777" w:rsidR="00B01632" w:rsidRPr="00F64A84" w:rsidRDefault="00B01632" w:rsidP="00AA2FD2">
      <w:pPr>
        <w:spacing w:before="0" w:line="276" w:lineRule="auto"/>
        <w:rPr>
          <w:rFonts w:asciiTheme="minorHAnsi" w:hAnsiTheme="minorHAnsi"/>
          <w:sz w:val="22"/>
        </w:rPr>
      </w:pPr>
      <w:r w:rsidRPr="00F64A84">
        <w:rPr>
          <w:rFonts w:asciiTheme="minorHAnsi" w:hAnsiTheme="minorHAnsi"/>
          <w:sz w:val="22"/>
        </w:rPr>
        <w:t xml:space="preserve">Na področju </w:t>
      </w:r>
      <w:r w:rsidRPr="00F64A84">
        <w:rPr>
          <w:rFonts w:asciiTheme="minorHAnsi" w:hAnsiTheme="minorHAnsi"/>
          <w:b/>
          <w:sz w:val="22"/>
        </w:rPr>
        <w:t>razvoja človeških virov</w:t>
      </w:r>
      <w:r w:rsidRPr="00F64A84">
        <w:rPr>
          <w:rFonts w:asciiTheme="minorHAnsi" w:hAnsiTheme="minorHAnsi"/>
          <w:sz w:val="22"/>
        </w:rPr>
        <w:t xml:space="preserve"> je v regiji identificiranih več različnih področij.</w:t>
      </w:r>
      <w:r w:rsidRPr="00F64A84" w:rsidDel="0054092A">
        <w:rPr>
          <w:rFonts w:asciiTheme="minorHAnsi" w:hAnsiTheme="minorHAnsi"/>
          <w:sz w:val="22"/>
        </w:rPr>
        <w:t xml:space="preserve"> </w:t>
      </w:r>
      <w:r w:rsidRPr="00F64A84">
        <w:rPr>
          <w:rFonts w:asciiTheme="minorHAnsi" w:hAnsiTheme="minorHAnsi"/>
          <w:sz w:val="22"/>
        </w:rPr>
        <w:t>Potrebno je nadgraditi izobraževalni sistem z višješolskimi in visokošolskimi programi,</w:t>
      </w:r>
      <w:r w:rsidRPr="00F64A84">
        <w:t xml:space="preserve"> </w:t>
      </w:r>
      <w:r w:rsidRPr="00F64A84">
        <w:rPr>
          <w:rFonts w:asciiTheme="minorHAnsi" w:hAnsiTheme="minorHAnsi"/>
          <w:sz w:val="22"/>
        </w:rPr>
        <w:t xml:space="preserve">s ciljem zmanjšanja neskladij med znanji in spretnostmi, ki jih mladi pridobijo med izobraževanjem ter potrebami na trgu dela. Pomembna je obogatitev in krepitev ključnih kompetenc šolajočih (predvsem kompetence podjetnosti, digitalne in zelene kompetence) in digitalno preobraziti šolski prostor. Smiselna je tudi vpetost šolskega prostora v ukrepe ostalih razvojnih področji (npr. demonstracijski centri, robotika, umetna inteligenca, itd). Vzpostaviti </w:t>
      </w:r>
      <w:r w:rsidRPr="00AA2FD2">
        <w:rPr>
          <w:rFonts w:asciiTheme="minorHAnsi" w:eastAsia="Times New Roman" w:hAnsiTheme="minorHAnsi" w:cstheme="minorHAnsi"/>
          <w:sz w:val="22"/>
        </w:rPr>
        <w:t>bo</w:t>
      </w:r>
      <w:r w:rsidRPr="00F64A84">
        <w:rPr>
          <w:rFonts w:asciiTheme="minorHAnsi" w:hAnsiTheme="minorHAnsi"/>
          <w:sz w:val="22"/>
        </w:rPr>
        <w:t xml:space="preserve"> treba okolje za razvoj podjetniške  miselnosti celotne generacije in zagotavljanje več programov za spodbujanje podjetništva (zlasti na začetku izobraževalnega procesa).</w:t>
      </w:r>
    </w:p>
    <w:p w14:paraId="48499F8E" w14:textId="4A109A9B" w:rsidR="00A356E3" w:rsidRPr="008B037E" w:rsidRDefault="00B01632" w:rsidP="0067323F">
      <w:pPr>
        <w:spacing w:before="0" w:after="160" w:line="259" w:lineRule="auto"/>
        <w:rPr>
          <w:rFonts w:asciiTheme="minorHAnsi" w:eastAsia="Calibri" w:hAnsiTheme="minorHAnsi" w:cstheme="minorHAnsi"/>
          <w:sz w:val="22"/>
        </w:rPr>
      </w:pPr>
      <w:r w:rsidRPr="00F64A84">
        <w:rPr>
          <w:rFonts w:asciiTheme="minorHAnsi" w:hAnsiTheme="minorHAnsi"/>
          <w:sz w:val="22"/>
        </w:rPr>
        <w:t xml:space="preserve">Razvojne potrebe gredo v smeri zagotavljanja povezovanja različnih deležnikov v okolju in odpiranju delovnih mest z visoko dodano vrednostjo, s katerimi bi lahko deloma reševali tudi vprašanje presežnih visoko kvalificiranih delavcev v energetiki. Izobraževalne vsebine bodo zajemale predvsem področja podjetništva, zelene transformacije in fotovoltaike, krepitve socialnih kompetenc, dvig digitalne pismenosti, recikliranja in predelave odpadkov, plastike ter proizvodnje alternativnih goriv oz. krožnega </w:t>
      </w:r>
      <w:r w:rsidR="00CC2DC7">
        <w:rPr>
          <w:rFonts w:asciiTheme="minorHAnsi" w:hAnsiTheme="minorHAnsi"/>
          <w:sz w:val="22"/>
        </w:rPr>
        <w:t xml:space="preserve">gospodarstva. </w:t>
      </w:r>
      <w:r w:rsidRPr="00F64A84">
        <w:rPr>
          <w:rFonts w:asciiTheme="minorHAnsi" w:hAnsiTheme="minorHAnsi"/>
          <w:sz w:val="22"/>
        </w:rPr>
        <w:t>V regiji je treba ustvariti zaposlitvene možnosti, s čimer bi preprečili dnevne in trajne migracije iz regije.</w:t>
      </w:r>
      <w:r w:rsidR="00786193">
        <w:rPr>
          <w:rFonts w:asciiTheme="minorHAnsi" w:hAnsiTheme="minorHAnsi"/>
          <w:sz w:val="22"/>
        </w:rPr>
        <w:t xml:space="preserve"> </w:t>
      </w:r>
      <w:r w:rsidR="00306704" w:rsidRPr="008B037E">
        <w:rPr>
          <w:rFonts w:asciiTheme="minorHAnsi" w:eastAsia="Calibri" w:hAnsiTheme="minorHAnsi" w:cstheme="minorHAnsi"/>
          <w:sz w:val="22"/>
        </w:rPr>
        <w:t xml:space="preserve">Vprašanje dnevnega migriranja je povezano tudi s problematiko povezljivosti oziroma pomanjkljivo </w:t>
      </w:r>
      <w:r w:rsidR="00306704" w:rsidRPr="0067323F">
        <w:rPr>
          <w:rFonts w:asciiTheme="minorHAnsi" w:eastAsia="Times New Roman" w:hAnsiTheme="minorHAnsi" w:cstheme="minorHAnsi"/>
          <w:sz w:val="22"/>
        </w:rPr>
        <w:t>infrastrukturo</w:t>
      </w:r>
      <w:r w:rsidR="00306704" w:rsidRPr="008B037E">
        <w:rPr>
          <w:rFonts w:asciiTheme="minorHAnsi" w:eastAsia="Calibri" w:hAnsiTheme="minorHAnsi" w:cstheme="minorHAnsi"/>
          <w:sz w:val="22"/>
        </w:rPr>
        <w:t xml:space="preserve"> za spodbujanje trajnostne mobilnosti in neustrezno kakovostjo storitev javnega prevoza.</w:t>
      </w:r>
    </w:p>
    <w:p w14:paraId="58741600" w14:textId="77777777" w:rsidR="00E51A4B" w:rsidRPr="008B037E" w:rsidRDefault="00E51A4B" w:rsidP="00E51A4B">
      <w:pPr>
        <w:spacing w:before="0" w:after="0" w:line="276" w:lineRule="auto"/>
        <w:contextualSpacing/>
        <w:rPr>
          <w:rFonts w:asciiTheme="minorHAnsi" w:eastAsia="Times New Roman" w:hAnsiTheme="minorHAnsi" w:cstheme="minorHAnsi"/>
          <w:bCs/>
          <w:sz w:val="22"/>
        </w:rPr>
      </w:pPr>
      <w:r w:rsidRPr="008B037E">
        <w:rPr>
          <w:rFonts w:asciiTheme="minorHAnsi" w:eastAsia="Times New Roman" w:hAnsiTheme="minorHAnsi" w:cstheme="minorHAnsi"/>
          <w:bCs/>
          <w:sz w:val="22"/>
        </w:rPr>
        <w:t xml:space="preserve">Razvojne potrebe, povezane s tranzicijo </w:t>
      </w:r>
      <w:r w:rsidRPr="008B037E">
        <w:rPr>
          <w:rFonts w:asciiTheme="minorHAnsi" w:eastAsia="Times New Roman" w:hAnsiTheme="minorHAnsi" w:cstheme="minorHAnsi"/>
          <w:b/>
          <w:bCs/>
          <w:sz w:val="22"/>
        </w:rPr>
        <w:t>gospodarstva</w:t>
      </w:r>
      <w:r w:rsidRPr="008B037E">
        <w:rPr>
          <w:rFonts w:asciiTheme="minorHAnsi" w:eastAsia="Times New Roman" w:hAnsiTheme="minorHAnsi" w:cstheme="minorHAnsi"/>
          <w:bCs/>
          <w:sz w:val="22"/>
        </w:rPr>
        <w:t>, vključujejo:</w:t>
      </w:r>
    </w:p>
    <w:p w14:paraId="787CEFBD" w14:textId="6160EFD9" w:rsidR="00E51A4B" w:rsidRPr="00375867" w:rsidRDefault="00E51A4B" w:rsidP="00375867">
      <w:pPr>
        <w:pStyle w:val="Odstavekseznama"/>
        <w:numPr>
          <w:ilvl w:val="0"/>
          <w:numId w:val="36"/>
        </w:numPr>
        <w:spacing w:after="0"/>
        <w:rPr>
          <w:rFonts w:eastAsia="Times New Roman" w:cstheme="minorHAnsi"/>
          <w:bCs/>
        </w:rPr>
      </w:pPr>
      <w:r w:rsidRPr="00375867">
        <w:rPr>
          <w:rFonts w:eastAsia="Times New Roman" w:cstheme="minorHAnsi"/>
          <w:bCs/>
        </w:rPr>
        <w:t>diverzifikacijo lokalnega gospodarstva glede na sektorsko in velikostno raznolikost;</w:t>
      </w:r>
    </w:p>
    <w:p w14:paraId="6C061B85" w14:textId="2D912864" w:rsidR="00E51A4B" w:rsidRPr="008B037E" w:rsidRDefault="00E51A4B" w:rsidP="00375867">
      <w:pPr>
        <w:pStyle w:val="Odstavekseznama"/>
        <w:numPr>
          <w:ilvl w:val="0"/>
          <w:numId w:val="36"/>
        </w:numPr>
        <w:spacing w:after="0"/>
        <w:rPr>
          <w:rFonts w:eastAsia="Times New Roman" w:cstheme="minorHAnsi"/>
          <w:bCs/>
        </w:rPr>
      </w:pPr>
      <w:r w:rsidRPr="008B037E">
        <w:rPr>
          <w:rFonts w:eastAsia="Times New Roman" w:cstheme="minorHAnsi"/>
          <w:bCs/>
        </w:rPr>
        <w:t xml:space="preserve">uravnotežena vlaganja v razvoj različnih panog, kot so </w:t>
      </w:r>
      <w:r w:rsidR="00375867">
        <w:rPr>
          <w:rFonts w:eastAsia="Times New Roman" w:cstheme="minorHAnsi"/>
          <w:bCs/>
        </w:rPr>
        <w:t xml:space="preserve">na </w:t>
      </w:r>
      <w:r w:rsidRPr="008B037E">
        <w:rPr>
          <w:rFonts w:eastAsia="Times New Roman" w:cstheme="minorHAnsi"/>
          <w:bCs/>
        </w:rPr>
        <w:t>primer elektroindustrija, avtomobilska industrija, IT sektor, gozdarstvo in lesna industrija, turizem, kmetijstvo in trajnostna pridelava hrane, energetika kot gospodarski sektor, proizvodnja in predelava kovin in nekovin, farmacevtska industrija ter nove tehnologije (zlasti avtomatizacija in robotika);</w:t>
      </w:r>
    </w:p>
    <w:p w14:paraId="415AB2E1" w14:textId="4FD5F6BA" w:rsidR="00E51A4B" w:rsidRPr="008B037E" w:rsidRDefault="00E51A4B" w:rsidP="00375867">
      <w:pPr>
        <w:pStyle w:val="Odstavekseznama"/>
        <w:numPr>
          <w:ilvl w:val="0"/>
          <w:numId w:val="36"/>
        </w:numPr>
        <w:spacing w:after="0"/>
        <w:rPr>
          <w:rFonts w:eastAsia="Times New Roman" w:cstheme="minorHAnsi"/>
          <w:bCs/>
        </w:rPr>
      </w:pPr>
      <w:r w:rsidRPr="008B037E">
        <w:rPr>
          <w:rFonts w:eastAsia="Times New Roman" w:cstheme="minorHAnsi"/>
          <w:bCs/>
        </w:rPr>
        <w:t>izboljšanje zmogljivosti poslovnega okolja za privabljanje javnega in zasebnega financiranja podjetij (neposredne domače in tuje naložbe);</w:t>
      </w:r>
    </w:p>
    <w:p w14:paraId="0114C27D" w14:textId="31F8FF00" w:rsidR="00A356E3" w:rsidRPr="008B037E" w:rsidRDefault="00E51A4B" w:rsidP="00375867">
      <w:pPr>
        <w:pStyle w:val="Odstavekseznama"/>
        <w:numPr>
          <w:ilvl w:val="0"/>
          <w:numId w:val="36"/>
        </w:numPr>
        <w:spacing w:after="0"/>
      </w:pPr>
      <w:r w:rsidRPr="008B037E">
        <w:rPr>
          <w:rFonts w:eastAsia="Times New Roman" w:cstheme="minorHAnsi"/>
          <w:bCs/>
        </w:rPr>
        <w:t>nadaljnjo podporo in spodbude za razvoj zagonskih podjetij in krepiti vlaganja v raziskave, razvoj in inovacije ter sodelovanje med raziskovalnimi organizacijami in gospodarstvom v regiji, ter turizem, zlasti na področju celovitih turističnih produktov regije</w:t>
      </w:r>
      <w:r w:rsidRPr="008B037E">
        <w:rPr>
          <w:rFonts w:eastAsia="Times New Roman" w:cstheme="minorHAnsi"/>
          <w:b/>
          <w:bCs/>
        </w:rPr>
        <w:t>.</w:t>
      </w:r>
    </w:p>
    <w:p w14:paraId="5ACEB860" w14:textId="749A5017" w:rsidR="00A356E3" w:rsidRPr="008B037E" w:rsidRDefault="00A356E3" w:rsidP="00375867">
      <w:pPr>
        <w:pStyle w:val="oj-tbl-txt"/>
        <w:shd w:val="clear" w:color="auto" w:fill="FFFFFF"/>
        <w:spacing w:before="60" w:beforeAutospacing="0" w:after="120" w:afterAutospacing="0" w:line="312" w:lineRule="atLeast"/>
        <w:jc w:val="both"/>
        <w:rPr>
          <w:rFonts w:asciiTheme="minorHAnsi" w:eastAsia="Calibri" w:hAnsiTheme="minorHAnsi" w:cstheme="minorHAnsi"/>
          <w:sz w:val="22"/>
          <w:szCs w:val="22"/>
          <w:lang w:eastAsia="en-US"/>
        </w:rPr>
      </w:pPr>
      <w:r w:rsidRPr="008B037E">
        <w:rPr>
          <w:rFonts w:asciiTheme="minorHAnsi" w:eastAsia="Calibri" w:hAnsiTheme="minorHAnsi"/>
          <w:sz w:val="22"/>
        </w:rPr>
        <w:t xml:space="preserve">Rezultati bodo usmerjeni k dvema ključnima sklopoma ukrepov, ki bosta zagotovila ustrezno diverzifikacijo gospodarstva, temelječega na prestrukturiranju v smeri trajnostnih industrij prihodnosti </w:t>
      </w:r>
      <w:r w:rsidRPr="008B037E">
        <w:rPr>
          <w:rFonts w:asciiTheme="minorHAnsi" w:eastAsia="Calibri" w:hAnsiTheme="minorHAnsi"/>
          <w:sz w:val="22"/>
        </w:rPr>
        <w:lastRenderedPageBreak/>
        <w:t>ter ustreznega podpornega okolja za trajnosten razvoj regije, vključujoč predvsem preprečitev padca v gospodarski aktivnosti (BDP)</w:t>
      </w:r>
      <w:r w:rsidR="00BF7CB1">
        <w:rPr>
          <w:rFonts w:asciiTheme="minorHAnsi" w:eastAsia="Calibri" w:hAnsiTheme="minorHAnsi"/>
          <w:sz w:val="22"/>
        </w:rPr>
        <w:t>.</w:t>
      </w:r>
      <w:r w:rsidRPr="008B037E">
        <w:rPr>
          <w:rFonts w:asciiTheme="minorHAnsi" w:eastAsia="Calibri" w:hAnsiTheme="minorHAnsi"/>
          <w:sz w:val="22"/>
        </w:rPr>
        <w:t xml:space="preserve"> </w:t>
      </w:r>
    </w:p>
    <w:p w14:paraId="510AF03A" w14:textId="5258EBF3" w:rsidR="00D62E95" w:rsidRDefault="00A356E3" w:rsidP="00D62E95">
      <w:pPr>
        <w:spacing w:before="0" w:after="0" w:line="276" w:lineRule="auto"/>
        <w:contextualSpacing/>
      </w:pPr>
      <w:r w:rsidRPr="008B037E">
        <w:rPr>
          <w:rFonts w:asciiTheme="minorHAnsi" w:eastAsia="Times New Roman" w:hAnsiTheme="minorHAnsi" w:cstheme="minorHAnsi"/>
          <w:sz w:val="22"/>
        </w:rPr>
        <w:t xml:space="preserve">Dediščina premogovništva je regijo zaznamovala s </w:t>
      </w:r>
      <w:r w:rsidRPr="008B037E">
        <w:rPr>
          <w:rFonts w:asciiTheme="minorHAnsi" w:eastAsia="Times New Roman" w:hAnsiTheme="minorHAnsi" w:cstheme="minorHAnsi"/>
          <w:b/>
          <w:sz w:val="22"/>
        </w:rPr>
        <w:t>prostorsko in okoljsko degradiranimi območji</w:t>
      </w:r>
      <w:r w:rsidR="00375867">
        <w:rPr>
          <w:rFonts w:asciiTheme="minorHAnsi" w:eastAsia="Times New Roman" w:hAnsiTheme="minorHAnsi" w:cstheme="minorHAnsi"/>
          <w:b/>
          <w:sz w:val="22"/>
        </w:rPr>
        <w:t>.</w:t>
      </w:r>
      <w:r w:rsidR="00375867">
        <w:rPr>
          <w:rFonts w:asciiTheme="minorHAnsi" w:eastAsia="Times New Roman" w:hAnsiTheme="minorHAnsi" w:cstheme="minorHAnsi"/>
          <w:sz w:val="22"/>
        </w:rPr>
        <w:t xml:space="preserve"> R</w:t>
      </w:r>
      <w:r w:rsidRPr="008B037E">
        <w:rPr>
          <w:rFonts w:asciiTheme="minorHAnsi" w:eastAsia="Times New Roman" w:hAnsiTheme="minorHAnsi" w:cstheme="minorHAnsi"/>
          <w:sz w:val="22"/>
        </w:rPr>
        <w:t>azvojni potencial predstavljajo tudi stara in opuščena industrijska območja. Glede na postopno opuščanje premogovništva in rabe premoga do leta 2033, je potrebno takoj pričeti z aktivacijo tistih območij, ki ne bodo več izpostavljena nadaljnji degradaciji. Premogovna dejavnost je vplivala tudi na spremembe v prostoru</w:t>
      </w:r>
      <w:r w:rsidR="00682DA2">
        <w:rPr>
          <w:rFonts w:asciiTheme="minorHAnsi" w:eastAsia="Times New Roman" w:hAnsiTheme="minorHAnsi" w:cstheme="minorHAnsi"/>
          <w:sz w:val="22"/>
        </w:rPr>
        <w:t>.</w:t>
      </w:r>
      <w:r w:rsidR="00D62E95" w:rsidRPr="00D62E95">
        <w:t xml:space="preserve"> </w:t>
      </w:r>
    </w:p>
    <w:p w14:paraId="528FE590" w14:textId="26EAA7A0" w:rsidR="00A356E3" w:rsidRPr="008B037E" w:rsidRDefault="00D62E95" w:rsidP="00D62E95">
      <w:pPr>
        <w:spacing w:before="0" w:after="0" w:line="276" w:lineRule="auto"/>
        <w:contextualSpacing/>
        <w:rPr>
          <w:rFonts w:asciiTheme="minorHAnsi" w:eastAsia="Times New Roman" w:hAnsiTheme="minorHAnsi" w:cstheme="minorHAnsi"/>
          <w:sz w:val="22"/>
        </w:rPr>
      </w:pPr>
      <w:r w:rsidRPr="00AA33F0">
        <w:rPr>
          <w:rFonts w:asciiTheme="minorHAnsi" w:hAnsiTheme="minorHAnsi"/>
          <w:sz w:val="22"/>
        </w:rPr>
        <w:t>Nasip med Velenjskim in Družmirskim jezerom, ki se nahaja nad odkopno jamo Preloge, ki bo postopno zaprta do leta 2025, ima pomembno vlogo pri zagotavljanju poplavne varnosti</w:t>
      </w:r>
      <w:r w:rsidRPr="00A4523F">
        <w:rPr>
          <w:rFonts w:asciiTheme="minorHAnsi" w:eastAsia="Times New Roman" w:hAnsiTheme="minorHAnsi" w:cstheme="minorHAnsi"/>
          <w:sz w:val="22"/>
        </w:rPr>
        <w:t xml:space="preserve"> pred negativnimi vplivi premogovništva v Šaleški dolini, ker preprečuje zlitje </w:t>
      </w:r>
      <w:r w:rsidR="0038035C">
        <w:rPr>
          <w:rFonts w:asciiTheme="minorHAnsi" w:eastAsia="Times New Roman" w:hAnsiTheme="minorHAnsi" w:cstheme="minorHAnsi"/>
          <w:sz w:val="22"/>
        </w:rPr>
        <w:t xml:space="preserve">Družmirskega in </w:t>
      </w:r>
      <w:r w:rsidRPr="00A4523F">
        <w:rPr>
          <w:rFonts w:asciiTheme="minorHAnsi" w:eastAsia="Times New Roman" w:hAnsiTheme="minorHAnsi" w:cstheme="minorHAnsi"/>
          <w:sz w:val="22"/>
        </w:rPr>
        <w:t>razlitje Velenjskega jezera. Pregrada je del območja sanacije rudniških ugreznin, kjer je nastalo tudi odlagališče elektrofiltrskega pepela, ki leži nad odkopnim območjem PV. Lokacijsko je to nad odkopno jamo Preloge, ki je delno še aktivna, vendar jo v naslednjih letih čaka postopno zapiranje (do leta 20</w:t>
      </w:r>
      <w:r w:rsidRPr="00EF10AD">
        <w:rPr>
          <w:rFonts w:asciiTheme="minorHAnsi" w:eastAsia="Times New Roman" w:hAnsiTheme="minorHAnsi" w:cstheme="minorHAnsi"/>
          <w:sz w:val="22"/>
        </w:rPr>
        <w:t>25). Pregrada meri okoli 80 hektarjev in je na vzhodni strani omejena z Velenjskim jezerom, na zahodni pa z Družmirskim jezerom, ki je še vedno zelo izpostavljeno ugrezanju, zato</w:t>
      </w:r>
      <w:r w:rsidRPr="00D62E95">
        <w:rPr>
          <w:rFonts w:asciiTheme="minorHAnsi" w:eastAsia="Times New Roman" w:hAnsiTheme="minorHAnsi" w:cstheme="minorHAnsi"/>
          <w:sz w:val="22"/>
        </w:rPr>
        <w:t xml:space="preserve"> je njegova dokončna podoba še v nastajanju. Nasip preprečuje, da bi se jezeri v prihodnosti združili, vendar pa območje pregrade ni stabilno. Kljub nenehnemu saniranju in odpravljanju posledic ugrezanja, kar je v preteklosti financiral Premogovnik </w:t>
      </w:r>
      <w:r w:rsidRPr="00E15971">
        <w:rPr>
          <w:rFonts w:asciiTheme="minorHAnsi" w:eastAsia="Times New Roman" w:hAnsiTheme="minorHAnsi" w:cstheme="minorHAnsi"/>
          <w:sz w:val="22"/>
        </w:rPr>
        <w:t>Velenje, prihaja do pogrezanja in premikov pregrade, kar predstavlja potencialno  poplavno nevarnost.</w:t>
      </w:r>
      <w:r w:rsidR="00682DA2" w:rsidRPr="00E15971">
        <w:rPr>
          <w:rFonts w:asciiTheme="minorHAnsi" w:eastAsia="Times New Roman" w:hAnsiTheme="minorHAnsi" w:cstheme="minorHAnsi"/>
          <w:sz w:val="22"/>
        </w:rPr>
        <w:t xml:space="preserve"> </w:t>
      </w:r>
      <w:r w:rsidR="00682DA2" w:rsidRPr="00E15971">
        <w:rPr>
          <w:rFonts w:ascii="Calibri" w:eastAsia="Calibri" w:hAnsi="Calibri" w:cs="Calibri"/>
          <w:sz w:val="22"/>
        </w:rPr>
        <w:t>Načelo povzročitelj plača v primerih spreminjanja območij, pri katerih je bila okoljska škoda povzročena pred letom 2007, se ne uporablja, saj Evropska direktiva o okoljski odgovornosti (ELD, Direktiva 2004/35/ES), ki opredeljuje to načelo, nima retrospektivnega učinka. Sredstva SPP bodo tako namenjena območjem, pri katerih skladno z omenjeno direktivo načela povzroči</w:t>
      </w:r>
      <w:r w:rsidR="00A65534" w:rsidRPr="00E15971">
        <w:rPr>
          <w:rFonts w:ascii="Calibri" w:eastAsia="Calibri" w:hAnsi="Calibri" w:cs="Calibri"/>
          <w:sz w:val="22"/>
        </w:rPr>
        <w:t>telj plača ni možno uveljaviti.</w:t>
      </w:r>
      <w:r w:rsidR="00A65534">
        <w:rPr>
          <w:rFonts w:ascii="Calibri" w:eastAsia="Calibri" w:hAnsi="Calibri" w:cs="Calibri"/>
          <w:sz w:val="22"/>
          <w:shd w:val="clear" w:color="auto" w:fill="FFD966"/>
        </w:rPr>
        <w:t xml:space="preserve"> </w:t>
      </w:r>
    </w:p>
    <w:p w14:paraId="3B913B38" w14:textId="6C776892" w:rsidR="00306704" w:rsidRPr="008B037E" w:rsidRDefault="00306704" w:rsidP="00720E72">
      <w:pPr>
        <w:spacing w:before="0" w:after="0" w:line="276" w:lineRule="auto"/>
        <w:contextualSpacing/>
        <w:rPr>
          <w:rFonts w:asciiTheme="minorHAnsi" w:eastAsia="Times New Roman" w:hAnsiTheme="minorHAnsi" w:cstheme="minorHAnsi"/>
          <w:sz w:val="22"/>
        </w:rPr>
      </w:pPr>
    </w:p>
    <w:p w14:paraId="4B563FF5" w14:textId="78A18AFF" w:rsidR="00306704" w:rsidRPr="008B037E" w:rsidRDefault="00306704" w:rsidP="00375867">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2.2.2. Cilji in rezultati, ki naj bi se dosegli s prednostnim izvajanjem Sklada za pravični prehod</w:t>
      </w:r>
    </w:p>
    <w:p w14:paraId="6B8C4E3D" w14:textId="1E94BE53" w:rsidR="00677161" w:rsidRPr="008B037E" w:rsidRDefault="00306704" w:rsidP="00720E72">
      <w:pPr>
        <w:spacing w:before="0" w:after="0" w:line="276" w:lineRule="auto"/>
        <w:contextualSpacing/>
        <w:rPr>
          <w:rFonts w:asciiTheme="minorHAnsi" w:hAnsiTheme="minorHAnsi" w:cstheme="minorHAnsi"/>
          <w:sz w:val="22"/>
        </w:rPr>
      </w:pPr>
      <w:r w:rsidRPr="00BE1831">
        <w:rPr>
          <w:rFonts w:asciiTheme="minorHAnsi" w:eastAsia="Times New Roman" w:hAnsiTheme="minorHAnsi" w:cstheme="minorHAnsi"/>
          <w:b/>
          <w:sz w:val="22"/>
        </w:rPr>
        <w:t>Strateški cilj 1:</w:t>
      </w:r>
      <w:r w:rsidRPr="008B037E">
        <w:rPr>
          <w:rFonts w:asciiTheme="minorHAnsi" w:eastAsia="Times New Roman" w:hAnsiTheme="minorHAnsi" w:cstheme="minorHAnsi"/>
          <w:sz w:val="22"/>
        </w:rPr>
        <w:t xml:space="preserve"> </w:t>
      </w:r>
      <w:r w:rsidR="00677161" w:rsidRPr="008B037E">
        <w:rPr>
          <w:rFonts w:asciiTheme="minorHAnsi" w:eastAsia="Times New Roman" w:hAnsiTheme="minorHAnsi" w:cstheme="minorHAnsi"/>
          <w:b/>
          <w:sz w:val="22"/>
        </w:rPr>
        <w:t>P</w:t>
      </w:r>
      <w:r w:rsidR="00651CE7" w:rsidRPr="008B037E">
        <w:rPr>
          <w:rFonts w:asciiTheme="minorHAnsi" w:hAnsiTheme="minorHAnsi" w:cstheme="minorHAnsi"/>
          <w:b/>
          <w:sz w:val="22"/>
        </w:rPr>
        <w:t>ravični</w:t>
      </w:r>
      <w:r w:rsidR="00677161" w:rsidRPr="008B037E">
        <w:rPr>
          <w:rFonts w:asciiTheme="minorHAnsi" w:hAnsiTheme="minorHAnsi" w:cstheme="minorHAnsi"/>
          <w:b/>
          <w:sz w:val="22"/>
        </w:rPr>
        <w:t xml:space="preserve"> energetski prehod SAŠA regije. </w:t>
      </w:r>
      <w:r w:rsidR="00D154F0" w:rsidRPr="008B037E">
        <w:rPr>
          <w:rFonts w:asciiTheme="minorHAnsi" w:hAnsiTheme="minorHAnsi" w:cstheme="minorHAnsi"/>
          <w:sz w:val="22"/>
        </w:rPr>
        <w:t>R</w:t>
      </w:r>
      <w:r w:rsidR="002810C7" w:rsidRPr="008B037E">
        <w:rPr>
          <w:rFonts w:asciiTheme="minorHAnsi" w:hAnsiTheme="minorHAnsi" w:cstheme="minorHAnsi"/>
          <w:sz w:val="22"/>
        </w:rPr>
        <w:t>ezultati</w:t>
      </w:r>
      <w:r w:rsidR="00D154F0" w:rsidRPr="008B037E">
        <w:rPr>
          <w:rFonts w:asciiTheme="minorHAnsi" w:hAnsiTheme="minorHAnsi" w:cstheme="minorHAnsi"/>
          <w:sz w:val="22"/>
        </w:rPr>
        <w:t>, ki ji</w:t>
      </w:r>
      <w:r w:rsidR="00A46246" w:rsidRPr="008B037E">
        <w:rPr>
          <w:rFonts w:asciiTheme="minorHAnsi" w:hAnsiTheme="minorHAnsi" w:cstheme="minorHAnsi"/>
          <w:sz w:val="22"/>
        </w:rPr>
        <w:t>h</w:t>
      </w:r>
      <w:r w:rsidR="00D154F0" w:rsidRPr="008B037E">
        <w:rPr>
          <w:rFonts w:asciiTheme="minorHAnsi" w:hAnsiTheme="minorHAnsi" w:cstheme="minorHAnsi"/>
          <w:sz w:val="22"/>
        </w:rPr>
        <w:t xml:space="preserve"> pričakujemo</w:t>
      </w:r>
      <w:r w:rsidR="00A46246" w:rsidRPr="008B037E">
        <w:rPr>
          <w:rFonts w:asciiTheme="minorHAnsi" w:hAnsiTheme="minorHAnsi" w:cstheme="minorHAnsi"/>
          <w:sz w:val="22"/>
        </w:rPr>
        <w:t xml:space="preserve"> na tem področju</w:t>
      </w:r>
      <w:r w:rsidR="00D154F0" w:rsidRPr="008B037E">
        <w:rPr>
          <w:rFonts w:asciiTheme="minorHAnsi" w:hAnsiTheme="minorHAnsi" w:cstheme="minorHAnsi"/>
          <w:sz w:val="22"/>
        </w:rPr>
        <w:t xml:space="preserve"> v sinergiji z drugimi razpoložljivimi sredstvi,</w:t>
      </w:r>
      <w:r w:rsidR="0043578A" w:rsidRPr="008B037E">
        <w:t xml:space="preserve"> </w:t>
      </w:r>
      <w:r w:rsidR="0043578A" w:rsidRPr="008B037E">
        <w:rPr>
          <w:rFonts w:asciiTheme="minorHAnsi" w:hAnsiTheme="minorHAnsi" w:cstheme="minorHAnsi"/>
          <w:sz w:val="22"/>
        </w:rPr>
        <w:t xml:space="preserve">vključno s stebrom II in stebrom III </w:t>
      </w:r>
      <w:r w:rsidR="00B20B00" w:rsidRPr="008B037E">
        <w:rPr>
          <w:rFonts w:asciiTheme="minorHAnsi" w:hAnsiTheme="minorHAnsi" w:cstheme="minorHAnsi"/>
          <w:sz w:val="22"/>
        </w:rPr>
        <w:t xml:space="preserve">Mehanizma za pravični </w:t>
      </w:r>
      <w:r w:rsidR="0043578A" w:rsidRPr="008B037E">
        <w:rPr>
          <w:rFonts w:asciiTheme="minorHAnsi" w:hAnsiTheme="minorHAnsi" w:cstheme="minorHAnsi"/>
          <w:sz w:val="22"/>
        </w:rPr>
        <w:t>prehod</w:t>
      </w:r>
      <w:r w:rsidR="002810C7" w:rsidRPr="008B037E">
        <w:rPr>
          <w:rFonts w:asciiTheme="minorHAnsi" w:hAnsiTheme="minorHAnsi" w:cstheme="minorHAnsi"/>
          <w:sz w:val="22"/>
        </w:rPr>
        <w:t xml:space="preserve"> pa so:</w:t>
      </w:r>
    </w:p>
    <w:p w14:paraId="00A264DD" w14:textId="74F60B07" w:rsidR="00982F53" w:rsidRPr="008B037E" w:rsidRDefault="00A46246" w:rsidP="00720E72">
      <w:pPr>
        <w:pStyle w:val="Odstavekseznama"/>
        <w:numPr>
          <w:ilvl w:val="0"/>
          <w:numId w:val="19"/>
        </w:numPr>
        <w:spacing w:after="0"/>
        <w:rPr>
          <w:rFonts w:eastAsia="Times New Roman" w:cstheme="minorHAnsi"/>
        </w:rPr>
      </w:pPr>
      <w:r w:rsidRPr="008B037E">
        <w:rPr>
          <w:rFonts w:eastAsia="Times New Roman" w:cstheme="minorHAnsi"/>
        </w:rPr>
        <w:t>p</w:t>
      </w:r>
      <w:r w:rsidR="00982F53" w:rsidRPr="008B037E">
        <w:rPr>
          <w:rFonts w:eastAsia="Times New Roman" w:cstheme="minorHAnsi"/>
        </w:rPr>
        <w:t>reurejena energetska lokacija z uporabo najboljših razpoložljivih tehnologij, ki bodo omogočile prestrukturiranje regijskega gospodarstva in razogljičenje regije;</w:t>
      </w:r>
    </w:p>
    <w:p w14:paraId="71041892" w14:textId="1E12023C" w:rsidR="00982F53" w:rsidRPr="008B037E" w:rsidRDefault="00A46246" w:rsidP="00720E72">
      <w:pPr>
        <w:pStyle w:val="Odstavekseznama"/>
        <w:numPr>
          <w:ilvl w:val="0"/>
          <w:numId w:val="19"/>
        </w:numPr>
        <w:spacing w:after="0"/>
        <w:rPr>
          <w:rFonts w:eastAsia="Times New Roman" w:cstheme="minorHAnsi"/>
        </w:rPr>
      </w:pPr>
      <w:r w:rsidRPr="008B037E">
        <w:rPr>
          <w:rFonts w:eastAsia="Times New Roman" w:cstheme="minorHAnsi"/>
        </w:rPr>
        <w:t>p</w:t>
      </w:r>
      <w:r w:rsidR="00982F53" w:rsidRPr="008B037E">
        <w:rPr>
          <w:rFonts w:eastAsia="Times New Roman" w:cstheme="minorHAnsi"/>
        </w:rPr>
        <w:t>reurejeni sistemi daljinskega ogrevanja;</w:t>
      </w:r>
    </w:p>
    <w:p w14:paraId="452F9246" w14:textId="77777777" w:rsidR="002810C7" w:rsidRPr="008B037E" w:rsidRDefault="002810C7" w:rsidP="00720E72">
      <w:pPr>
        <w:pStyle w:val="Odstavekseznama"/>
        <w:numPr>
          <w:ilvl w:val="0"/>
          <w:numId w:val="19"/>
        </w:numPr>
        <w:spacing w:after="0"/>
        <w:rPr>
          <w:rFonts w:eastAsia="Times New Roman" w:cstheme="minorHAnsi"/>
        </w:rPr>
      </w:pPr>
      <w:r w:rsidRPr="008B037E">
        <w:rPr>
          <w:rFonts w:eastAsia="Times New Roman" w:cstheme="minorHAnsi"/>
        </w:rPr>
        <w:t xml:space="preserve">večji delež </w:t>
      </w:r>
      <w:r w:rsidR="002A535D" w:rsidRPr="008B037E">
        <w:rPr>
          <w:rFonts w:eastAsia="Times New Roman" w:cstheme="minorHAnsi"/>
        </w:rPr>
        <w:t xml:space="preserve">proizvodnje in rabe </w:t>
      </w:r>
      <w:r w:rsidRPr="008B037E">
        <w:rPr>
          <w:rFonts w:eastAsia="Times New Roman" w:cstheme="minorHAnsi"/>
        </w:rPr>
        <w:t>obnovljivih virov energije v regiji</w:t>
      </w:r>
      <w:r w:rsidR="00982F53" w:rsidRPr="008B037E">
        <w:rPr>
          <w:rFonts w:eastAsia="Times New Roman" w:cstheme="minorHAnsi"/>
        </w:rPr>
        <w:t>, vključno s skladiščenjem</w:t>
      </w:r>
      <w:r w:rsidR="002A535D" w:rsidRPr="008B037E">
        <w:rPr>
          <w:rFonts w:eastAsia="Times New Roman" w:cstheme="minorHAnsi"/>
        </w:rPr>
        <w:t>;</w:t>
      </w:r>
    </w:p>
    <w:p w14:paraId="4D0B68C3" w14:textId="5DFB92AE" w:rsidR="002810C7" w:rsidRPr="008B037E" w:rsidRDefault="002810C7" w:rsidP="00720E72">
      <w:pPr>
        <w:pStyle w:val="Odstavekseznama"/>
        <w:numPr>
          <w:ilvl w:val="0"/>
          <w:numId w:val="19"/>
        </w:numPr>
        <w:spacing w:after="0"/>
        <w:rPr>
          <w:rFonts w:eastAsia="Times New Roman" w:cstheme="minorHAnsi"/>
        </w:rPr>
      </w:pPr>
      <w:r w:rsidRPr="008B037E">
        <w:rPr>
          <w:rFonts w:eastAsia="Times New Roman" w:cstheme="minorHAnsi"/>
        </w:rPr>
        <w:t xml:space="preserve">manjša poraba energije v </w:t>
      </w:r>
      <w:r w:rsidR="003A27C1" w:rsidRPr="008B037E">
        <w:rPr>
          <w:rFonts w:eastAsia="Times New Roman" w:cstheme="minorHAnsi"/>
        </w:rPr>
        <w:t>vseh sektorjih</w:t>
      </w:r>
      <w:r w:rsidR="00982F53" w:rsidRPr="008B037E">
        <w:rPr>
          <w:rFonts w:eastAsia="Times New Roman" w:cstheme="minorHAnsi"/>
        </w:rPr>
        <w:t>.</w:t>
      </w:r>
    </w:p>
    <w:p w14:paraId="39903A1E" w14:textId="77777777" w:rsidR="007A51D4" w:rsidRPr="008B037E" w:rsidRDefault="007A51D4" w:rsidP="00720E72">
      <w:pPr>
        <w:pStyle w:val="Odstavekseznama"/>
        <w:spacing w:after="0"/>
        <w:contextualSpacing w:val="0"/>
        <w:jc w:val="both"/>
        <w:rPr>
          <w:rFonts w:eastAsia="Calibri" w:cstheme="minorHAnsi"/>
        </w:rPr>
      </w:pPr>
    </w:p>
    <w:p w14:paraId="74B59BED" w14:textId="775996D2" w:rsidR="0059218C" w:rsidRPr="008B037E" w:rsidRDefault="00306704" w:rsidP="0059218C">
      <w:pPr>
        <w:spacing w:before="0" w:after="0" w:line="276" w:lineRule="auto"/>
        <w:contextualSpacing/>
        <w:rPr>
          <w:rFonts w:asciiTheme="minorHAnsi" w:eastAsia="Times New Roman" w:hAnsiTheme="minorHAnsi" w:cstheme="minorHAnsi"/>
          <w:color w:val="000000" w:themeColor="text1"/>
          <w:sz w:val="22"/>
        </w:rPr>
      </w:pPr>
      <w:r w:rsidRPr="00BE1831">
        <w:rPr>
          <w:rFonts w:asciiTheme="minorHAnsi" w:eastAsia="Times New Roman" w:hAnsiTheme="minorHAnsi" w:cstheme="minorHAnsi"/>
          <w:b/>
          <w:color w:val="000000" w:themeColor="text1"/>
          <w:sz w:val="22"/>
        </w:rPr>
        <w:t>S</w:t>
      </w:r>
      <w:r w:rsidR="0059218C" w:rsidRPr="00BE1831">
        <w:rPr>
          <w:rFonts w:asciiTheme="minorHAnsi" w:eastAsia="Times New Roman" w:hAnsiTheme="minorHAnsi" w:cstheme="minorHAnsi"/>
          <w:b/>
          <w:color w:val="000000" w:themeColor="text1"/>
          <w:sz w:val="22"/>
        </w:rPr>
        <w:t>trateški cilj</w:t>
      </w:r>
      <w:r w:rsidRPr="00BE1831">
        <w:rPr>
          <w:rFonts w:asciiTheme="minorHAnsi" w:eastAsia="Times New Roman" w:hAnsiTheme="minorHAnsi" w:cstheme="minorHAnsi"/>
          <w:b/>
          <w:color w:val="000000" w:themeColor="text1"/>
          <w:sz w:val="22"/>
        </w:rPr>
        <w:t xml:space="preserve"> 2:</w:t>
      </w:r>
      <w:r w:rsidRPr="008B037E">
        <w:rPr>
          <w:rFonts w:asciiTheme="minorHAnsi" w:eastAsia="Times New Roman" w:hAnsiTheme="minorHAnsi" w:cstheme="minorHAnsi"/>
          <w:color w:val="000000" w:themeColor="text1"/>
          <w:sz w:val="22"/>
        </w:rPr>
        <w:t xml:space="preserve"> </w:t>
      </w:r>
      <w:r w:rsidR="0059218C" w:rsidRPr="008B037E">
        <w:rPr>
          <w:rFonts w:asciiTheme="minorHAnsi" w:eastAsia="Times New Roman" w:hAnsiTheme="minorHAnsi" w:cstheme="minorHAnsi"/>
          <w:color w:val="000000" w:themeColor="text1"/>
          <w:sz w:val="22"/>
        </w:rPr>
        <w:t xml:space="preserve"> </w:t>
      </w:r>
      <w:r w:rsidR="0059218C" w:rsidRPr="008B037E">
        <w:rPr>
          <w:rFonts w:asciiTheme="minorHAnsi" w:hAnsiTheme="minorHAnsi" w:cstheme="minorHAnsi"/>
          <w:b/>
          <w:color w:val="000000" w:themeColor="text1"/>
          <w:sz w:val="22"/>
        </w:rPr>
        <w:t xml:space="preserve">Zaposlitve in veščine za vse, </w:t>
      </w:r>
      <w:r w:rsidR="00A737C0">
        <w:rPr>
          <w:rFonts w:asciiTheme="minorHAnsi" w:hAnsiTheme="minorHAnsi" w:cstheme="minorHAnsi"/>
          <w:color w:val="000000" w:themeColor="text1"/>
          <w:sz w:val="22"/>
        </w:rPr>
        <w:t>s katerim bomo zagotavljali ustreznost in zadostnost usposobljene delovne sile za razvoj regije in s</w:t>
      </w:r>
      <w:r w:rsidR="0059218C" w:rsidRPr="008B037E">
        <w:rPr>
          <w:rFonts w:asciiTheme="minorHAnsi" w:hAnsiTheme="minorHAnsi" w:cstheme="minorHAnsi"/>
          <w:color w:val="000000" w:themeColor="text1"/>
          <w:sz w:val="22"/>
        </w:rPr>
        <w:t xml:space="preserve"> kater</w:t>
      </w:r>
      <w:r w:rsidR="00A737C0">
        <w:rPr>
          <w:rFonts w:asciiTheme="minorHAnsi" w:hAnsiTheme="minorHAnsi" w:cstheme="minorHAnsi"/>
          <w:color w:val="000000" w:themeColor="text1"/>
          <w:sz w:val="22"/>
        </w:rPr>
        <w:t>i</w:t>
      </w:r>
      <w:r w:rsidR="0059218C" w:rsidRPr="008B037E">
        <w:rPr>
          <w:rFonts w:asciiTheme="minorHAnsi" w:hAnsiTheme="minorHAnsi" w:cstheme="minorHAnsi"/>
          <w:color w:val="000000" w:themeColor="text1"/>
          <w:sz w:val="22"/>
        </w:rPr>
        <w:t>m bomo zasledovali naslednje rezultate:</w:t>
      </w:r>
    </w:p>
    <w:p w14:paraId="09EE8761" w14:textId="182C6A0B" w:rsidR="0059218C" w:rsidRPr="008B037E" w:rsidRDefault="00C40417" w:rsidP="0059218C">
      <w:pPr>
        <w:numPr>
          <w:ilvl w:val="0"/>
          <w:numId w:val="19"/>
        </w:numPr>
        <w:spacing w:before="0" w:after="0" w:line="276" w:lineRule="auto"/>
        <w:contextualSpacing/>
        <w:jc w:val="left"/>
        <w:rPr>
          <w:rFonts w:asciiTheme="minorHAnsi" w:hAnsiTheme="minorHAnsi" w:cstheme="minorBidi"/>
          <w:sz w:val="22"/>
        </w:rPr>
      </w:pPr>
      <w:r w:rsidRPr="008B037E">
        <w:rPr>
          <w:rFonts w:asciiTheme="minorHAnsi" w:eastAsia="Times New Roman" w:hAnsiTheme="minorHAnsi" w:cstheme="minorHAnsi"/>
          <w:color w:val="000000" w:themeColor="text1"/>
          <w:sz w:val="22"/>
        </w:rPr>
        <w:t>v</w:t>
      </w:r>
      <w:r w:rsidR="0059218C" w:rsidRPr="008B037E">
        <w:rPr>
          <w:rFonts w:asciiTheme="minorHAnsi" w:hAnsiTheme="minorHAnsi" w:cstheme="minorBidi"/>
          <w:sz w:val="22"/>
        </w:rPr>
        <w:t xml:space="preserve">išji delež udeležencev, ki so končali usposabljanje, ki so se </w:t>
      </w:r>
      <w:r w:rsidR="002C3726" w:rsidRPr="008B037E">
        <w:rPr>
          <w:rFonts w:asciiTheme="minorHAnsi" w:hAnsiTheme="minorHAnsi" w:cstheme="minorBidi"/>
          <w:sz w:val="22"/>
        </w:rPr>
        <w:t>dokvalificirali</w:t>
      </w:r>
      <w:r w:rsidRPr="008B037E">
        <w:rPr>
          <w:rFonts w:asciiTheme="minorHAnsi" w:hAnsiTheme="minorHAnsi" w:cstheme="minorBidi"/>
          <w:sz w:val="22"/>
        </w:rPr>
        <w:t>.</w:t>
      </w:r>
    </w:p>
    <w:p w14:paraId="1ECC4937" w14:textId="3DD52EAD" w:rsidR="0059218C" w:rsidRPr="008B037E" w:rsidRDefault="00C40417" w:rsidP="0059218C">
      <w:pPr>
        <w:numPr>
          <w:ilvl w:val="0"/>
          <w:numId w:val="19"/>
        </w:numPr>
        <w:spacing w:before="0" w:after="0" w:line="276" w:lineRule="auto"/>
        <w:contextualSpacing/>
        <w:jc w:val="left"/>
        <w:rPr>
          <w:rFonts w:asciiTheme="minorHAnsi" w:hAnsiTheme="minorHAnsi" w:cstheme="minorBidi"/>
          <w:sz w:val="22"/>
        </w:rPr>
      </w:pPr>
      <w:r w:rsidRPr="008B037E">
        <w:rPr>
          <w:rFonts w:asciiTheme="minorHAnsi" w:hAnsiTheme="minorHAnsi" w:cstheme="minorBidi"/>
          <w:sz w:val="22"/>
        </w:rPr>
        <w:t>v</w:t>
      </w:r>
      <w:r w:rsidR="0059218C" w:rsidRPr="008B037E">
        <w:rPr>
          <w:rFonts w:asciiTheme="minorHAnsi" w:hAnsiTheme="minorHAnsi" w:cstheme="minorBidi"/>
          <w:sz w:val="22"/>
        </w:rPr>
        <w:t>išji delež udeležencev, ki imajo po zaključku sodelovanja zaposlitev</w:t>
      </w:r>
      <w:r w:rsidRPr="008B037E">
        <w:rPr>
          <w:rFonts w:asciiTheme="minorHAnsi" w:hAnsiTheme="minorHAnsi" w:cstheme="minorBidi"/>
          <w:sz w:val="22"/>
        </w:rPr>
        <w:t>,</w:t>
      </w:r>
    </w:p>
    <w:p w14:paraId="1E218691" w14:textId="366C7139" w:rsidR="0059218C" w:rsidRPr="008B037E" w:rsidRDefault="00C40417" w:rsidP="0059218C">
      <w:pPr>
        <w:numPr>
          <w:ilvl w:val="0"/>
          <w:numId w:val="19"/>
        </w:numPr>
        <w:spacing w:before="0" w:after="0" w:line="276" w:lineRule="auto"/>
        <w:contextualSpacing/>
        <w:jc w:val="left"/>
        <w:rPr>
          <w:rFonts w:asciiTheme="minorHAnsi" w:hAnsiTheme="minorHAnsi" w:cstheme="minorBidi"/>
          <w:sz w:val="22"/>
        </w:rPr>
      </w:pPr>
      <w:r w:rsidRPr="008B037E">
        <w:rPr>
          <w:rFonts w:asciiTheme="minorHAnsi" w:hAnsiTheme="minorHAnsi" w:cstheme="minorBidi"/>
          <w:sz w:val="22"/>
        </w:rPr>
        <w:t>v</w:t>
      </w:r>
      <w:r w:rsidR="0059218C" w:rsidRPr="008B037E">
        <w:rPr>
          <w:rFonts w:asciiTheme="minorHAnsi" w:hAnsiTheme="minorHAnsi" w:cstheme="minorBidi"/>
          <w:sz w:val="22"/>
        </w:rPr>
        <w:t>išji delež udeležencev, ki so po zaključku vključeni v izobraževanje ali usposabljanje</w:t>
      </w:r>
      <w:r w:rsidR="00345C05" w:rsidRPr="008B037E">
        <w:rPr>
          <w:rFonts w:asciiTheme="minorHAnsi" w:hAnsiTheme="minorHAnsi" w:cstheme="minorBidi"/>
          <w:sz w:val="22"/>
        </w:rPr>
        <w:t>,</w:t>
      </w:r>
    </w:p>
    <w:p w14:paraId="07343C60" w14:textId="79407165" w:rsidR="0059218C" w:rsidRPr="008B037E" w:rsidRDefault="00345C05" w:rsidP="00345C05">
      <w:pPr>
        <w:numPr>
          <w:ilvl w:val="0"/>
          <w:numId w:val="19"/>
        </w:numPr>
        <w:spacing w:before="0" w:after="0" w:line="276" w:lineRule="auto"/>
        <w:contextualSpacing/>
        <w:jc w:val="left"/>
        <w:rPr>
          <w:rFonts w:asciiTheme="minorHAnsi" w:hAnsiTheme="minorHAnsi" w:cstheme="minorBidi"/>
          <w:sz w:val="22"/>
        </w:rPr>
      </w:pPr>
      <w:r w:rsidRPr="008B037E">
        <w:rPr>
          <w:rFonts w:asciiTheme="minorHAnsi" w:hAnsiTheme="minorHAnsi" w:cstheme="minorBidi"/>
          <w:sz w:val="22"/>
        </w:rPr>
        <w:t>v</w:t>
      </w:r>
      <w:r w:rsidR="0059218C" w:rsidRPr="008B037E">
        <w:rPr>
          <w:rFonts w:asciiTheme="minorHAnsi" w:hAnsiTheme="minorHAnsi" w:cstheme="minorBidi"/>
          <w:sz w:val="22"/>
        </w:rPr>
        <w:t>išji delež prebivalcev, zajetih v projekte v okviru celostnih ukrepov za socialno- ekonomsko vključevanje marginaliziranih skupnosti, gospodinjstev z nizkimi dohodki in prikrajšanih skupin.</w:t>
      </w:r>
    </w:p>
    <w:p w14:paraId="6B97BCCB" w14:textId="77777777" w:rsidR="00EF1D1E" w:rsidRPr="008B037E" w:rsidRDefault="00EF1D1E" w:rsidP="00BE1831">
      <w:pPr>
        <w:spacing w:before="0" w:after="0" w:line="276" w:lineRule="auto"/>
        <w:contextualSpacing/>
        <w:rPr>
          <w:rFonts w:asciiTheme="minorHAnsi" w:hAnsiTheme="minorHAnsi" w:cstheme="minorBidi"/>
          <w:sz w:val="22"/>
        </w:rPr>
      </w:pPr>
      <w:r>
        <w:rPr>
          <w:rFonts w:asciiTheme="minorHAnsi" w:hAnsiTheme="minorHAnsi" w:cstheme="minorBidi"/>
          <w:sz w:val="22"/>
        </w:rPr>
        <w:lastRenderedPageBreak/>
        <w:t>Pri tem se bodo ukrepi smiselno dopolnjevali z že organiziranimi usposabljanji s področja brezplačnega energetskega svetovanja v okviru mreže EN SVET v okviru Eko sklada</w:t>
      </w:r>
      <w:r w:rsidR="00CE47B7">
        <w:rPr>
          <w:rStyle w:val="Sprotnaopomba-sklic"/>
          <w:rFonts w:asciiTheme="minorHAnsi" w:hAnsiTheme="minorHAnsi" w:cstheme="minorBidi"/>
          <w:sz w:val="22"/>
        </w:rPr>
        <w:footnoteReference w:id="8"/>
      </w:r>
      <w:r>
        <w:rPr>
          <w:rFonts w:asciiTheme="minorHAnsi" w:hAnsiTheme="minorHAnsi" w:cstheme="minorBidi"/>
          <w:sz w:val="22"/>
        </w:rPr>
        <w:t xml:space="preserve">  (</w:t>
      </w:r>
      <w:r w:rsidR="00913DA9">
        <w:rPr>
          <w:rFonts w:asciiTheme="minorHAnsi" w:hAnsiTheme="minorHAnsi" w:cstheme="minorBidi"/>
          <w:sz w:val="22"/>
        </w:rPr>
        <w:t xml:space="preserve">primer: </w:t>
      </w:r>
      <w:hyperlink r:id="rId8" w:history="1">
        <w:r w:rsidR="00913DA9" w:rsidRPr="00585CB2">
          <w:rPr>
            <w:rStyle w:val="Hiperpovezava"/>
            <w:rFonts w:asciiTheme="minorHAnsi" w:hAnsiTheme="minorHAnsi" w:cstheme="minorBidi"/>
            <w:sz w:val="22"/>
          </w:rPr>
          <w:t>https://www.velenje.si/e-obcina/brezplacno-svetovanje/11111</w:t>
        </w:r>
      </w:hyperlink>
      <w:r>
        <w:rPr>
          <w:rFonts w:asciiTheme="minorHAnsi" w:hAnsiTheme="minorHAnsi" w:cstheme="minorBidi"/>
          <w:sz w:val="22"/>
        </w:rPr>
        <w:t>).</w:t>
      </w:r>
      <w:r w:rsidR="00913DA9">
        <w:rPr>
          <w:rFonts w:asciiTheme="minorHAnsi" w:hAnsiTheme="minorHAnsi" w:cstheme="minorBidi"/>
          <w:sz w:val="22"/>
        </w:rPr>
        <w:t xml:space="preserve"> Vzporedno bo v dogovoru med partnerji (občine, agencija KSSENA, EN SVET Eko sklad, Komunalno podjetje Velenje itd.) vzpostavljen program za dodatno svetovanje in pomoč občanom/akterjem na področju energije pri vzpostavitvi potrebnih pogojev za vlaganja v energetsko prenovo stavb, ustrezno preureditev hidravličnih nastavitev ogrevanja ter drugih ukrepov za olajšanje prehoda v brezogljičnost. </w:t>
      </w:r>
    </w:p>
    <w:p w14:paraId="3C84FF90" w14:textId="6ABFBF2F" w:rsidR="004E1943" w:rsidRPr="008B037E" w:rsidRDefault="004E1943" w:rsidP="005C2A50">
      <w:pPr>
        <w:pStyle w:val="Odstavekseznama"/>
        <w:spacing w:after="0"/>
        <w:ind w:left="0"/>
        <w:jc w:val="both"/>
        <w:rPr>
          <w:rFonts w:eastAsia="Calibri" w:cstheme="minorHAnsi"/>
          <w:b/>
        </w:rPr>
      </w:pPr>
    </w:p>
    <w:p w14:paraId="5BBF9C26" w14:textId="3CC2E786" w:rsidR="005C2A50" w:rsidRPr="00F64A84" w:rsidRDefault="00A356E3" w:rsidP="005C2A50">
      <w:pPr>
        <w:pStyle w:val="Odstavekseznama"/>
        <w:spacing w:after="0"/>
        <w:ind w:left="0"/>
        <w:jc w:val="both"/>
      </w:pPr>
      <w:r w:rsidRPr="00F64A84">
        <w:rPr>
          <w:b/>
        </w:rPr>
        <w:t>S</w:t>
      </w:r>
      <w:r w:rsidR="005C2A50" w:rsidRPr="00F64A84">
        <w:rPr>
          <w:b/>
        </w:rPr>
        <w:t xml:space="preserve">trateški cilj </w:t>
      </w:r>
      <w:r w:rsidRPr="00F64A84">
        <w:rPr>
          <w:b/>
        </w:rPr>
        <w:t>3:</w:t>
      </w:r>
      <w:r w:rsidR="00E15971">
        <w:rPr>
          <w:b/>
        </w:rPr>
        <w:t xml:space="preserve"> </w:t>
      </w:r>
      <w:r w:rsidR="005C2A50" w:rsidRPr="00335E03">
        <w:rPr>
          <w:b/>
        </w:rPr>
        <w:t>Dodatna regionalna povezljivost in trajnostna mobilnost</w:t>
      </w:r>
      <w:r w:rsidR="00BE1831" w:rsidRPr="00F64A84">
        <w:t xml:space="preserve"> </w:t>
      </w:r>
      <w:r w:rsidR="00766A01" w:rsidRPr="00335E03">
        <w:t>s mora prispevati k</w:t>
      </w:r>
      <w:r w:rsidR="00395458">
        <w:t xml:space="preserve"> </w:t>
      </w:r>
      <w:r w:rsidR="00BE1831" w:rsidRPr="00F64A84">
        <w:t>naslednjim rezultatom</w:t>
      </w:r>
      <w:r w:rsidR="00766A01" w:rsidRPr="00335E03">
        <w:t>, ki rešujejo porebe regije na tem področju</w:t>
      </w:r>
      <w:r w:rsidR="00BE1831" w:rsidRPr="00335E03">
        <w:t>:</w:t>
      </w:r>
      <w:r w:rsidR="00BE1831" w:rsidRPr="00F64A84">
        <w:rPr>
          <w:b/>
        </w:rPr>
        <w:tab/>
      </w:r>
    </w:p>
    <w:p w14:paraId="60D654A4" w14:textId="03219C4B" w:rsidR="00855A19" w:rsidRPr="00335E03" w:rsidRDefault="005C2A50" w:rsidP="00940E7D">
      <w:pPr>
        <w:pStyle w:val="Odstavekseznama"/>
        <w:numPr>
          <w:ilvl w:val="0"/>
          <w:numId w:val="19"/>
        </w:numPr>
        <w:spacing w:after="0"/>
        <w:jc w:val="both"/>
      </w:pPr>
      <w:r w:rsidRPr="00335E03">
        <w:t xml:space="preserve">večji delež uporabnikov lokalnega </w:t>
      </w:r>
      <w:r w:rsidR="00E654C5" w:rsidRPr="00335E03">
        <w:rPr>
          <w:rFonts w:eastAsia="Calibri" w:cstheme="minorHAnsi"/>
        </w:rPr>
        <w:t xml:space="preserve">in medkrajevnega </w:t>
      </w:r>
      <w:r w:rsidRPr="00335E03">
        <w:t xml:space="preserve">javnega prevoza (npr. </w:t>
      </w:r>
      <w:r w:rsidR="00E654C5" w:rsidRPr="00335E03">
        <w:rPr>
          <w:rFonts w:eastAsia="Calibri" w:cstheme="minorHAnsi"/>
        </w:rPr>
        <w:t>lokalni in medkrajevni</w:t>
      </w:r>
      <w:r w:rsidRPr="00335E03">
        <w:rPr>
          <w:rFonts w:eastAsia="Calibri" w:cstheme="minorHAnsi"/>
        </w:rPr>
        <w:t xml:space="preserve"> </w:t>
      </w:r>
      <w:r w:rsidRPr="00335E03">
        <w:t xml:space="preserve">avtobus, vlak, </w:t>
      </w:r>
      <w:r w:rsidR="00486CD7" w:rsidRPr="00335E03">
        <w:rPr>
          <w:rFonts w:eastAsia="Calibri" w:cstheme="minorHAnsi"/>
        </w:rPr>
        <w:t xml:space="preserve">P+R vozlišča, </w:t>
      </w:r>
      <w:r w:rsidR="00E654C5" w:rsidRPr="00335E03">
        <w:rPr>
          <w:rFonts w:eastAsia="Calibri" w:cstheme="minorHAnsi"/>
        </w:rPr>
        <w:t xml:space="preserve">sistem </w:t>
      </w:r>
      <w:r w:rsidRPr="00335E03">
        <w:rPr>
          <w:rFonts w:eastAsia="Calibri" w:cstheme="minorHAnsi"/>
        </w:rPr>
        <w:t>izposoj</w:t>
      </w:r>
      <w:r w:rsidR="00E654C5" w:rsidRPr="00335E03">
        <w:rPr>
          <w:rFonts w:eastAsia="Calibri" w:cstheme="minorHAnsi"/>
        </w:rPr>
        <w:t>e javnih</w:t>
      </w:r>
      <w:r w:rsidRPr="00335E03">
        <w:t xml:space="preserve"> koles itd.)</w:t>
      </w:r>
      <w:r w:rsidR="00E36934" w:rsidRPr="00335E03">
        <w:t>,</w:t>
      </w:r>
      <w:r w:rsidR="00860E34" w:rsidRPr="00335E03">
        <w:rPr>
          <w:rFonts w:eastAsia="Calibri" w:cstheme="minorHAnsi"/>
        </w:rPr>
        <w:t xml:space="preserve"> tudi s pomočjo digitalnih rešitev za spodbujanje JPP</w:t>
      </w:r>
      <w:r w:rsidR="00E36934" w:rsidRPr="00335E03">
        <w:rPr>
          <w:rFonts w:eastAsia="Calibri" w:cstheme="minorHAnsi"/>
        </w:rPr>
        <w:t>,</w:t>
      </w:r>
    </w:p>
    <w:p w14:paraId="1979F491" w14:textId="145D605E" w:rsidR="005C2A50" w:rsidRPr="00F64A84" w:rsidRDefault="005C2A50" w:rsidP="00EB4750">
      <w:pPr>
        <w:pStyle w:val="Odstavekseznama"/>
        <w:numPr>
          <w:ilvl w:val="0"/>
          <w:numId w:val="19"/>
        </w:numPr>
        <w:spacing w:after="0"/>
        <w:jc w:val="both"/>
      </w:pPr>
      <w:r w:rsidRPr="00335E03">
        <w:t xml:space="preserve">izboljšana infrastruktura za podporo </w:t>
      </w:r>
      <w:r w:rsidR="00E654C5" w:rsidRPr="00335E03">
        <w:rPr>
          <w:rFonts w:eastAsia="Calibri" w:cstheme="minorHAnsi"/>
        </w:rPr>
        <w:t>aktivni</w:t>
      </w:r>
      <w:r w:rsidRPr="00335E03">
        <w:t xml:space="preserve"> mobilnosti (</w:t>
      </w:r>
      <w:r w:rsidR="0080257C" w:rsidRPr="00335E03">
        <w:rPr>
          <w:rFonts w:eastAsia="Calibri" w:cstheme="minorHAnsi"/>
        </w:rPr>
        <w:t xml:space="preserve">infrastruktura </w:t>
      </w:r>
      <w:r w:rsidR="00E654C5" w:rsidRPr="00335E03">
        <w:rPr>
          <w:rFonts w:eastAsia="Calibri" w:cstheme="minorHAnsi"/>
        </w:rPr>
        <w:t xml:space="preserve">za pešce in kolesarje, s poudarkom na ločenih </w:t>
      </w:r>
      <w:r w:rsidR="0080257C" w:rsidRPr="00335E03">
        <w:rPr>
          <w:rFonts w:eastAsia="Calibri" w:cstheme="minorHAnsi"/>
        </w:rPr>
        <w:t>kolesarskih povezavah</w:t>
      </w:r>
      <w:r w:rsidR="00766A01" w:rsidRPr="00335E03">
        <w:rPr>
          <w:rFonts w:eastAsia="Calibri" w:cstheme="minorHAnsi"/>
        </w:rPr>
        <w:t>)</w:t>
      </w:r>
      <w:r w:rsidR="0080257C" w:rsidRPr="00335E03">
        <w:rPr>
          <w:rFonts w:eastAsia="Calibri" w:cstheme="minorHAnsi"/>
        </w:rPr>
        <w:t>,</w:t>
      </w:r>
      <w:r w:rsidR="0080257C" w:rsidRPr="00F64A84">
        <w:rPr>
          <w:rFonts w:eastAsia="Calibri" w:cstheme="minorHAnsi"/>
        </w:rPr>
        <w:t xml:space="preserve"> </w:t>
      </w:r>
    </w:p>
    <w:p w14:paraId="6C99DE22" w14:textId="3479DDCA" w:rsidR="005C2A50" w:rsidRPr="00F64A84" w:rsidRDefault="0080257C" w:rsidP="00EB4750">
      <w:pPr>
        <w:pStyle w:val="Odstavekseznama"/>
        <w:numPr>
          <w:ilvl w:val="0"/>
          <w:numId w:val="19"/>
        </w:numPr>
        <w:spacing w:after="0"/>
        <w:jc w:val="both"/>
        <w:rPr>
          <w:rFonts w:eastAsia="Calibri" w:cstheme="minorHAnsi"/>
        </w:rPr>
      </w:pPr>
      <w:r w:rsidRPr="00335E03">
        <w:rPr>
          <w:rFonts w:eastAsia="Calibri" w:cstheme="minorHAnsi"/>
        </w:rPr>
        <w:t xml:space="preserve">vzpostavitev brezemisijskega ali nizkoemisijskega javnega potniškega prometa </w:t>
      </w:r>
      <w:r w:rsidR="00441153" w:rsidRPr="00335E03">
        <w:rPr>
          <w:rFonts w:eastAsia="Calibri" w:cstheme="minorHAnsi"/>
        </w:rPr>
        <w:t>(</w:t>
      </w:r>
      <w:r w:rsidRPr="00335E03">
        <w:rPr>
          <w:rFonts w:eastAsia="Calibri" w:cstheme="minorHAnsi"/>
        </w:rPr>
        <w:t>vzpostavit</w:t>
      </w:r>
      <w:r w:rsidR="00441153" w:rsidRPr="00335E03">
        <w:rPr>
          <w:rFonts w:eastAsia="Calibri" w:cstheme="minorHAnsi"/>
        </w:rPr>
        <w:t>ev</w:t>
      </w:r>
      <w:r w:rsidRPr="00335E03">
        <w:rPr>
          <w:rFonts w:eastAsia="Calibri" w:cstheme="minorHAnsi"/>
        </w:rPr>
        <w:t xml:space="preserve"> polnilne oz. oskrbovalne infrastrukture za alternativna goriva (</w:t>
      </w:r>
      <w:r w:rsidR="00C457E2" w:rsidRPr="00335E03">
        <w:rPr>
          <w:rFonts w:eastAsia="Calibri" w:cstheme="minorHAnsi"/>
        </w:rPr>
        <w:t xml:space="preserve">vodik in </w:t>
      </w:r>
      <w:r w:rsidRPr="00335E03">
        <w:rPr>
          <w:rFonts w:eastAsia="Calibri" w:cstheme="minorHAnsi"/>
        </w:rPr>
        <w:t>elektrika) za potrebe izvajanja JPP</w:t>
      </w:r>
      <w:r w:rsidR="0016561E" w:rsidRPr="00335E03">
        <w:rPr>
          <w:rFonts w:eastAsia="Calibri" w:cstheme="minorHAnsi"/>
        </w:rPr>
        <w:t xml:space="preserve"> ter ustrezna </w:t>
      </w:r>
      <w:r w:rsidR="00C457E2" w:rsidRPr="00335E03">
        <w:rPr>
          <w:rFonts w:eastAsia="Calibri" w:cstheme="minorHAnsi"/>
        </w:rPr>
        <w:t>posodobitev</w:t>
      </w:r>
      <w:r w:rsidR="0016561E" w:rsidRPr="00335E03">
        <w:rPr>
          <w:rFonts w:eastAsia="Calibri" w:cstheme="minorHAnsi"/>
        </w:rPr>
        <w:t xml:space="preserve"> voznega parka JPP</w:t>
      </w:r>
      <w:r w:rsidR="00441153" w:rsidRPr="00335E03">
        <w:rPr>
          <w:rFonts w:eastAsia="Calibri" w:cstheme="minorHAnsi"/>
        </w:rPr>
        <w:t>)</w:t>
      </w:r>
      <w:r w:rsidR="00766A01" w:rsidRPr="00335E03">
        <w:rPr>
          <w:rFonts w:eastAsia="Calibri" w:cstheme="minorHAnsi"/>
        </w:rPr>
        <w:t xml:space="preserve"> in</w:t>
      </w:r>
    </w:p>
    <w:p w14:paraId="76A8221C" w14:textId="65EBACDE" w:rsidR="005C2A50" w:rsidRPr="00335E03" w:rsidRDefault="00E36934" w:rsidP="008C3039">
      <w:pPr>
        <w:pStyle w:val="Odstavekseznama"/>
        <w:numPr>
          <w:ilvl w:val="0"/>
          <w:numId w:val="19"/>
        </w:numPr>
        <w:spacing w:after="0"/>
        <w:jc w:val="both"/>
      </w:pPr>
      <w:r w:rsidRPr="00335E03">
        <w:t>i</w:t>
      </w:r>
      <w:r w:rsidR="005C2A50" w:rsidRPr="00335E03">
        <w:t>zboljšana povezljivost v smeri sosednjih regij in držav.</w:t>
      </w:r>
    </w:p>
    <w:p w14:paraId="1BAA2D3B" w14:textId="290DF94E" w:rsidR="00A356E3" w:rsidRPr="008B037E" w:rsidRDefault="00A356E3" w:rsidP="00EF5A95">
      <w:pPr>
        <w:spacing w:before="0" w:after="0" w:line="276" w:lineRule="auto"/>
        <w:rPr>
          <w:rFonts w:asciiTheme="minorHAnsi" w:eastAsia="Times New Roman" w:hAnsiTheme="minorHAnsi" w:cstheme="minorHAnsi"/>
          <w:sz w:val="22"/>
        </w:rPr>
      </w:pPr>
    </w:p>
    <w:p w14:paraId="23E0B348" w14:textId="4818927B" w:rsidR="00EF5A95" w:rsidRPr="008B037E" w:rsidRDefault="00A356E3" w:rsidP="00EF5A95">
      <w:pPr>
        <w:spacing w:before="0" w:after="0" w:line="276" w:lineRule="auto"/>
        <w:rPr>
          <w:rFonts w:asciiTheme="minorHAnsi" w:eastAsia="Calibri" w:hAnsiTheme="minorHAnsi" w:cstheme="minorHAnsi"/>
          <w:b/>
          <w:sz w:val="22"/>
        </w:rPr>
      </w:pPr>
      <w:r w:rsidRPr="00BE1831">
        <w:rPr>
          <w:rFonts w:asciiTheme="minorHAnsi" w:eastAsia="Calibri" w:hAnsiTheme="minorHAnsi" w:cstheme="minorHAnsi"/>
          <w:b/>
          <w:sz w:val="22"/>
        </w:rPr>
        <w:t>S</w:t>
      </w:r>
      <w:r w:rsidR="00305F7E" w:rsidRPr="00BE1831">
        <w:rPr>
          <w:rFonts w:asciiTheme="minorHAnsi" w:eastAsia="Calibri" w:hAnsiTheme="minorHAnsi" w:cstheme="minorHAnsi"/>
          <w:b/>
          <w:sz w:val="22"/>
        </w:rPr>
        <w:t>trateški cilj</w:t>
      </w:r>
      <w:r w:rsidR="00422C3B" w:rsidRPr="00BE1831">
        <w:rPr>
          <w:rFonts w:asciiTheme="minorHAnsi" w:eastAsia="Calibri" w:hAnsiTheme="minorHAnsi" w:cstheme="minorHAnsi"/>
          <w:b/>
          <w:sz w:val="22"/>
        </w:rPr>
        <w:t xml:space="preserve"> </w:t>
      </w:r>
      <w:r w:rsidRPr="00BE1831">
        <w:rPr>
          <w:rFonts w:asciiTheme="minorHAnsi" w:eastAsia="Calibri" w:hAnsiTheme="minorHAnsi" w:cstheme="minorHAnsi"/>
          <w:b/>
          <w:sz w:val="22"/>
        </w:rPr>
        <w:t>4:</w:t>
      </w:r>
      <w:r w:rsidRPr="008B037E">
        <w:rPr>
          <w:rFonts w:asciiTheme="minorHAnsi" w:eastAsia="Times New Roman" w:hAnsiTheme="minorHAnsi" w:cstheme="minorHAnsi"/>
          <w:sz w:val="22"/>
        </w:rPr>
        <w:t xml:space="preserve"> </w:t>
      </w:r>
      <w:r w:rsidR="00422C3B" w:rsidRPr="008B037E">
        <w:rPr>
          <w:rFonts w:asciiTheme="minorHAnsi" w:eastAsia="Calibri" w:hAnsiTheme="minorHAnsi" w:cstheme="minorHAnsi"/>
          <w:b/>
          <w:sz w:val="22"/>
        </w:rPr>
        <w:t>Trajnosten, prožen in raznolik gospodarski razvoj</w:t>
      </w:r>
      <w:r w:rsidR="00422C3B" w:rsidRPr="008B037E">
        <w:rPr>
          <w:rFonts w:asciiTheme="minorHAnsi" w:eastAsia="Calibri" w:hAnsiTheme="minorHAnsi" w:cstheme="minorHAnsi"/>
          <w:sz w:val="22"/>
        </w:rPr>
        <w:t xml:space="preserve">, </w:t>
      </w:r>
      <w:r w:rsidR="00305F7E" w:rsidRPr="008B037E">
        <w:rPr>
          <w:rFonts w:asciiTheme="minorHAnsi" w:eastAsia="Calibri" w:hAnsiTheme="minorHAnsi" w:cstheme="minorHAnsi"/>
          <w:sz w:val="22"/>
        </w:rPr>
        <w:t xml:space="preserve">v okviru katerega </w:t>
      </w:r>
      <w:r w:rsidR="00EF5A95" w:rsidRPr="008B037E">
        <w:rPr>
          <w:rFonts w:asciiTheme="minorHAnsi" w:eastAsia="Calibri" w:hAnsiTheme="minorHAnsi" w:cstheme="minorHAnsi"/>
          <w:sz w:val="22"/>
        </w:rPr>
        <w:t xml:space="preserve">načrtujemo </w:t>
      </w:r>
      <w:r w:rsidR="004B4A8E" w:rsidRPr="008B037E">
        <w:rPr>
          <w:rFonts w:asciiTheme="minorHAnsi" w:eastAsia="Calibri" w:hAnsiTheme="minorHAnsi" w:cstheme="minorHAnsi"/>
          <w:sz w:val="22"/>
        </w:rPr>
        <w:t xml:space="preserve">prispevek k </w:t>
      </w:r>
      <w:r w:rsidR="00EF5A95" w:rsidRPr="008B037E">
        <w:rPr>
          <w:rFonts w:asciiTheme="minorHAnsi" w:eastAsia="Calibri" w:hAnsiTheme="minorHAnsi" w:cstheme="minorHAnsi"/>
          <w:sz w:val="22"/>
        </w:rPr>
        <w:t>doseganj</w:t>
      </w:r>
      <w:r w:rsidR="004B4A8E" w:rsidRPr="008B037E">
        <w:rPr>
          <w:rFonts w:asciiTheme="minorHAnsi" w:eastAsia="Calibri" w:hAnsiTheme="minorHAnsi" w:cstheme="minorHAnsi"/>
          <w:sz w:val="22"/>
        </w:rPr>
        <w:t>u</w:t>
      </w:r>
      <w:r w:rsidR="00EF5A95" w:rsidRPr="008B037E">
        <w:rPr>
          <w:rFonts w:asciiTheme="minorHAnsi" w:eastAsia="Calibri" w:hAnsiTheme="minorHAnsi" w:cstheme="minorHAnsi"/>
          <w:sz w:val="22"/>
        </w:rPr>
        <w:t xml:space="preserve"> naslednjih rezultatov</w:t>
      </w:r>
      <w:r w:rsidR="00EF5A95" w:rsidRPr="008B037E">
        <w:rPr>
          <w:rFonts w:asciiTheme="minorHAnsi" w:eastAsia="Calibri" w:hAnsiTheme="minorHAnsi" w:cstheme="minorHAnsi"/>
          <w:b/>
          <w:sz w:val="22"/>
        </w:rPr>
        <w:t>:</w:t>
      </w:r>
    </w:p>
    <w:p w14:paraId="11526D07" w14:textId="65AF5DD9" w:rsidR="00305F7E" w:rsidRPr="008B037E" w:rsidRDefault="008B1FDB" w:rsidP="00305F7E">
      <w:pPr>
        <w:pStyle w:val="Odstavekseznama"/>
        <w:numPr>
          <w:ilvl w:val="0"/>
          <w:numId w:val="23"/>
        </w:numPr>
        <w:spacing w:after="0"/>
        <w:rPr>
          <w:rFonts w:eastAsia="Calibri" w:cstheme="minorHAnsi"/>
        </w:rPr>
      </w:pPr>
      <w:r w:rsidRPr="008B037E">
        <w:t>d</w:t>
      </w:r>
      <w:r w:rsidR="00305F7E" w:rsidRPr="008B037E">
        <w:rPr>
          <w:rFonts w:eastAsia="Calibri" w:cstheme="minorHAnsi"/>
        </w:rPr>
        <w:t>vig produktivnosti/dodane vrednosti v regiji zaradi prehoda v industrijo 4.0 in digitalizacije</w:t>
      </w:r>
      <w:r w:rsidRPr="008B037E">
        <w:rPr>
          <w:rFonts w:eastAsia="Calibri" w:cstheme="minorHAnsi"/>
        </w:rPr>
        <w:t>,</w:t>
      </w:r>
    </w:p>
    <w:p w14:paraId="222D6276" w14:textId="336ACFEA" w:rsidR="00305F7E" w:rsidRPr="008B037E" w:rsidRDefault="008B1FDB" w:rsidP="00305F7E">
      <w:pPr>
        <w:pStyle w:val="Odstavekseznama"/>
        <w:numPr>
          <w:ilvl w:val="0"/>
          <w:numId w:val="23"/>
        </w:numPr>
        <w:spacing w:after="0"/>
        <w:rPr>
          <w:rFonts w:eastAsia="Calibri" w:cstheme="minorHAnsi"/>
        </w:rPr>
      </w:pPr>
      <w:r w:rsidRPr="008B037E">
        <w:t>r</w:t>
      </w:r>
      <w:r w:rsidR="00305F7E" w:rsidRPr="008B037E">
        <w:t xml:space="preserve">egija se uveljavi kot vozlišče za RRI v trajnostnih </w:t>
      </w:r>
      <w:r w:rsidR="00A26429" w:rsidRPr="008B037E">
        <w:t xml:space="preserve">nizkoogljičnih krožnih </w:t>
      </w:r>
      <w:r w:rsidR="00305F7E" w:rsidRPr="008B037E">
        <w:t>rešitvah</w:t>
      </w:r>
      <w:r w:rsidR="00816CAF" w:rsidRPr="008B037E">
        <w:t xml:space="preserve"> (ne samo v energetskih)</w:t>
      </w:r>
      <w:r w:rsidRPr="008B037E">
        <w:t>,</w:t>
      </w:r>
    </w:p>
    <w:p w14:paraId="42271632" w14:textId="68CEF911" w:rsidR="00305F7E" w:rsidRPr="008B037E" w:rsidRDefault="008B1FDB" w:rsidP="00305F7E">
      <w:pPr>
        <w:pStyle w:val="Odstavekseznama"/>
        <w:numPr>
          <w:ilvl w:val="0"/>
          <w:numId w:val="23"/>
        </w:numPr>
        <w:spacing w:after="0"/>
        <w:rPr>
          <w:rFonts w:eastAsia="Calibri" w:cstheme="minorHAnsi"/>
        </w:rPr>
      </w:pPr>
      <w:r w:rsidRPr="008B037E">
        <w:rPr>
          <w:rFonts w:eastAsia="Calibri" w:cstheme="minorHAnsi"/>
        </w:rPr>
        <w:t>v</w:t>
      </w:r>
      <w:r w:rsidR="00305F7E" w:rsidRPr="008B037E">
        <w:rPr>
          <w:rFonts w:eastAsia="Calibri" w:cstheme="minorHAnsi"/>
        </w:rPr>
        <w:t>zpostavljeni modeli krožnega gospodarstva za večjo surovinsko samozadostnost v regiji</w:t>
      </w:r>
      <w:r w:rsidRPr="008B037E">
        <w:rPr>
          <w:rFonts w:eastAsia="Calibri" w:cstheme="minorHAnsi"/>
        </w:rPr>
        <w:t>,</w:t>
      </w:r>
      <w:r w:rsidR="00305F7E" w:rsidRPr="008B037E">
        <w:rPr>
          <w:rFonts w:eastAsia="Calibri" w:cstheme="minorHAnsi"/>
        </w:rPr>
        <w:t xml:space="preserve"> </w:t>
      </w:r>
    </w:p>
    <w:p w14:paraId="708B4105" w14:textId="755B7C91" w:rsidR="004B4A8E" w:rsidRPr="008B037E" w:rsidRDefault="008B1FDB" w:rsidP="00305F7E">
      <w:pPr>
        <w:pStyle w:val="Odstavekseznama"/>
        <w:numPr>
          <w:ilvl w:val="0"/>
          <w:numId w:val="23"/>
        </w:numPr>
        <w:spacing w:after="0"/>
      </w:pPr>
      <w:r w:rsidRPr="008B037E">
        <w:rPr>
          <w:rFonts w:eastAsia="Calibri" w:cstheme="minorHAnsi"/>
        </w:rPr>
        <w:t>v</w:t>
      </w:r>
      <w:r w:rsidR="00305F7E" w:rsidRPr="008B037E">
        <w:rPr>
          <w:rFonts w:eastAsia="Calibri" w:cstheme="minorHAnsi"/>
        </w:rPr>
        <w:t>ečje število</w:t>
      </w:r>
      <w:r w:rsidR="00395458">
        <w:rPr>
          <w:rFonts w:eastAsia="Calibri" w:cstheme="minorHAnsi"/>
        </w:rPr>
        <w:t xml:space="preserve"> </w:t>
      </w:r>
      <w:r w:rsidR="00305F7E" w:rsidRPr="008B037E">
        <w:rPr>
          <w:rFonts w:eastAsia="Calibri" w:cstheme="minorHAnsi"/>
        </w:rPr>
        <w:t>(tujih/domačih) investicij v regiji</w:t>
      </w:r>
      <w:r w:rsidRPr="008B037E">
        <w:rPr>
          <w:rFonts w:eastAsia="Calibri" w:cstheme="minorHAnsi"/>
        </w:rPr>
        <w:t>,</w:t>
      </w:r>
      <w:r w:rsidR="00022C41" w:rsidRPr="008B037E">
        <w:rPr>
          <w:rFonts w:eastAsia="Calibri" w:cstheme="minorHAnsi"/>
        </w:rPr>
        <w:t xml:space="preserve"> </w:t>
      </w:r>
    </w:p>
    <w:p w14:paraId="294A5A40" w14:textId="1404093A" w:rsidR="00305F7E" w:rsidRPr="008B037E" w:rsidRDefault="008B1FDB" w:rsidP="00305F7E">
      <w:pPr>
        <w:pStyle w:val="Odstavekseznama"/>
        <w:numPr>
          <w:ilvl w:val="0"/>
          <w:numId w:val="23"/>
        </w:numPr>
        <w:spacing w:after="0"/>
        <w:rPr>
          <w:rFonts w:eastAsia="Calibri" w:cstheme="minorHAnsi"/>
        </w:rPr>
      </w:pPr>
      <w:r w:rsidRPr="008B037E">
        <w:rPr>
          <w:rFonts w:eastAsia="Calibri" w:cstheme="minorHAnsi"/>
        </w:rPr>
        <w:t>p</w:t>
      </w:r>
      <w:r w:rsidR="00451A1E" w:rsidRPr="008B037E">
        <w:rPr>
          <w:rFonts w:eastAsia="Calibri" w:cstheme="minorHAnsi"/>
        </w:rPr>
        <w:t>restrukturirana</w:t>
      </w:r>
      <w:r w:rsidR="00305F7E" w:rsidRPr="008B037E">
        <w:rPr>
          <w:rFonts w:eastAsia="Calibri" w:cstheme="minorHAnsi"/>
        </w:rPr>
        <w:t xml:space="preserve"> TEŠ in PV</w:t>
      </w:r>
      <w:r w:rsidR="004B4A8E" w:rsidRPr="008B037E">
        <w:rPr>
          <w:rFonts w:eastAsia="Calibri" w:cstheme="minorHAnsi"/>
        </w:rPr>
        <w:t>.</w:t>
      </w:r>
    </w:p>
    <w:p w14:paraId="06F130FB" w14:textId="77777777" w:rsidR="00AA747E" w:rsidRPr="008B037E" w:rsidRDefault="00AA747E" w:rsidP="00E25A7D">
      <w:pPr>
        <w:spacing w:before="0" w:after="0" w:line="276" w:lineRule="auto"/>
        <w:rPr>
          <w:rFonts w:asciiTheme="minorHAnsi" w:eastAsia="Times New Roman" w:hAnsiTheme="minorHAnsi" w:cstheme="minorHAnsi"/>
          <w:sz w:val="22"/>
        </w:rPr>
      </w:pPr>
    </w:p>
    <w:p w14:paraId="6772B99C" w14:textId="7428E0BF" w:rsidR="00A6000E" w:rsidRPr="00335E03" w:rsidRDefault="00A356E3" w:rsidP="00335E03">
      <w:pPr>
        <w:spacing w:after="0"/>
        <w:rPr>
          <w:rFonts w:asciiTheme="minorHAnsi" w:hAnsiTheme="minorHAnsi" w:cstheme="minorHAnsi"/>
          <w:sz w:val="22"/>
        </w:rPr>
      </w:pPr>
      <w:r w:rsidRPr="00335E03">
        <w:rPr>
          <w:rFonts w:asciiTheme="minorHAnsi" w:hAnsiTheme="minorHAnsi" w:cstheme="minorHAnsi"/>
          <w:b/>
          <w:sz w:val="22"/>
        </w:rPr>
        <w:t>S</w:t>
      </w:r>
      <w:r w:rsidR="005C2A50" w:rsidRPr="00335E03">
        <w:rPr>
          <w:rFonts w:asciiTheme="minorHAnsi" w:hAnsiTheme="minorHAnsi" w:cstheme="minorHAnsi"/>
          <w:b/>
          <w:sz w:val="22"/>
        </w:rPr>
        <w:t>trateški cilj</w:t>
      </w:r>
      <w:r w:rsidRPr="00335E03">
        <w:rPr>
          <w:rFonts w:asciiTheme="minorHAnsi" w:hAnsiTheme="minorHAnsi" w:cstheme="minorHAnsi"/>
          <w:b/>
          <w:sz w:val="22"/>
        </w:rPr>
        <w:t xml:space="preserve"> 5:</w:t>
      </w:r>
      <w:r w:rsidR="005C2A50" w:rsidRPr="00335E03">
        <w:rPr>
          <w:rFonts w:asciiTheme="minorHAnsi" w:hAnsiTheme="minorHAnsi" w:cstheme="minorHAnsi"/>
          <w:sz w:val="22"/>
        </w:rPr>
        <w:t xml:space="preserve"> </w:t>
      </w:r>
      <w:r w:rsidR="005C2A50" w:rsidRPr="00335E03">
        <w:rPr>
          <w:rFonts w:asciiTheme="minorHAnsi" w:hAnsiTheme="minorHAnsi" w:cstheme="minorHAnsi"/>
          <w:b/>
          <w:sz w:val="22"/>
        </w:rPr>
        <w:t xml:space="preserve">Postopna sanacija in revitalizacija prostorsko in okoljsko </w:t>
      </w:r>
      <w:r w:rsidR="006766E5" w:rsidRPr="00335E03">
        <w:rPr>
          <w:rFonts w:asciiTheme="minorHAnsi" w:hAnsiTheme="minorHAnsi" w:cstheme="minorHAnsi"/>
          <w:b/>
          <w:sz w:val="22"/>
        </w:rPr>
        <w:t xml:space="preserve">degradiranih </w:t>
      </w:r>
      <w:r w:rsidR="005C2A50" w:rsidRPr="00335E03">
        <w:rPr>
          <w:rFonts w:asciiTheme="minorHAnsi" w:hAnsiTheme="minorHAnsi" w:cstheme="minorHAnsi"/>
          <w:b/>
          <w:sz w:val="22"/>
        </w:rPr>
        <w:t>območij</w:t>
      </w:r>
      <w:r w:rsidR="005C2A50" w:rsidRPr="00335E03">
        <w:rPr>
          <w:rFonts w:asciiTheme="minorHAnsi" w:hAnsiTheme="minorHAnsi" w:cstheme="minorHAnsi"/>
          <w:sz w:val="22"/>
        </w:rPr>
        <w:t xml:space="preserve">, pričakovani rezultat na tem področju </w:t>
      </w:r>
      <w:r w:rsidR="005B60E2" w:rsidRPr="00335E03">
        <w:rPr>
          <w:rFonts w:asciiTheme="minorHAnsi" w:hAnsiTheme="minorHAnsi" w:cstheme="minorHAnsi"/>
          <w:sz w:val="22"/>
        </w:rPr>
        <w:t>je</w:t>
      </w:r>
      <w:r w:rsidR="005C2A50" w:rsidRPr="00335E03">
        <w:rPr>
          <w:rFonts w:asciiTheme="minorHAnsi" w:hAnsiTheme="minorHAnsi" w:cstheme="minorHAnsi"/>
          <w:sz w:val="22"/>
        </w:rPr>
        <w:t>:</w:t>
      </w:r>
      <w:r w:rsidR="005B60E2" w:rsidRPr="00335E03" w:rsidDel="005B60E2">
        <w:rPr>
          <w:rFonts w:asciiTheme="minorHAnsi" w:hAnsiTheme="minorHAnsi" w:cstheme="minorHAnsi"/>
          <w:sz w:val="22"/>
        </w:rPr>
        <w:t xml:space="preserve"> </w:t>
      </w:r>
    </w:p>
    <w:p w14:paraId="7E22F8AC" w14:textId="56355B57" w:rsidR="00816CAF" w:rsidRPr="008B037E" w:rsidRDefault="00C73A45" w:rsidP="00816CAF">
      <w:pPr>
        <w:pStyle w:val="Odstavekseznama"/>
        <w:numPr>
          <w:ilvl w:val="0"/>
          <w:numId w:val="22"/>
        </w:numPr>
        <w:spacing w:after="0"/>
        <w:rPr>
          <w:rFonts w:cstheme="minorHAnsi"/>
        </w:rPr>
      </w:pPr>
      <w:r w:rsidRPr="008B037E">
        <w:rPr>
          <w:rFonts w:cstheme="minorHAnsi"/>
        </w:rPr>
        <w:t>z</w:t>
      </w:r>
      <w:r w:rsidR="005C2A50" w:rsidRPr="008B037E">
        <w:rPr>
          <w:rFonts w:cstheme="minorHAnsi"/>
        </w:rPr>
        <w:t xml:space="preserve">agotovljena </w:t>
      </w:r>
      <w:r w:rsidR="00816CAF" w:rsidRPr="008B037E">
        <w:rPr>
          <w:rFonts w:cstheme="minorHAnsi"/>
        </w:rPr>
        <w:t>rekonstrukcija, razgradnja</w:t>
      </w:r>
      <w:r w:rsidR="005C2A50" w:rsidRPr="008B037E">
        <w:rPr>
          <w:rFonts w:cstheme="minorHAnsi"/>
        </w:rPr>
        <w:t xml:space="preserve"> in spremenjena name</w:t>
      </w:r>
      <w:r w:rsidR="00940E7D" w:rsidRPr="008B037E">
        <w:rPr>
          <w:rFonts w:cstheme="minorHAnsi"/>
        </w:rPr>
        <w:t>mbn</w:t>
      </w:r>
      <w:r w:rsidR="005C2A50" w:rsidRPr="008B037E">
        <w:rPr>
          <w:rFonts w:cstheme="minorHAnsi"/>
        </w:rPr>
        <w:t>ost objektov ter</w:t>
      </w:r>
      <w:r w:rsidR="002F712E" w:rsidRPr="008B037E">
        <w:rPr>
          <w:rFonts w:cstheme="minorHAnsi"/>
        </w:rPr>
        <w:t xml:space="preserve"> </w:t>
      </w:r>
      <w:r w:rsidR="005C2A50" w:rsidRPr="008B037E">
        <w:rPr>
          <w:rFonts w:cstheme="minorHAnsi"/>
        </w:rPr>
        <w:t xml:space="preserve">preurejena </w:t>
      </w:r>
      <w:r w:rsidR="006766E5" w:rsidRPr="008B037E">
        <w:rPr>
          <w:rFonts w:cstheme="minorHAnsi"/>
        </w:rPr>
        <w:t xml:space="preserve">okoljsko in prostorsko degradirana </w:t>
      </w:r>
      <w:r w:rsidR="005C2A50" w:rsidRPr="008B037E">
        <w:rPr>
          <w:rFonts w:cstheme="minorHAnsi"/>
        </w:rPr>
        <w:t>območja, povezan</w:t>
      </w:r>
      <w:r w:rsidR="006766E5" w:rsidRPr="008B037E">
        <w:rPr>
          <w:rFonts w:cstheme="minorHAnsi"/>
        </w:rPr>
        <w:t>a</w:t>
      </w:r>
      <w:r w:rsidR="005C2A50" w:rsidRPr="008B037E">
        <w:rPr>
          <w:rFonts w:cstheme="minorHAnsi"/>
        </w:rPr>
        <w:t xml:space="preserve"> s premogovništvom in rabo premoga. </w:t>
      </w:r>
    </w:p>
    <w:p w14:paraId="150109CA" w14:textId="77777777" w:rsidR="00C026D3" w:rsidRPr="008B037E" w:rsidRDefault="00C026D3" w:rsidP="00720E72">
      <w:pPr>
        <w:spacing w:before="0" w:after="0" w:line="276" w:lineRule="auto"/>
        <w:rPr>
          <w:rFonts w:asciiTheme="minorHAnsi" w:hAnsiTheme="minorHAnsi" w:cstheme="minorHAnsi"/>
          <w:sz w:val="22"/>
        </w:rPr>
      </w:pPr>
    </w:p>
    <w:p w14:paraId="63E14653" w14:textId="77777777" w:rsidR="004742D2" w:rsidRPr="008B037E" w:rsidRDefault="004742D2" w:rsidP="00720E72">
      <w:pPr>
        <w:pStyle w:val="Odstavekseznama"/>
        <w:spacing w:after="0"/>
        <w:jc w:val="both"/>
        <w:rPr>
          <w:rFonts w:cstheme="minorHAnsi"/>
        </w:rPr>
      </w:pPr>
      <w:r w:rsidRPr="008B037E">
        <w:rPr>
          <w:rFonts w:cstheme="minorHAnsi"/>
        </w:rPr>
        <w:t xml:space="preserve">2.3. Skladnost z drugimi nacionalnimi, regionalnimi ali območnimi strategijami in načrti </w:t>
      </w:r>
    </w:p>
    <w:p w14:paraId="5453C3FB" w14:textId="77777777" w:rsidR="004742D2" w:rsidRPr="008B037E" w:rsidRDefault="004742D2" w:rsidP="00720E72">
      <w:pPr>
        <w:pStyle w:val="Odstavekseznama"/>
        <w:spacing w:after="0"/>
        <w:jc w:val="both"/>
        <w:rPr>
          <w:rFonts w:cstheme="minorHAnsi"/>
          <w:i/>
        </w:rPr>
      </w:pPr>
    </w:p>
    <w:p w14:paraId="2C924841" w14:textId="3546FABA" w:rsidR="004742D2" w:rsidRPr="008B037E" w:rsidRDefault="004742D2" w:rsidP="00720E72">
      <w:pPr>
        <w:pStyle w:val="Odstavekseznama"/>
        <w:spacing w:after="0"/>
        <w:jc w:val="both"/>
        <w:rPr>
          <w:rFonts w:cstheme="minorHAnsi"/>
          <w:i/>
        </w:rPr>
      </w:pPr>
      <w:r w:rsidRPr="008B037E">
        <w:rPr>
          <w:rFonts w:cstheme="minorHAnsi"/>
          <w:i/>
        </w:rPr>
        <w:t xml:space="preserve">Sklic: člen </w:t>
      </w:r>
      <w:r w:rsidR="00A356E3" w:rsidRPr="008B037E">
        <w:rPr>
          <w:rFonts w:cstheme="minorHAnsi"/>
          <w:i/>
        </w:rPr>
        <w:t>11</w:t>
      </w:r>
      <w:r w:rsidRPr="008B037E">
        <w:rPr>
          <w:rFonts w:cstheme="minorHAnsi"/>
          <w:i/>
        </w:rPr>
        <w:t>(2)(e)</w:t>
      </w:r>
    </w:p>
    <w:tbl>
      <w:tblPr>
        <w:tblStyle w:val="Tabelamrea"/>
        <w:tblW w:w="0" w:type="auto"/>
        <w:tblInd w:w="0" w:type="dxa"/>
        <w:tblLook w:val="04A0" w:firstRow="1" w:lastRow="0" w:firstColumn="1" w:lastColumn="0" w:noHBand="0" w:noVBand="1"/>
      </w:tblPr>
      <w:tblGrid>
        <w:gridCol w:w="9062"/>
      </w:tblGrid>
      <w:tr w:rsidR="004742D2" w:rsidRPr="008B037E" w14:paraId="019A6402" w14:textId="77777777" w:rsidTr="00C511B3">
        <w:trPr>
          <w:trHeight w:val="306"/>
        </w:trPr>
        <w:tc>
          <w:tcPr>
            <w:tcW w:w="9288" w:type="dxa"/>
            <w:tcBorders>
              <w:top w:val="single" w:sz="4" w:space="0" w:color="auto"/>
              <w:left w:val="single" w:sz="4" w:space="0" w:color="auto"/>
              <w:bottom w:val="single" w:sz="4" w:space="0" w:color="auto"/>
              <w:right w:val="single" w:sz="4" w:space="0" w:color="auto"/>
            </w:tcBorders>
            <w:hideMark/>
          </w:tcPr>
          <w:p w14:paraId="02EAB7D0"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Besedilno polje [6 000]</w:t>
            </w:r>
          </w:p>
        </w:tc>
      </w:tr>
    </w:tbl>
    <w:p w14:paraId="1AFB521C" w14:textId="77777777" w:rsidR="004742D2" w:rsidRPr="008B037E" w:rsidRDefault="004742D2" w:rsidP="00720E72">
      <w:pPr>
        <w:spacing w:before="0" w:after="0" w:line="276" w:lineRule="auto"/>
        <w:ind w:left="2160"/>
        <w:contextualSpacing/>
        <w:rPr>
          <w:rFonts w:asciiTheme="minorHAnsi" w:eastAsia="Times New Roman" w:hAnsiTheme="minorHAnsi" w:cstheme="minorHAnsi"/>
          <w:sz w:val="22"/>
        </w:rPr>
      </w:pPr>
    </w:p>
    <w:tbl>
      <w:tblPr>
        <w:tblStyle w:val="Tabelamrea"/>
        <w:tblW w:w="0" w:type="auto"/>
        <w:tblInd w:w="0" w:type="dxa"/>
        <w:tblLook w:val="04A0" w:firstRow="1" w:lastRow="0" w:firstColumn="1" w:lastColumn="0" w:noHBand="0" w:noVBand="1"/>
      </w:tblPr>
      <w:tblGrid>
        <w:gridCol w:w="9062"/>
      </w:tblGrid>
      <w:tr w:rsidR="004742D2" w:rsidRPr="008B037E" w14:paraId="65B891EB" w14:textId="77777777" w:rsidTr="001D68DF">
        <w:trPr>
          <w:trHeight w:val="1125"/>
        </w:trPr>
        <w:tc>
          <w:tcPr>
            <w:tcW w:w="9062" w:type="dxa"/>
            <w:tcBorders>
              <w:top w:val="single" w:sz="4" w:space="0" w:color="auto"/>
              <w:left w:val="single" w:sz="4" w:space="0" w:color="auto"/>
              <w:bottom w:val="single" w:sz="4" w:space="0" w:color="auto"/>
              <w:right w:val="single" w:sz="4" w:space="0" w:color="auto"/>
            </w:tcBorders>
            <w:hideMark/>
          </w:tcPr>
          <w:p w14:paraId="3689BB2E"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sz w:val="22"/>
              </w:rPr>
              <w:t xml:space="preserve">– </w:t>
            </w:r>
            <w:r w:rsidRPr="008B037E">
              <w:rPr>
                <w:rFonts w:asciiTheme="minorHAnsi" w:hAnsiTheme="minorHAnsi" w:cstheme="minorHAnsi"/>
                <w:i/>
                <w:sz w:val="22"/>
              </w:rPr>
              <w:t>strategije pametne specializacije;</w:t>
            </w:r>
          </w:p>
          <w:p w14:paraId="5CDEB78D"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i/>
                <w:sz w:val="22"/>
              </w:rPr>
              <w:t xml:space="preserve">– območne strategije iz člena 23 Uredbe (EU) [nova uredba o skupnih določbah]; </w:t>
            </w:r>
          </w:p>
          <w:p w14:paraId="67348AAA" w14:textId="77777777" w:rsidR="004742D2" w:rsidRPr="008B037E" w:rsidRDefault="004742D2" w:rsidP="00720E72">
            <w:pPr>
              <w:spacing w:before="0" w:after="0" w:line="276" w:lineRule="auto"/>
              <w:rPr>
                <w:rFonts w:asciiTheme="minorHAnsi" w:eastAsia="Times New Roman" w:hAnsiTheme="minorHAnsi" w:cstheme="minorHAnsi"/>
                <w:b/>
                <w:sz w:val="22"/>
              </w:rPr>
            </w:pPr>
            <w:r w:rsidRPr="008B037E">
              <w:rPr>
                <w:rFonts w:asciiTheme="minorHAnsi" w:hAnsiTheme="minorHAnsi" w:cstheme="minorHAnsi"/>
                <w:i/>
                <w:sz w:val="22"/>
              </w:rPr>
              <w:t>– drugi regionalni ali nacionalni razvojni načrti.</w:t>
            </w:r>
            <w:r w:rsidRPr="008B037E">
              <w:rPr>
                <w:rFonts w:asciiTheme="minorHAnsi" w:hAnsiTheme="minorHAnsi" w:cstheme="minorHAnsi"/>
                <w:b/>
                <w:sz w:val="22"/>
              </w:rPr>
              <w:t xml:space="preserve"> </w:t>
            </w:r>
          </w:p>
        </w:tc>
      </w:tr>
    </w:tbl>
    <w:p w14:paraId="5FB5FA15" w14:textId="77777777" w:rsidR="00A6000E" w:rsidRPr="008B037E" w:rsidRDefault="00A6000E" w:rsidP="00752DC7">
      <w:pPr>
        <w:spacing w:before="0" w:after="0" w:line="276" w:lineRule="auto"/>
        <w:contextualSpacing/>
        <w:rPr>
          <w:rFonts w:asciiTheme="minorHAnsi" w:eastAsia="Times New Roman" w:hAnsiTheme="minorHAnsi" w:cstheme="minorHAnsi"/>
          <w:sz w:val="22"/>
        </w:rPr>
      </w:pPr>
    </w:p>
    <w:p w14:paraId="42028F85" w14:textId="43B8D73A" w:rsidR="00A6000E" w:rsidRPr="008B037E" w:rsidRDefault="00A6000E" w:rsidP="002F0212">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 xml:space="preserve">Pravični prehod premogovnih regij je eden od ključnih vzvodov za doseganje podnebne nevtralnosti Slovenije do leta 2050, pri čemer </w:t>
      </w:r>
      <w:r w:rsidRPr="008B037E">
        <w:rPr>
          <w:rFonts w:asciiTheme="minorHAnsi" w:eastAsia="Times New Roman" w:hAnsiTheme="minorHAnsi" w:cstheme="minorHAnsi"/>
          <w:b/>
          <w:sz w:val="22"/>
        </w:rPr>
        <w:t>Nacionalni energetsko podnebni načrt</w:t>
      </w:r>
      <w:r w:rsidRPr="008B037E">
        <w:rPr>
          <w:rFonts w:asciiTheme="minorHAnsi" w:eastAsia="Times New Roman" w:hAnsiTheme="minorHAnsi" w:cstheme="minorHAnsi"/>
          <w:sz w:val="22"/>
        </w:rPr>
        <w:t xml:space="preserve"> predstavlja srednjeročni okvir. Ukrepi, ki so vključeni v tem območnem načrtu podpirajo doseganje sektorskih ciljev, ki so opredeljeni v NEPN. Največ bodo k temu prispevali ukrepi, ki so predvideni na področju energetike in podpori za podporo preobrazbe gospodarstva v smeri dekarbonizacije in krožnosti. </w:t>
      </w:r>
      <w:r w:rsidR="00B47B18">
        <w:rPr>
          <w:rFonts w:asciiTheme="minorHAnsi" w:eastAsia="Times New Roman" w:hAnsiTheme="minorHAnsi" w:cstheme="minorHAnsi"/>
          <w:sz w:val="22"/>
        </w:rPr>
        <w:t xml:space="preserve">Ključen doprinos k razogljičenju predstavlja opustitev premoga kot fosilnega goriva pri proizvodnji električne energije v SI (TEŠ in PV – proizvodnja okvirno tretjine električne energije v SI, v sušnih obdobjih je ta % še višji; gre za zelo visoko odvisnost od enega fosilnega vira, ne le na regionalni, temveč tudi na nacionalni ravni, v evropskem merilu, s čimer so povezana tudi zelo visoka tveganja zaradi opustitve), s čimer pravični prehod regije pravzaprav trasira tudi nacionalni prehod v razogljičenje. </w:t>
      </w:r>
      <w:r w:rsidRPr="008B037E">
        <w:rPr>
          <w:rFonts w:asciiTheme="minorHAnsi" w:eastAsia="Times New Roman" w:hAnsiTheme="minorHAnsi" w:cstheme="minorHAnsi"/>
          <w:sz w:val="22"/>
        </w:rPr>
        <w:t xml:space="preserve"> </w:t>
      </w:r>
    </w:p>
    <w:p w14:paraId="49255975" w14:textId="755FB807" w:rsidR="00105B05" w:rsidRPr="008B037E" w:rsidRDefault="00105B05" w:rsidP="00752DC7">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t xml:space="preserve">Osnutek </w:t>
      </w:r>
      <w:r w:rsidRPr="008B037E">
        <w:rPr>
          <w:rFonts w:asciiTheme="minorHAnsi" w:eastAsia="Times New Roman" w:hAnsiTheme="minorHAnsi" w:cstheme="minorHAnsi"/>
          <w:b/>
          <w:sz w:val="22"/>
        </w:rPr>
        <w:t>Območnega razvojnega programa Savinjsko-Šaleške regije za obdobje 2021 – 2027</w:t>
      </w:r>
      <w:r w:rsidRPr="008B037E">
        <w:rPr>
          <w:rFonts w:asciiTheme="minorHAnsi" w:eastAsia="Times New Roman" w:hAnsiTheme="minorHAnsi" w:cstheme="minorHAnsi"/>
          <w:sz w:val="22"/>
        </w:rPr>
        <w:t xml:space="preserve"> med strateškimi usmeritvami identificira tudi prehod v nizkoogljično in zeleno prihodnost</w:t>
      </w:r>
      <w:r w:rsidR="0023574D" w:rsidRPr="008B037E">
        <w:rPr>
          <w:rFonts w:asciiTheme="minorHAnsi" w:eastAsia="Times New Roman" w:hAnsiTheme="minorHAnsi" w:cstheme="minorHAnsi"/>
          <w:sz w:val="22"/>
        </w:rPr>
        <w:t xml:space="preserve"> v povezavi s pravičnim energetskim prehodom regije.</w:t>
      </w:r>
      <w:r w:rsidRPr="008B037E">
        <w:rPr>
          <w:rFonts w:asciiTheme="minorHAnsi" w:eastAsia="Times New Roman" w:hAnsiTheme="minorHAnsi" w:cstheme="minorHAnsi"/>
          <w:sz w:val="22"/>
        </w:rPr>
        <w:t xml:space="preserve"> </w:t>
      </w:r>
      <w:r w:rsidR="0023574D" w:rsidRPr="008B037E">
        <w:rPr>
          <w:rFonts w:asciiTheme="minorHAnsi" w:eastAsia="Times New Roman" w:hAnsiTheme="minorHAnsi" w:cstheme="minorHAnsi"/>
          <w:sz w:val="22"/>
        </w:rPr>
        <w:t>Tu</w:t>
      </w:r>
      <w:r w:rsidR="007F2C98" w:rsidRPr="008B037E">
        <w:rPr>
          <w:rFonts w:asciiTheme="minorHAnsi" w:eastAsia="Times New Roman" w:hAnsiTheme="minorHAnsi" w:cstheme="minorHAnsi"/>
          <w:sz w:val="22"/>
        </w:rPr>
        <w:t xml:space="preserve"> je</w:t>
      </w:r>
      <w:r w:rsidR="0023574D" w:rsidRPr="008B037E">
        <w:rPr>
          <w:rFonts w:asciiTheme="minorHAnsi" w:eastAsia="Times New Roman" w:hAnsiTheme="minorHAnsi" w:cstheme="minorHAnsi"/>
          <w:sz w:val="22"/>
        </w:rPr>
        <w:t xml:space="preserve"> za deležnike v regiji</w:t>
      </w:r>
      <w:r w:rsidR="007F2C98" w:rsidRPr="008B037E">
        <w:rPr>
          <w:rFonts w:asciiTheme="minorHAnsi" w:eastAsia="Times New Roman" w:hAnsiTheme="minorHAnsi" w:cstheme="minorHAnsi"/>
          <w:sz w:val="22"/>
        </w:rPr>
        <w:t xml:space="preserve"> ključnega pomena, da se nadomesti</w:t>
      </w:r>
      <w:r w:rsidR="0023574D" w:rsidRPr="008B037E">
        <w:rPr>
          <w:rFonts w:asciiTheme="minorHAnsi" w:eastAsia="Times New Roman" w:hAnsiTheme="minorHAnsi" w:cstheme="minorHAnsi"/>
          <w:sz w:val="22"/>
        </w:rPr>
        <w:t>ta</w:t>
      </w:r>
      <w:r w:rsidR="007F2C98" w:rsidRPr="008B037E">
        <w:rPr>
          <w:rFonts w:asciiTheme="minorHAnsi" w:eastAsia="Times New Roman" w:hAnsiTheme="minorHAnsi" w:cstheme="minorHAnsi"/>
          <w:sz w:val="22"/>
        </w:rPr>
        <w:t xml:space="preserve"> predvsem </w:t>
      </w:r>
      <w:r w:rsidR="0023574D" w:rsidRPr="008B037E">
        <w:rPr>
          <w:rFonts w:asciiTheme="minorHAnsi" w:eastAsia="Times New Roman" w:hAnsiTheme="minorHAnsi" w:cstheme="minorHAnsi"/>
          <w:sz w:val="22"/>
        </w:rPr>
        <w:t xml:space="preserve">vira </w:t>
      </w:r>
      <w:r w:rsidR="007F2C98" w:rsidRPr="008B037E">
        <w:rPr>
          <w:rFonts w:asciiTheme="minorHAnsi" w:eastAsia="Times New Roman" w:hAnsiTheme="minorHAnsi" w:cstheme="minorHAnsi"/>
          <w:sz w:val="22"/>
        </w:rPr>
        <w:t>daljinska toplotna energija in električn</w:t>
      </w:r>
      <w:r w:rsidR="00CF5DFA">
        <w:rPr>
          <w:rFonts w:asciiTheme="minorHAnsi" w:eastAsia="Times New Roman" w:hAnsiTheme="minorHAnsi" w:cstheme="minorHAnsi"/>
          <w:sz w:val="22"/>
        </w:rPr>
        <w:t>a</w:t>
      </w:r>
      <w:r w:rsidR="007F2C98" w:rsidRPr="008B037E">
        <w:rPr>
          <w:rFonts w:asciiTheme="minorHAnsi" w:eastAsia="Times New Roman" w:hAnsiTheme="minorHAnsi" w:cstheme="minorHAnsi"/>
          <w:sz w:val="22"/>
        </w:rPr>
        <w:t xml:space="preserve"> energij</w:t>
      </w:r>
      <w:r w:rsidR="00CF5DFA">
        <w:rPr>
          <w:rFonts w:asciiTheme="minorHAnsi" w:eastAsia="Times New Roman" w:hAnsiTheme="minorHAnsi" w:cstheme="minorHAnsi"/>
          <w:sz w:val="22"/>
        </w:rPr>
        <w:t>a</w:t>
      </w:r>
      <w:r w:rsidR="007F2C98" w:rsidRPr="008B037E">
        <w:rPr>
          <w:rFonts w:asciiTheme="minorHAnsi" w:eastAsia="Times New Roman" w:hAnsiTheme="minorHAnsi" w:cstheme="minorHAnsi"/>
          <w:sz w:val="22"/>
        </w:rPr>
        <w:t>, ki jo sedaj proizvaja TEŠ.</w:t>
      </w:r>
      <w:r w:rsidR="00F403D8" w:rsidRPr="008B037E">
        <w:rPr>
          <w:rFonts w:asciiTheme="minorHAnsi" w:eastAsia="Times New Roman" w:hAnsiTheme="minorHAnsi" w:cstheme="minorHAnsi"/>
          <w:sz w:val="22"/>
        </w:rPr>
        <w:t xml:space="preserve"> V povezavi s pravičnih prehodom je za deležnike pomembno tudi ustrezno urejanje degradiranih območij.</w:t>
      </w:r>
      <w:r w:rsidR="007F2C98" w:rsidRPr="008B037E">
        <w:t xml:space="preserve"> </w:t>
      </w:r>
      <w:r w:rsidR="007F2C98" w:rsidRPr="008B037E">
        <w:rPr>
          <w:rFonts w:asciiTheme="minorHAnsi" w:eastAsia="Times New Roman" w:hAnsiTheme="minorHAnsi" w:cstheme="minorHAnsi"/>
          <w:sz w:val="22"/>
        </w:rPr>
        <w:t xml:space="preserve">Poleg vidika pravičnega prehoda v regiji </w:t>
      </w:r>
      <w:r w:rsidR="000A3450" w:rsidRPr="008B037E">
        <w:rPr>
          <w:rFonts w:asciiTheme="minorHAnsi" w:eastAsia="Times New Roman" w:hAnsiTheme="minorHAnsi" w:cstheme="minorHAnsi"/>
          <w:sz w:val="22"/>
        </w:rPr>
        <w:t>načrtujejo</w:t>
      </w:r>
      <w:r w:rsidR="007F2C98" w:rsidRPr="008B037E">
        <w:rPr>
          <w:rFonts w:asciiTheme="minorHAnsi" w:eastAsia="Times New Roman" w:hAnsiTheme="minorHAnsi" w:cstheme="minorHAnsi"/>
          <w:sz w:val="22"/>
        </w:rPr>
        <w:t xml:space="preserve"> vlaganja na področju energetske učinkovitosti (energetska prenova stavb, zmanjševanje energetske revščine, energetska učinkovitost v gospodarstvu). Med pomembnimi razvojnimi prioritetami</w:t>
      </w:r>
      <w:r w:rsidR="000A3450" w:rsidRPr="008B037E">
        <w:rPr>
          <w:rFonts w:asciiTheme="minorHAnsi" w:eastAsia="Times New Roman" w:hAnsiTheme="minorHAnsi" w:cstheme="minorHAnsi"/>
          <w:sz w:val="22"/>
        </w:rPr>
        <w:t xml:space="preserve"> z naložbenim potencialom</w:t>
      </w:r>
      <w:r w:rsidR="007F2C98" w:rsidRPr="008B037E">
        <w:rPr>
          <w:rFonts w:asciiTheme="minorHAnsi" w:eastAsia="Times New Roman" w:hAnsiTheme="minorHAnsi" w:cstheme="minorHAnsi"/>
          <w:sz w:val="22"/>
        </w:rPr>
        <w:t xml:space="preserve"> je tudi področje energetske samooskrbe in spodbujanje OVE, med drugim tudi spodbujanje daljinskih sistemov na OVE in razvoj in proizvodnja čistejših virov energije in alternativnih goriv. V regiji prepoznavajo </w:t>
      </w:r>
      <w:r w:rsidR="000A3450" w:rsidRPr="008B037E">
        <w:rPr>
          <w:rFonts w:asciiTheme="minorHAnsi" w:eastAsia="Times New Roman" w:hAnsiTheme="minorHAnsi" w:cstheme="minorHAnsi"/>
          <w:sz w:val="22"/>
        </w:rPr>
        <w:t>tudi pomen naložb na področj</w:t>
      </w:r>
      <w:r w:rsidR="00A00EAE" w:rsidRPr="008B037E">
        <w:rPr>
          <w:rFonts w:asciiTheme="minorHAnsi" w:eastAsia="Times New Roman" w:hAnsiTheme="minorHAnsi" w:cstheme="minorHAnsi"/>
          <w:sz w:val="22"/>
        </w:rPr>
        <w:t>u</w:t>
      </w:r>
      <w:r w:rsidR="007F2C98" w:rsidRPr="008B037E">
        <w:rPr>
          <w:rFonts w:asciiTheme="minorHAnsi" w:eastAsia="Times New Roman" w:hAnsiTheme="minorHAnsi" w:cstheme="minorHAnsi"/>
          <w:sz w:val="22"/>
        </w:rPr>
        <w:t xml:space="preserve"> krožn</w:t>
      </w:r>
      <w:r w:rsidR="000A3450" w:rsidRPr="008B037E">
        <w:rPr>
          <w:rFonts w:asciiTheme="minorHAnsi" w:eastAsia="Times New Roman" w:hAnsiTheme="minorHAnsi" w:cstheme="minorHAnsi"/>
          <w:sz w:val="22"/>
        </w:rPr>
        <w:t>ega</w:t>
      </w:r>
      <w:r w:rsidR="007F2C98" w:rsidRPr="008B037E">
        <w:rPr>
          <w:rFonts w:asciiTheme="minorHAnsi" w:eastAsia="Times New Roman" w:hAnsiTheme="minorHAnsi" w:cstheme="minorHAnsi"/>
          <w:sz w:val="22"/>
        </w:rPr>
        <w:t xml:space="preserve"> gospodarstv</w:t>
      </w:r>
      <w:r w:rsidR="000A3450" w:rsidRPr="008B037E">
        <w:rPr>
          <w:rFonts w:asciiTheme="minorHAnsi" w:eastAsia="Times New Roman" w:hAnsiTheme="minorHAnsi" w:cstheme="minorHAnsi"/>
          <w:sz w:val="22"/>
        </w:rPr>
        <w:t>a</w:t>
      </w:r>
      <w:r w:rsidR="00A00EAE" w:rsidRPr="008B037E">
        <w:rPr>
          <w:rFonts w:asciiTheme="minorHAnsi" w:eastAsia="Times New Roman" w:hAnsiTheme="minorHAnsi" w:cstheme="minorHAnsi"/>
          <w:sz w:val="22"/>
        </w:rPr>
        <w:t>.</w:t>
      </w:r>
    </w:p>
    <w:p w14:paraId="7D5FED42" w14:textId="304E5451" w:rsidR="00A00EAE" w:rsidRPr="008B037E" w:rsidRDefault="00A00EAE" w:rsidP="009E7F39">
      <w:pPr>
        <w:spacing w:before="0" w:after="0" w:line="276" w:lineRule="auto"/>
        <w:contextualSpacing/>
        <w:rPr>
          <w:rFonts w:asciiTheme="minorHAnsi" w:eastAsia="Times New Roman" w:hAnsiTheme="minorHAnsi" w:cstheme="minorHAnsi"/>
          <w:sz w:val="22"/>
        </w:rPr>
      </w:pPr>
    </w:p>
    <w:p w14:paraId="5220E9E3" w14:textId="0046A009" w:rsidR="00530300" w:rsidRPr="008B037E" w:rsidRDefault="000A3450" w:rsidP="00CF5DFA">
      <w:pPr>
        <w:spacing w:before="0" w:line="276" w:lineRule="auto"/>
        <w:rPr>
          <w:rFonts w:asciiTheme="minorHAnsi" w:hAnsiTheme="minorHAnsi" w:cstheme="minorHAnsi"/>
        </w:rPr>
      </w:pPr>
      <w:r w:rsidRPr="008B037E">
        <w:rPr>
          <w:rFonts w:asciiTheme="minorHAnsi" w:eastAsia="Times New Roman" w:hAnsiTheme="minorHAnsi" w:cstheme="minorHAnsi"/>
          <w:sz w:val="22"/>
        </w:rPr>
        <w:t xml:space="preserve">V SAŠA regiji je med razvojnimi prioritetami na prvem mestu </w:t>
      </w:r>
      <w:r w:rsidR="00530300" w:rsidRPr="00CF5DFA">
        <w:rPr>
          <w:rFonts w:asciiTheme="minorHAnsi" w:hAnsiTheme="minorHAnsi" w:cstheme="minorHAnsi"/>
          <w:b/>
          <w:sz w:val="22"/>
        </w:rPr>
        <w:t>k</w:t>
      </w:r>
      <w:r w:rsidRPr="00CF5DFA">
        <w:rPr>
          <w:rFonts w:asciiTheme="minorHAnsi" w:hAnsiTheme="minorHAnsi" w:cstheme="minorHAnsi"/>
          <w:b/>
          <w:sz w:val="22"/>
        </w:rPr>
        <w:t>repitev konkurenčnosti gospodarstva</w:t>
      </w:r>
      <w:r w:rsidRPr="008B037E">
        <w:rPr>
          <w:rFonts w:asciiTheme="minorHAnsi" w:hAnsiTheme="minorHAnsi" w:cstheme="minorHAnsi"/>
          <w:sz w:val="22"/>
        </w:rPr>
        <w:t>,</w:t>
      </w:r>
      <w:r w:rsidR="00F403D8" w:rsidRPr="008B037E">
        <w:rPr>
          <w:rFonts w:asciiTheme="minorHAnsi" w:hAnsiTheme="minorHAnsi" w:cstheme="minorHAnsi"/>
          <w:sz w:val="22"/>
        </w:rPr>
        <w:t xml:space="preserve"> kar je tudi bistvenega pomena za pravični prehod regije.</w:t>
      </w:r>
      <w:r w:rsidRPr="008B037E">
        <w:rPr>
          <w:rFonts w:asciiTheme="minorHAnsi" w:hAnsiTheme="minorHAnsi" w:cstheme="minorHAnsi"/>
          <w:sz w:val="22"/>
        </w:rPr>
        <w:t xml:space="preserve"> </w:t>
      </w:r>
      <w:r w:rsidR="00F403D8" w:rsidRPr="008B037E">
        <w:rPr>
          <w:rFonts w:asciiTheme="minorHAnsi" w:hAnsiTheme="minorHAnsi" w:cstheme="minorHAnsi"/>
          <w:sz w:val="22"/>
        </w:rPr>
        <w:t>Na tem področju želijo deležniki v regiji</w:t>
      </w:r>
      <w:r w:rsidRPr="008B037E">
        <w:rPr>
          <w:rFonts w:asciiTheme="minorHAnsi" w:hAnsiTheme="minorHAnsi" w:cstheme="minorHAnsi"/>
          <w:sz w:val="22"/>
        </w:rPr>
        <w:t xml:space="preserve"> z vlaganji spodbuja</w:t>
      </w:r>
      <w:r w:rsidR="00F403D8" w:rsidRPr="008B037E">
        <w:rPr>
          <w:rFonts w:asciiTheme="minorHAnsi" w:hAnsiTheme="minorHAnsi" w:cstheme="minorHAnsi"/>
          <w:sz w:val="22"/>
        </w:rPr>
        <w:t>t</w:t>
      </w:r>
      <w:r w:rsidRPr="008B037E">
        <w:rPr>
          <w:rFonts w:asciiTheme="minorHAnsi" w:hAnsiTheme="minorHAnsi" w:cstheme="minorHAnsi"/>
          <w:sz w:val="22"/>
        </w:rPr>
        <w:t>i naložbe v nadaljnji razvoj gospodarstva in njegovo internacionalizacijo. Pomembno področje za doseganje cilja pa so tudi vlaganja v izboljšanje inovacijskega sistema v regiji in spodbude za prenos znanja</w:t>
      </w:r>
      <w:r w:rsidR="00530300" w:rsidRPr="008B037E">
        <w:rPr>
          <w:rFonts w:asciiTheme="minorHAnsi" w:hAnsiTheme="minorHAnsi" w:cstheme="minorHAnsi"/>
          <w:sz w:val="22"/>
        </w:rPr>
        <w:t xml:space="preserve">. Pomembna razvojna prioriteta regije so tudi vlaganja v krepitev kompetenc v podjetjih, kar želijo doseči s podporo programom za krepitev znanj in spretnosti za gospodarstvo ter prenos znanja v gospodarstvo. Za izboljšanje konkurenčnosti MSP želijo v regiji razviti in optimizirati ekosistem za podporo podjetništvu in inovativnosti ter podpreti izgradnjo </w:t>
      </w:r>
      <w:r w:rsidR="00C33B4A" w:rsidRPr="008B037E">
        <w:rPr>
          <w:rFonts w:asciiTheme="minorHAnsi" w:hAnsiTheme="minorHAnsi" w:cstheme="minorHAnsi"/>
          <w:sz w:val="22"/>
        </w:rPr>
        <w:t>infrastruktur</w:t>
      </w:r>
      <w:r w:rsidR="00C33B4A">
        <w:rPr>
          <w:rFonts w:asciiTheme="minorHAnsi" w:hAnsiTheme="minorHAnsi" w:cstheme="minorHAnsi"/>
          <w:sz w:val="22"/>
        </w:rPr>
        <w:t>e</w:t>
      </w:r>
      <w:r w:rsidR="00530300" w:rsidRPr="008B037E">
        <w:rPr>
          <w:rFonts w:asciiTheme="minorHAnsi" w:hAnsiTheme="minorHAnsi" w:cstheme="minorHAnsi"/>
          <w:sz w:val="22"/>
        </w:rPr>
        <w:t xml:space="preserve">, namenjeno razvoju gospodarske dejavnosti. </w:t>
      </w:r>
      <w:r w:rsidR="009E7F39" w:rsidRPr="008B037E">
        <w:rPr>
          <w:rFonts w:asciiTheme="minorHAnsi" w:hAnsiTheme="minorHAnsi" w:cstheme="minorHAnsi"/>
          <w:sz w:val="22"/>
        </w:rPr>
        <w:t xml:space="preserve">Podpora bo namenjena tudi krepitvi sodelovanja v evropskem raziskovalnem prostoru in spodbujanju sodelovanja zagonskih podjetij z velikimi podjetji. V regiji področje digitalizacije prepoznavajo </w:t>
      </w:r>
      <w:r w:rsidR="00F403D8" w:rsidRPr="008B037E">
        <w:rPr>
          <w:rFonts w:asciiTheme="minorHAnsi" w:hAnsiTheme="minorHAnsi" w:cstheme="minorHAnsi"/>
          <w:sz w:val="22"/>
        </w:rPr>
        <w:t xml:space="preserve">tako </w:t>
      </w:r>
      <w:r w:rsidR="009E7F39" w:rsidRPr="008B037E">
        <w:rPr>
          <w:rFonts w:asciiTheme="minorHAnsi" w:hAnsiTheme="minorHAnsi" w:cstheme="minorHAnsi"/>
          <w:sz w:val="22"/>
        </w:rPr>
        <w:t>horizontalno</w:t>
      </w:r>
      <w:r w:rsidR="00F403D8" w:rsidRPr="008B037E">
        <w:rPr>
          <w:rFonts w:asciiTheme="minorHAnsi" w:hAnsiTheme="minorHAnsi" w:cstheme="minorHAnsi"/>
          <w:sz w:val="22"/>
        </w:rPr>
        <w:t xml:space="preserve"> </w:t>
      </w:r>
      <w:r w:rsidR="00C33B4A" w:rsidRPr="008B037E">
        <w:rPr>
          <w:rFonts w:asciiTheme="minorHAnsi" w:hAnsiTheme="minorHAnsi" w:cstheme="minorHAnsi"/>
          <w:sz w:val="22"/>
        </w:rPr>
        <w:t>kot</w:t>
      </w:r>
      <w:r w:rsidR="009E7F39" w:rsidRPr="008B037E">
        <w:rPr>
          <w:rFonts w:asciiTheme="minorHAnsi" w:hAnsiTheme="minorHAnsi" w:cstheme="minorHAnsi"/>
          <w:sz w:val="22"/>
        </w:rPr>
        <w:t xml:space="preserve"> vertikalno področje. </w:t>
      </w:r>
      <w:r w:rsidR="00A00EAE" w:rsidRPr="008B037E">
        <w:rPr>
          <w:rFonts w:asciiTheme="minorHAnsi" w:hAnsiTheme="minorHAnsi" w:cstheme="minorHAnsi"/>
          <w:sz w:val="22"/>
        </w:rPr>
        <w:t>Zato načrtujejo spodbujati digitalizacijo na različnih področjih, posebej so izpostavljena vlaganja v digitalno preobrazbo gospodarstva.</w:t>
      </w:r>
    </w:p>
    <w:p w14:paraId="709A31AC" w14:textId="1C4D4880" w:rsidR="00752DC7" w:rsidRPr="008B037E" w:rsidRDefault="00752DC7" w:rsidP="00CF5DFA">
      <w:pPr>
        <w:spacing w:before="0" w:line="276" w:lineRule="auto"/>
        <w:rPr>
          <w:rFonts w:asciiTheme="minorHAnsi" w:eastAsia="Times New Roman" w:hAnsiTheme="minorHAnsi" w:cstheme="minorHAnsi"/>
          <w:sz w:val="22"/>
        </w:rPr>
      </w:pPr>
      <w:r w:rsidRPr="008B037E">
        <w:rPr>
          <w:rFonts w:asciiTheme="minorHAnsi" w:eastAsia="Times New Roman" w:hAnsiTheme="minorHAnsi" w:cstheme="minorHAnsi"/>
          <w:sz w:val="22"/>
        </w:rPr>
        <w:t xml:space="preserve">Okvir za osredotočanje sredstev sklada SPP, ki bodo namenjena preobrazbi gospodarstva nedvomno predstavlja </w:t>
      </w:r>
      <w:r w:rsidR="00DD077D" w:rsidRPr="008B037E">
        <w:rPr>
          <w:rFonts w:asciiTheme="minorHAnsi" w:eastAsia="Times New Roman" w:hAnsiTheme="minorHAnsi" w:cstheme="minorHAnsi"/>
          <w:sz w:val="22"/>
        </w:rPr>
        <w:t xml:space="preserve">tudi </w:t>
      </w:r>
      <w:r w:rsidRPr="008B037E">
        <w:rPr>
          <w:rFonts w:asciiTheme="minorHAnsi" w:eastAsia="Times New Roman" w:hAnsiTheme="minorHAnsi" w:cstheme="minorHAnsi"/>
          <w:b/>
          <w:sz w:val="22"/>
        </w:rPr>
        <w:t>Strategija pametne specializacije</w:t>
      </w:r>
      <w:r w:rsidRPr="008B037E">
        <w:rPr>
          <w:rFonts w:asciiTheme="minorHAnsi" w:eastAsia="Times New Roman" w:hAnsiTheme="minorHAnsi" w:cstheme="minorHAnsi"/>
          <w:sz w:val="22"/>
        </w:rPr>
        <w:t xml:space="preserve"> (prenova je omogočitveni pogoj v obdobju 2021-2027) in </w:t>
      </w:r>
      <w:r w:rsidR="00BA4CB4">
        <w:rPr>
          <w:rFonts w:asciiTheme="minorHAnsi" w:eastAsia="Times New Roman" w:hAnsiTheme="minorHAnsi" w:cstheme="minorHAnsi"/>
          <w:sz w:val="22"/>
        </w:rPr>
        <w:t>je</w:t>
      </w:r>
      <w:r w:rsidR="00BA4CB4" w:rsidRPr="008B037E">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iz S4 preimenovana v S5 – trajnostna. V osnutku prenovljene strategije</w:t>
      </w:r>
      <w:r w:rsidR="00CF5DFA">
        <w:rPr>
          <w:rFonts w:asciiTheme="minorHAnsi" w:eastAsia="Times New Roman" w:hAnsiTheme="minorHAnsi" w:cstheme="minorHAnsi"/>
          <w:sz w:val="22"/>
        </w:rPr>
        <w:t xml:space="preserve"> </w:t>
      </w:r>
      <w:r w:rsidRPr="008B037E">
        <w:rPr>
          <w:rFonts w:asciiTheme="minorHAnsi" w:eastAsia="Times New Roman" w:hAnsiTheme="minorHAnsi" w:cstheme="minorHAnsi"/>
          <w:sz w:val="22"/>
        </w:rPr>
        <w:t>(S5) je jasno postavljen osrednji cilj</w:t>
      </w:r>
      <w:r w:rsidR="00CF5DFA">
        <w:rPr>
          <w:rFonts w:asciiTheme="minorHAnsi" w:eastAsia="Times New Roman" w:hAnsiTheme="minorHAnsi" w:cstheme="minorHAnsi"/>
          <w:sz w:val="22"/>
        </w:rPr>
        <w:t>,</w:t>
      </w:r>
      <w:r w:rsidRPr="008B037E">
        <w:rPr>
          <w:rFonts w:asciiTheme="minorHAnsi" w:eastAsia="Times New Roman" w:hAnsiTheme="minorHAnsi" w:cstheme="minorHAnsi"/>
          <w:sz w:val="22"/>
        </w:rPr>
        <w:t xml:space="preserve"> to je zeleni prehod, ki ga ni moč uresničiti brez ustreznih znanj in kompetenc kot tudi ne brez ustreznih in dovolj razvitih orodij, torej ključnih omogočitvenih tehnologij, vključno z IKT. Definirana so področja, kjer Slovenija izkazuje kritično maso kapacitet in kompetenc za dosego tega cilja predstavljajo prednostna področija S5: Pametna mesta in skupnosti, Horizontalna mreža informacijsko-komunikacijskih tehnologij (HOM IKT), Zdravje-medicina, Pametne stavbe in dom z lesno verigo, Trajnostna pridelava hrane, Mreže za prehod v krožno gospodarstvo, Trajnostni turizem, </w:t>
      </w:r>
      <w:r w:rsidRPr="008B037E">
        <w:rPr>
          <w:rFonts w:asciiTheme="minorHAnsi" w:eastAsia="Times New Roman" w:hAnsiTheme="minorHAnsi" w:cstheme="minorHAnsi"/>
          <w:sz w:val="22"/>
        </w:rPr>
        <w:lastRenderedPageBreak/>
        <w:t>Mobilnost, Tovarne prihodnosti, Materiali kot končni produkti. Gre za področja, kjer ima Slovenija inovacijski potencial za vzpostavitev konkurenčne prednosti za umeščanje na globalnih trgih ter s tem za krepitev svoje prepoznavnosti.</w:t>
      </w:r>
    </w:p>
    <w:p w14:paraId="76F660AA" w14:textId="031543BB" w:rsidR="00E429BB" w:rsidRPr="00E429BB" w:rsidRDefault="00F53E2B">
      <w:pPr>
        <w:spacing w:before="0" w:after="0" w:line="276" w:lineRule="auto"/>
        <w:rPr>
          <w:rFonts w:asciiTheme="minorHAnsi" w:eastAsia="Times New Roman" w:hAnsiTheme="minorHAnsi" w:cstheme="minorHAnsi"/>
          <w:sz w:val="22"/>
        </w:rPr>
      </w:pPr>
      <w:r>
        <w:rPr>
          <w:rFonts w:asciiTheme="minorHAnsi" w:eastAsia="Times New Roman" w:hAnsiTheme="minorHAnsi" w:cstheme="minorHAnsi"/>
          <w:sz w:val="22"/>
        </w:rPr>
        <w:t xml:space="preserve">Kot izhaja iz </w:t>
      </w:r>
      <w:r w:rsidRPr="00F53E2B">
        <w:rPr>
          <w:rFonts w:asciiTheme="minorHAnsi" w:eastAsia="Times New Roman" w:hAnsiTheme="minorHAnsi" w:cstheme="minorHAnsi"/>
          <w:b/>
          <w:sz w:val="22"/>
        </w:rPr>
        <w:t>Območnega razvojnega programa SAŠA regije 2021-2027</w:t>
      </w:r>
      <w:r w:rsidR="00B70CEA">
        <w:rPr>
          <w:rStyle w:val="Sprotnaopomba-sklic"/>
          <w:rFonts w:asciiTheme="minorHAnsi" w:eastAsia="Times New Roman" w:hAnsiTheme="minorHAnsi" w:cstheme="minorHAnsi"/>
          <w:b/>
          <w:sz w:val="22"/>
        </w:rPr>
        <w:footnoteReference w:id="9"/>
      </w:r>
      <w:r>
        <w:rPr>
          <w:rFonts w:asciiTheme="minorHAnsi" w:eastAsia="Times New Roman" w:hAnsiTheme="minorHAnsi" w:cstheme="minorHAnsi"/>
          <w:sz w:val="22"/>
        </w:rPr>
        <w:t xml:space="preserve"> je eden izmed s</w:t>
      </w:r>
      <w:r w:rsidRPr="00F53E2B">
        <w:rPr>
          <w:rFonts w:asciiTheme="minorHAnsi" w:eastAsia="Times New Roman" w:hAnsiTheme="minorHAnsi" w:cstheme="minorHAnsi"/>
          <w:sz w:val="22"/>
        </w:rPr>
        <w:t>trateški</w:t>
      </w:r>
      <w:r>
        <w:rPr>
          <w:rFonts w:asciiTheme="minorHAnsi" w:eastAsia="Times New Roman" w:hAnsiTheme="minorHAnsi" w:cstheme="minorHAnsi"/>
          <w:sz w:val="22"/>
        </w:rPr>
        <w:t xml:space="preserve">h ciljev </w:t>
      </w:r>
      <w:r w:rsidRPr="00F53E2B">
        <w:rPr>
          <w:rFonts w:asciiTheme="minorHAnsi" w:eastAsia="Times New Roman" w:hAnsiTheme="minorHAnsi" w:cstheme="minorHAnsi"/>
          <w:sz w:val="22"/>
        </w:rPr>
        <w:t xml:space="preserve">za nizkoogljično, zeleno in povezano </w:t>
      </w:r>
      <w:r>
        <w:rPr>
          <w:rFonts w:asciiTheme="minorHAnsi" w:eastAsia="Times New Roman" w:hAnsiTheme="minorHAnsi" w:cstheme="minorHAnsi"/>
          <w:sz w:val="22"/>
        </w:rPr>
        <w:t>regijo SAŠA do leta 2030</w:t>
      </w:r>
      <w:r w:rsidR="00F34756">
        <w:rPr>
          <w:rFonts w:asciiTheme="minorHAnsi" w:eastAsia="Times New Roman" w:hAnsiTheme="minorHAnsi" w:cstheme="minorHAnsi"/>
          <w:sz w:val="22"/>
        </w:rPr>
        <w:t xml:space="preserve"> </w:t>
      </w:r>
      <w:r w:rsidRPr="00F53E2B">
        <w:rPr>
          <w:rFonts w:asciiTheme="minorHAnsi" w:eastAsia="Times New Roman" w:hAnsiTheme="minorHAnsi" w:cstheme="minorHAnsi"/>
          <w:sz w:val="22"/>
        </w:rPr>
        <w:t xml:space="preserve">spodbujanje trajnostne večmodalne </w:t>
      </w:r>
      <w:r>
        <w:rPr>
          <w:rFonts w:asciiTheme="minorHAnsi" w:eastAsia="Times New Roman" w:hAnsiTheme="minorHAnsi" w:cstheme="minorHAnsi"/>
          <w:sz w:val="22"/>
        </w:rPr>
        <w:t>mobilnosti in povezljivost</w:t>
      </w:r>
      <w:r w:rsidR="00F34756">
        <w:rPr>
          <w:rFonts w:asciiTheme="minorHAnsi" w:eastAsia="Times New Roman" w:hAnsiTheme="minorHAnsi" w:cstheme="minorHAnsi"/>
          <w:sz w:val="22"/>
        </w:rPr>
        <w:t>i</w:t>
      </w:r>
      <w:r>
        <w:rPr>
          <w:rFonts w:asciiTheme="minorHAnsi" w:eastAsia="Times New Roman" w:hAnsiTheme="minorHAnsi" w:cstheme="minorHAnsi"/>
          <w:sz w:val="22"/>
        </w:rPr>
        <w:t xml:space="preserve">. </w:t>
      </w:r>
      <w:r w:rsidR="00A00EAE" w:rsidRPr="008B037E">
        <w:rPr>
          <w:rFonts w:asciiTheme="minorHAnsi" w:eastAsia="Times New Roman" w:hAnsiTheme="minorHAnsi" w:cstheme="minorHAnsi"/>
          <w:sz w:val="22"/>
        </w:rPr>
        <w:t>V regiji prepoznavajo pomen naložb na področju trajnostne mobilnosti</w:t>
      </w:r>
      <w:r w:rsidR="00F403D8" w:rsidRPr="008B037E">
        <w:rPr>
          <w:rFonts w:asciiTheme="minorHAnsi" w:eastAsia="Times New Roman" w:hAnsiTheme="minorHAnsi" w:cstheme="minorHAnsi"/>
          <w:sz w:val="22"/>
        </w:rPr>
        <w:t xml:space="preserve">, ki </w:t>
      </w:r>
      <w:r>
        <w:rPr>
          <w:rFonts w:asciiTheme="minorHAnsi" w:eastAsia="Times New Roman" w:hAnsiTheme="minorHAnsi" w:cstheme="minorHAnsi"/>
          <w:sz w:val="22"/>
        </w:rPr>
        <w:t>poleg spodbujanja kakovostnega življenja prebivalstva,</w:t>
      </w:r>
      <w:r w:rsidR="00F403D8" w:rsidRPr="008B037E">
        <w:rPr>
          <w:rFonts w:asciiTheme="minorHAnsi" w:eastAsia="Times New Roman" w:hAnsiTheme="minorHAnsi" w:cstheme="minorHAnsi"/>
          <w:sz w:val="22"/>
        </w:rPr>
        <w:t xml:space="preserve"> za deležnike predstavlja tudi pomemben element pravičnega prehoda.</w:t>
      </w:r>
      <w:r w:rsidR="00A00EAE" w:rsidRPr="008B037E">
        <w:rPr>
          <w:rFonts w:asciiTheme="minorHAnsi" w:eastAsia="Times New Roman" w:hAnsiTheme="minorHAnsi" w:cstheme="minorHAnsi"/>
          <w:sz w:val="22"/>
        </w:rPr>
        <w:t xml:space="preserve"> </w:t>
      </w:r>
      <w:r w:rsidR="00F403D8" w:rsidRPr="008B037E">
        <w:rPr>
          <w:rFonts w:asciiTheme="minorHAnsi" w:eastAsia="Times New Roman" w:hAnsiTheme="minorHAnsi" w:cstheme="minorHAnsi"/>
          <w:sz w:val="22"/>
        </w:rPr>
        <w:t>Na področju trajnostne mobilnosti</w:t>
      </w:r>
      <w:r w:rsidR="00A00EAE" w:rsidRPr="008B037E">
        <w:rPr>
          <w:rFonts w:asciiTheme="minorHAnsi" w:eastAsia="Times New Roman" w:hAnsiTheme="minorHAnsi" w:cstheme="minorHAnsi"/>
          <w:sz w:val="22"/>
        </w:rPr>
        <w:t xml:space="preserve"> med ključnimi naložbami </w:t>
      </w:r>
      <w:r w:rsidR="00F403D8" w:rsidRPr="008B037E">
        <w:rPr>
          <w:rFonts w:asciiTheme="minorHAnsi" w:eastAsia="Times New Roman" w:hAnsiTheme="minorHAnsi" w:cstheme="minorHAnsi"/>
          <w:sz w:val="22"/>
        </w:rPr>
        <w:t xml:space="preserve">v regiji </w:t>
      </w:r>
      <w:r w:rsidR="00A00EAE" w:rsidRPr="008B037E">
        <w:rPr>
          <w:rFonts w:asciiTheme="minorHAnsi" w:eastAsia="Times New Roman" w:hAnsiTheme="minorHAnsi" w:cstheme="minorHAnsi"/>
          <w:sz w:val="22"/>
        </w:rPr>
        <w:t>vid</w:t>
      </w:r>
      <w:r>
        <w:rPr>
          <w:rFonts w:asciiTheme="minorHAnsi" w:eastAsia="Times New Roman" w:hAnsiTheme="minorHAnsi" w:cstheme="minorHAnsi"/>
          <w:sz w:val="22"/>
        </w:rPr>
        <w:t>i</w:t>
      </w:r>
      <w:r w:rsidR="00A00EAE" w:rsidRPr="008B037E">
        <w:rPr>
          <w:rFonts w:asciiTheme="minorHAnsi" w:eastAsia="Times New Roman" w:hAnsiTheme="minorHAnsi" w:cstheme="minorHAnsi"/>
          <w:sz w:val="22"/>
        </w:rPr>
        <w:t>jo tiste, s katerimi bo regijo mogoče bolje povezati z drugimi deli države in pa tiste</w:t>
      </w:r>
      <w:r>
        <w:rPr>
          <w:rFonts w:asciiTheme="minorHAnsi" w:eastAsia="Times New Roman" w:hAnsiTheme="minorHAnsi" w:cstheme="minorHAnsi"/>
          <w:sz w:val="22"/>
        </w:rPr>
        <w:t>,</w:t>
      </w:r>
      <w:r w:rsidR="00A00EAE" w:rsidRPr="008B037E">
        <w:rPr>
          <w:rFonts w:asciiTheme="minorHAnsi" w:eastAsia="Times New Roman" w:hAnsiTheme="minorHAnsi" w:cstheme="minorHAnsi"/>
          <w:sz w:val="22"/>
        </w:rPr>
        <w:t xml:space="preserve"> s katerimi bo mogoče </w:t>
      </w:r>
      <w:r>
        <w:rPr>
          <w:rFonts w:asciiTheme="minorHAnsi" w:eastAsia="Times New Roman" w:hAnsiTheme="minorHAnsi" w:cstheme="minorHAnsi"/>
          <w:sz w:val="22"/>
        </w:rPr>
        <w:t>zagotoviti infrastrukturne pogoje za hojo in kolesarjenje ter zmanjšati odvisnost od avtomobilov,</w:t>
      </w:r>
      <w:r w:rsidR="00A00EAE" w:rsidRPr="008B037E">
        <w:rPr>
          <w:rFonts w:asciiTheme="minorHAnsi" w:eastAsia="Times New Roman" w:hAnsiTheme="minorHAnsi" w:cstheme="minorHAnsi"/>
          <w:sz w:val="22"/>
        </w:rPr>
        <w:t xml:space="preserve"> predvsem </w:t>
      </w:r>
      <w:r>
        <w:rPr>
          <w:rFonts w:asciiTheme="minorHAnsi" w:eastAsia="Times New Roman" w:hAnsiTheme="minorHAnsi" w:cstheme="minorHAnsi"/>
          <w:sz w:val="22"/>
        </w:rPr>
        <w:t xml:space="preserve">z zagotavljanjem učinkovitega </w:t>
      </w:r>
      <w:r w:rsidR="00A00EAE" w:rsidRPr="008B037E">
        <w:rPr>
          <w:rFonts w:asciiTheme="minorHAnsi" w:eastAsia="Times New Roman" w:hAnsiTheme="minorHAnsi" w:cstheme="minorHAnsi"/>
          <w:sz w:val="22"/>
        </w:rPr>
        <w:t>JPP</w:t>
      </w:r>
      <w:r>
        <w:rPr>
          <w:rFonts w:asciiTheme="minorHAnsi" w:eastAsia="Times New Roman" w:hAnsiTheme="minorHAnsi" w:cstheme="minorHAnsi"/>
          <w:sz w:val="22"/>
        </w:rPr>
        <w:t>, spodbujanjem sopotništva in multimodalnosti</w:t>
      </w:r>
      <w:r w:rsidR="00A00EAE" w:rsidRPr="008B037E">
        <w:rPr>
          <w:rFonts w:asciiTheme="minorHAnsi" w:eastAsia="Times New Roman" w:hAnsiTheme="minorHAnsi" w:cstheme="minorHAnsi"/>
          <w:sz w:val="22"/>
        </w:rPr>
        <w:t>. Na področju mobilnosti med drugim prepoznavajo tudi pomen uporabe sodobnih tehnologij</w:t>
      </w:r>
      <w:r w:rsidR="00F34756">
        <w:rPr>
          <w:rFonts w:asciiTheme="minorHAnsi" w:eastAsia="Times New Roman" w:hAnsiTheme="minorHAnsi" w:cstheme="minorHAnsi"/>
          <w:sz w:val="22"/>
        </w:rPr>
        <w:t xml:space="preserve"> in ustrezno digitalno opremljenost </w:t>
      </w:r>
      <w:r w:rsidR="00251B85">
        <w:rPr>
          <w:rFonts w:asciiTheme="minorHAnsi" w:eastAsia="Times New Roman" w:hAnsiTheme="minorHAnsi" w:cstheme="minorHAnsi"/>
          <w:sz w:val="22"/>
        </w:rPr>
        <w:t>območja za regijo</w:t>
      </w:r>
      <w:r w:rsidR="00F34756">
        <w:rPr>
          <w:rFonts w:asciiTheme="minorHAnsi" w:eastAsia="Times New Roman" w:hAnsiTheme="minorHAnsi" w:cstheme="minorHAnsi"/>
          <w:sz w:val="22"/>
        </w:rPr>
        <w:t xml:space="preserve"> prihodnosti.</w:t>
      </w:r>
      <w:r w:rsidR="003F1996">
        <w:rPr>
          <w:rFonts w:asciiTheme="minorHAnsi" w:eastAsia="Times New Roman" w:hAnsiTheme="minorHAnsi" w:cstheme="minorHAnsi"/>
          <w:sz w:val="22"/>
        </w:rPr>
        <w:t xml:space="preserve"> Strateški cilji ORP SAŠA 2021-2027 so skladni s strateškimi prioritetami in cilji obeh že v letu 2017 izdelanih celostnih prometnih strategij (v nadaljevanju: CPS, angl. SUMP) Mestne občine Velenje in Občine Šoštanj. </w:t>
      </w:r>
    </w:p>
    <w:p w14:paraId="143354F3" w14:textId="750C6C88" w:rsidR="00B70CEA" w:rsidRPr="008B037E" w:rsidRDefault="00B70CEA">
      <w:pPr>
        <w:spacing w:before="0" w:after="0" w:line="276" w:lineRule="auto"/>
        <w:rPr>
          <w:rFonts w:asciiTheme="minorHAnsi" w:eastAsia="Times New Roman" w:hAnsiTheme="minorHAnsi" w:cstheme="minorHAnsi"/>
          <w:sz w:val="22"/>
        </w:rPr>
      </w:pPr>
    </w:p>
    <w:p w14:paraId="469322A2" w14:textId="65C10F1E" w:rsidR="0023574D" w:rsidRPr="008B037E" w:rsidRDefault="00F403D8" w:rsidP="0023574D">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t xml:space="preserve">Deležniki v SAŠA regiji </w:t>
      </w:r>
      <w:r w:rsidR="00A00EAE" w:rsidRPr="008B037E">
        <w:rPr>
          <w:rFonts w:asciiTheme="minorHAnsi" w:eastAsia="Times New Roman" w:hAnsiTheme="minorHAnsi" w:cstheme="minorHAnsi"/>
          <w:sz w:val="22"/>
        </w:rPr>
        <w:t xml:space="preserve">prepoznavajo </w:t>
      </w:r>
      <w:r w:rsidR="00121FD6" w:rsidRPr="008B037E">
        <w:rPr>
          <w:rFonts w:asciiTheme="minorHAnsi" w:eastAsia="Times New Roman" w:hAnsiTheme="minorHAnsi" w:cstheme="minorHAnsi"/>
          <w:sz w:val="22"/>
        </w:rPr>
        <w:t>tudi potrebo po vlaganjih na področjih</w:t>
      </w:r>
      <w:r w:rsidR="00A00EAE" w:rsidRPr="008B037E">
        <w:rPr>
          <w:rFonts w:asciiTheme="minorHAnsi" w:eastAsia="Times New Roman" w:hAnsiTheme="minorHAnsi" w:cstheme="minorHAnsi"/>
          <w:sz w:val="22"/>
        </w:rPr>
        <w:t xml:space="preserve"> povezan</w:t>
      </w:r>
      <w:r w:rsidR="00121FD6" w:rsidRPr="008B037E">
        <w:rPr>
          <w:rFonts w:asciiTheme="minorHAnsi" w:eastAsia="Times New Roman" w:hAnsiTheme="minorHAnsi" w:cstheme="minorHAnsi"/>
          <w:sz w:val="22"/>
        </w:rPr>
        <w:t>ih</w:t>
      </w:r>
      <w:r w:rsidR="00A00EAE" w:rsidRPr="008B037E">
        <w:rPr>
          <w:rFonts w:asciiTheme="minorHAnsi" w:eastAsia="Times New Roman" w:hAnsiTheme="minorHAnsi" w:cstheme="minorHAnsi"/>
          <w:sz w:val="22"/>
        </w:rPr>
        <w:t xml:space="preserve"> z d</w:t>
      </w:r>
      <w:r w:rsidRPr="008B037E">
        <w:rPr>
          <w:rFonts w:asciiTheme="minorHAnsi" w:eastAsia="Times New Roman" w:hAnsiTheme="minorHAnsi" w:cstheme="minorHAnsi"/>
          <w:sz w:val="22"/>
        </w:rPr>
        <w:t>ružbenim</w:t>
      </w:r>
      <w:r w:rsidR="00C33B4A">
        <w:rPr>
          <w:rFonts w:asciiTheme="minorHAnsi" w:eastAsia="Times New Roman" w:hAnsiTheme="minorHAnsi" w:cstheme="minorHAnsi"/>
          <w:sz w:val="22"/>
        </w:rPr>
        <w:t>i</w:t>
      </w:r>
      <w:r w:rsidRPr="008B037E">
        <w:rPr>
          <w:rFonts w:asciiTheme="minorHAnsi" w:eastAsia="Times New Roman" w:hAnsiTheme="minorHAnsi" w:cstheme="minorHAnsi"/>
          <w:sz w:val="22"/>
        </w:rPr>
        <w:t xml:space="preserve"> vidiki njenega razvoja, saj bodo ta bistvenega pomena pri zagotavljanju pravičnega prehoda.</w:t>
      </w:r>
      <w:r w:rsidR="00121FD6" w:rsidRPr="008B037E">
        <w:rPr>
          <w:rFonts w:asciiTheme="minorHAnsi" w:eastAsia="Times New Roman" w:hAnsiTheme="minorHAnsi" w:cstheme="minorHAnsi"/>
          <w:sz w:val="22"/>
        </w:rPr>
        <w:t xml:space="preserve"> Tako </w:t>
      </w:r>
      <w:r w:rsidRPr="008B037E">
        <w:rPr>
          <w:rFonts w:asciiTheme="minorHAnsi" w:eastAsia="Times New Roman" w:hAnsiTheme="minorHAnsi" w:cstheme="minorHAnsi"/>
          <w:sz w:val="22"/>
        </w:rPr>
        <w:t xml:space="preserve">na tem področju </w:t>
      </w:r>
      <w:r w:rsidR="00121FD6" w:rsidRPr="008B037E">
        <w:rPr>
          <w:rFonts w:asciiTheme="minorHAnsi" w:eastAsia="Times New Roman" w:hAnsiTheme="minorHAnsi" w:cstheme="minorHAnsi"/>
          <w:sz w:val="22"/>
        </w:rPr>
        <w:t xml:space="preserve">predvidevajo ukrepe s katerimi želijo </w:t>
      </w:r>
      <w:r w:rsidR="00121FD6" w:rsidRPr="008B037E">
        <w:rPr>
          <w:rFonts w:asciiTheme="minorHAnsi" w:hAnsiTheme="minorHAnsi" w:cstheme="minorHAnsi"/>
          <w:sz w:val="22"/>
        </w:rPr>
        <w:t xml:space="preserve">učinkovito in hitro spodbuditi dostop do zaposlitve, s poudarkom na </w:t>
      </w:r>
      <w:r w:rsidR="00C33B4A" w:rsidRPr="008B037E">
        <w:rPr>
          <w:rFonts w:asciiTheme="minorHAnsi" w:hAnsiTheme="minorHAnsi" w:cstheme="minorHAnsi"/>
          <w:sz w:val="22"/>
        </w:rPr>
        <w:t>ranljiv</w:t>
      </w:r>
      <w:r w:rsidR="00C33B4A">
        <w:rPr>
          <w:rFonts w:asciiTheme="minorHAnsi" w:hAnsiTheme="minorHAnsi" w:cstheme="minorHAnsi"/>
          <w:sz w:val="22"/>
        </w:rPr>
        <w:t>ih</w:t>
      </w:r>
      <w:r w:rsidR="00C33B4A" w:rsidRPr="008B037E">
        <w:rPr>
          <w:rFonts w:asciiTheme="minorHAnsi" w:hAnsiTheme="minorHAnsi" w:cstheme="minorHAnsi"/>
          <w:sz w:val="22"/>
        </w:rPr>
        <w:t xml:space="preserve"> </w:t>
      </w:r>
      <w:r w:rsidR="00121FD6" w:rsidRPr="008B037E">
        <w:rPr>
          <w:rFonts w:asciiTheme="minorHAnsi" w:hAnsiTheme="minorHAnsi" w:cstheme="minorHAnsi"/>
          <w:sz w:val="22"/>
        </w:rPr>
        <w:t>ciljn</w:t>
      </w:r>
      <w:r w:rsidR="00C33B4A">
        <w:rPr>
          <w:rFonts w:asciiTheme="minorHAnsi" w:hAnsiTheme="minorHAnsi" w:cstheme="minorHAnsi"/>
          <w:sz w:val="22"/>
        </w:rPr>
        <w:t>ih</w:t>
      </w:r>
      <w:r w:rsidR="00121FD6" w:rsidRPr="008B037E">
        <w:rPr>
          <w:rFonts w:asciiTheme="minorHAnsi" w:hAnsiTheme="minorHAnsi" w:cstheme="minorHAnsi"/>
          <w:sz w:val="22"/>
        </w:rPr>
        <w:t xml:space="preserve"> skupin</w:t>
      </w:r>
      <w:r w:rsidR="00C33B4A">
        <w:rPr>
          <w:rFonts w:asciiTheme="minorHAnsi" w:hAnsiTheme="minorHAnsi" w:cstheme="minorHAnsi"/>
          <w:sz w:val="22"/>
        </w:rPr>
        <w:t>ah</w:t>
      </w:r>
      <w:r w:rsidR="0023574D" w:rsidRPr="008B037E">
        <w:rPr>
          <w:rFonts w:asciiTheme="minorHAnsi" w:hAnsiTheme="minorHAnsi" w:cstheme="minorHAnsi"/>
          <w:sz w:val="22"/>
        </w:rPr>
        <w:t xml:space="preserve"> ter</w:t>
      </w:r>
      <w:r w:rsidR="00121FD6" w:rsidRPr="008B037E">
        <w:rPr>
          <w:rFonts w:asciiTheme="minorHAnsi" w:hAnsiTheme="minorHAnsi" w:cstheme="minorHAnsi"/>
          <w:sz w:val="22"/>
        </w:rPr>
        <w:t xml:space="preserve"> hitrejšemu prehodu mladih na trg dela.</w:t>
      </w:r>
      <w:r w:rsidR="009E0F6A" w:rsidRPr="008B037E">
        <w:rPr>
          <w:rFonts w:asciiTheme="minorHAnsi" w:hAnsiTheme="minorHAnsi" w:cstheme="minorHAnsi"/>
          <w:sz w:val="22"/>
        </w:rPr>
        <w:t xml:space="preserve"> Na področju zapo</w:t>
      </w:r>
      <w:r w:rsidR="009E0F6A" w:rsidRPr="008B037E">
        <w:rPr>
          <w:rFonts w:asciiTheme="minorHAnsi" w:eastAsia="Times New Roman" w:hAnsiTheme="minorHAnsi" w:cstheme="minorHAnsi"/>
          <w:sz w:val="22"/>
        </w:rPr>
        <w:t>slovanja bodo pomembni tudi ukrepi za posodobitev programov za prilagoditev trga dela in spodbujanje mobilnosti delovne sile, pa tudi v</w:t>
      </w:r>
      <w:r w:rsidR="00121FD6" w:rsidRPr="008B037E">
        <w:rPr>
          <w:rFonts w:asciiTheme="minorHAnsi" w:eastAsia="Times New Roman" w:hAnsiTheme="minorHAnsi" w:cstheme="minorHAnsi"/>
          <w:sz w:val="22"/>
        </w:rPr>
        <w:t>zpostavitev regionalnih centrov in/ali programov za spodbujanje zaposlovanja</w:t>
      </w:r>
      <w:r w:rsidR="009E0F6A" w:rsidRPr="008B037E">
        <w:rPr>
          <w:rFonts w:asciiTheme="minorHAnsi" w:eastAsia="Times New Roman" w:hAnsiTheme="minorHAnsi" w:cstheme="minorHAnsi"/>
          <w:sz w:val="22"/>
        </w:rPr>
        <w:t>. Na področju izobraževanja v regiji med drugim prepoznavajo potrebo po vlaganjih v boljše sodelovanje delodajalcev z različnimi izobraževalnimi institucijami, v štipendiranje tistih, ki bi želeli pridobiti višjo izobrazbo in za programe s katerimi bi pri ciljnih populacijah</w:t>
      </w:r>
      <w:r w:rsidR="0023574D" w:rsidRPr="008B037E">
        <w:rPr>
          <w:rFonts w:asciiTheme="minorHAnsi" w:eastAsia="Times New Roman" w:hAnsiTheme="minorHAnsi" w:cstheme="minorHAnsi"/>
          <w:sz w:val="22"/>
        </w:rPr>
        <w:t>, tudi pri mladih,</w:t>
      </w:r>
      <w:r w:rsidR="009E0F6A" w:rsidRPr="008B037E">
        <w:rPr>
          <w:rFonts w:asciiTheme="minorHAnsi" w:eastAsia="Times New Roman" w:hAnsiTheme="minorHAnsi" w:cstheme="minorHAnsi"/>
          <w:sz w:val="22"/>
        </w:rPr>
        <w:t xml:space="preserve"> krepili ključne kompetence. Po mnenju deležnikov so izjemnega pomena tudi vlaganja na področju vseživljenjskega učenja in prekvalifikacij pa tudi na področju dviga izobrazbene</w:t>
      </w:r>
      <w:r w:rsidR="009A654B" w:rsidRPr="008B037E">
        <w:rPr>
          <w:rFonts w:asciiTheme="minorHAnsi" w:eastAsia="Times New Roman" w:hAnsiTheme="minorHAnsi" w:cstheme="minorHAnsi"/>
          <w:sz w:val="22"/>
        </w:rPr>
        <w:t xml:space="preserve"> ravni posameznikov </w:t>
      </w:r>
      <w:r w:rsidR="0023574D" w:rsidRPr="008B037E">
        <w:rPr>
          <w:rFonts w:asciiTheme="minorHAnsi" w:eastAsia="Times New Roman" w:hAnsiTheme="minorHAnsi" w:cstheme="minorHAnsi"/>
          <w:sz w:val="22"/>
        </w:rPr>
        <w:t xml:space="preserve">na srednješolski in višji ravni in podaljševanju obdobja delovne aktivnosti. </w:t>
      </w:r>
    </w:p>
    <w:p w14:paraId="2D2FCC5D" w14:textId="77777777" w:rsidR="00A00EAE" w:rsidRPr="008B037E" w:rsidRDefault="00A00EAE" w:rsidP="00720E72">
      <w:pPr>
        <w:spacing w:before="0" w:after="0" w:line="276" w:lineRule="auto"/>
        <w:ind w:left="2160"/>
        <w:contextualSpacing/>
        <w:rPr>
          <w:rFonts w:asciiTheme="minorHAnsi" w:eastAsia="Times New Roman" w:hAnsiTheme="minorHAnsi" w:cstheme="minorHAnsi"/>
          <w:sz w:val="22"/>
        </w:rPr>
      </w:pPr>
    </w:p>
    <w:p w14:paraId="045DC10A" w14:textId="77777777" w:rsidR="004742D2" w:rsidRPr="008B037E" w:rsidRDefault="004742D2" w:rsidP="00720E72">
      <w:pPr>
        <w:pStyle w:val="Odstavekseznama"/>
        <w:spacing w:after="0"/>
        <w:jc w:val="both"/>
        <w:rPr>
          <w:rFonts w:cstheme="minorHAnsi"/>
          <w:i/>
        </w:rPr>
      </w:pPr>
      <w:r w:rsidRPr="008B037E">
        <w:rPr>
          <w:rFonts w:cstheme="minorHAnsi"/>
        </w:rPr>
        <w:t>2.4. Predvidene vrste operacij</w:t>
      </w:r>
    </w:p>
    <w:tbl>
      <w:tblPr>
        <w:tblStyle w:val="Tabelamrea"/>
        <w:tblW w:w="0" w:type="auto"/>
        <w:tblInd w:w="0" w:type="dxa"/>
        <w:tblLook w:val="04A0" w:firstRow="1" w:lastRow="0" w:firstColumn="1" w:lastColumn="0" w:noHBand="0" w:noVBand="1"/>
      </w:tblPr>
      <w:tblGrid>
        <w:gridCol w:w="9062"/>
      </w:tblGrid>
      <w:tr w:rsidR="004742D2" w:rsidRPr="008B037E" w14:paraId="4AEE8676" w14:textId="77777777" w:rsidTr="00C511B3">
        <w:trPr>
          <w:trHeight w:val="306"/>
        </w:trPr>
        <w:tc>
          <w:tcPr>
            <w:tcW w:w="9288" w:type="dxa"/>
            <w:tcBorders>
              <w:top w:val="single" w:sz="4" w:space="0" w:color="auto"/>
              <w:left w:val="single" w:sz="4" w:space="0" w:color="auto"/>
              <w:bottom w:val="single" w:sz="4" w:space="0" w:color="auto"/>
              <w:right w:val="single" w:sz="4" w:space="0" w:color="auto"/>
            </w:tcBorders>
            <w:hideMark/>
          </w:tcPr>
          <w:p w14:paraId="1BC3440C"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Besedilno polje [12 000]</w:t>
            </w:r>
          </w:p>
          <w:p w14:paraId="2D1648AB" w14:textId="77777777" w:rsidR="004742D2" w:rsidRPr="008B037E" w:rsidRDefault="004742D2" w:rsidP="00720E72">
            <w:pPr>
              <w:spacing w:before="0" w:after="0" w:line="276" w:lineRule="auto"/>
              <w:rPr>
                <w:rFonts w:asciiTheme="minorHAnsi" w:hAnsiTheme="minorHAnsi" w:cstheme="minorHAnsi"/>
                <w:i/>
                <w:sz w:val="22"/>
              </w:rPr>
            </w:pPr>
          </w:p>
        </w:tc>
      </w:tr>
    </w:tbl>
    <w:p w14:paraId="3BA93B81" w14:textId="77777777" w:rsidR="004742D2" w:rsidRPr="008B037E" w:rsidRDefault="004742D2" w:rsidP="00720E72">
      <w:pPr>
        <w:pStyle w:val="Odstavekseznama"/>
        <w:spacing w:after="0"/>
        <w:jc w:val="both"/>
        <w:rPr>
          <w:rFonts w:cstheme="minorHAnsi"/>
        </w:rPr>
      </w:pPr>
    </w:p>
    <w:p w14:paraId="665C8726" w14:textId="7AB826AA" w:rsidR="004742D2" w:rsidRPr="008B037E" w:rsidRDefault="004742D2" w:rsidP="00720E72">
      <w:pPr>
        <w:pStyle w:val="Odstavekseznama"/>
        <w:spacing w:after="0"/>
        <w:jc w:val="both"/>
        <w:rPr>
          <w:rFonts w:cstheme="minorHAnsi"/>
        </w:rPr>
      </w:pPr>
      <w:r w:rsidRPr="008B037E">
        <w:rPr>
          <w:rFonts w:cstheme="minorHAnsi"/>
          <w:i/>
        </w:rPr>
        <w:t xml:space="preserve">Sklic: člen </w:t>
      </w:r>
      <w:r w:rsidR="00816ECE" w:rsidRPr="00954A52">
        <w:rPr>
          <w:rFonts w:cstheme="minorHAnsi"/>
          <w:i/>
        </w:rPr>
        <w:t>11</w:t>
      </w:r>
      <w:r w:rsidRPr="00954A52">
        <w:rPr>
          <w:rFonts w:cstheme="minorHAnsi"/>
          <w:i/>
        </w:rPr>
        <w:t>(</w:t>
      </w:r>
      <w:r w:rsidRPr="008B037E">
        <w:rPr>
          <w:rFonts w:cstheme="minorHAnsi"/>
          <w:i/>
        </w:rPr>
        <w:t>2)(g)</w:t>
      </w:r>
    </w:p>
    <w:tbl>
      <w:tblPr>
        <w:tblStyle w:val="Tabelamrea"/>
        <w:tblW w:w="0" w:type="auto"/>
        <w:tblInd w:w="0" w:type="dxa"/>
        <w:tblLook w:val="04A0" w:firstRow="1" w:lastRow="0" w:firstColumn="1" w:lastColumn="0" w:noHBand="0" w:noVBand="1"/>
      </w:tblPr>
      <w:tblGrid>
        <w:gridCol w:w="9062"/>
      </w:tblGrid>
      <w:tr w:rsidR="004742D2" w:rsidRPr="008B037E" w14:paraId="3BD2A315" w14:textId="77777777" w:rsidTr="00954A52">
        <w:tc>
          <w:tcPr>
            <w:tcW w:w="9288" w:type="dxa"/>
            <w:tcBorders>
              <w:top w:val="single" w:sz="4" w:space="0" w:color="auto"/>
              <w:left w:val="single" w:sz="4" w:space="0" w:color="auto"/>
              <w:bottom w:val="single" w:sz="4" w:space="0" w:color="auto"/>
              <w:right w:val="single" w:sz="4" w:space="0" w:color="auto"/>
            </w:tcBorders>
            <w:hideMark/>
          </w:tcPr>
          <w:p w14:paraId="06B99AFE"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xml:space="preserve">– predvidene vrste operacij in njihov pričakovani prispevek k lajšanju učinka podnebnega prehoda. </w:t>
            </w:r>
          </w:p>
          <w:p w14:paraId="197BC21D" w14:textId="77777777" w:rsidR="004742D2" w:rsidRPr="008B037E" w:rsidRDefault="004742D2" w:rsidP="002F712E">
            <w:pPr>
              <w:spacing w:before="0" w:after="0" w:line="276" w:lineRule="auto"/>
              <w:rPr>
                <w:rFonts w:asciiTheme="minorHAnsi" w:hAnsiTheme="minorHAnsi" w:cstheme="minorHAnsi"/>
                <w:i/>
                <w:sz w:val="22"/>
              </w:rPr>
            </w:pPr>
          </w:p>
        </w:tc>
      </w:tr>
    </w:tbl>
    <w:p w14:paraId="43015141" w14:textId="77777777" w:rsidR="004742D2" w:rsidRPr="008B037E" w:rsidRDefault="004742D2" w:rsidP="00720E72">
      <w:pPr>
        <w:spacing w:before="0" w:after="0" w:line="276" w:lineRule="auto"/>
        <w:ind w:left="1800"/>
        <w:contextualSpacing/>
        <w:rPr>
          <w:rFonts w:asciiTheme="minorHAnsi" w:hAnsiTheme="minorHAnsi" w:cstheme="minorHAnsi"/>
          <w:sz w:val="22"/>
          <w:highlight w:val="yellow"/>
        </w:rPr>
      </w:pPr>
    </w:p>
    <w:p w14:paraId="341CA726" w14:textId="77777777" w:rsidR="00CC2F14" w:rsidRPr="008B037E" w:rsidRDefault="00CC2F14" w:rsidP="00651CE7">
      <w:pPr>
        <w:spacing w:before="0" w:after="0" w:line="276" w:lineRule="auto"/>
        <w:rPr>
          <w:rFonts w:ascii="Calibri" w:hAnsi="Calibri"/>
          <w:sz w:val="22"/>
        </w:rPr>
      </w:pPr>
    </w:p>
    <w:p w14:paraId="1D991513" w14:textId="21AD54B4" w:rsidR="00651CE7" w:rsidRPr="008B037E" w:rsidRDefault="00A356E3" w:rsidP="00651CE7">
      <w:pPr>
        <w:shd w:val="clear" w:color="auto" w:fill="D9E2F3" w:themeFill="accent5" w:themeFillTint="33"/>
        <w:spacing w:before="0" w:after="0" w:line="276" w:lineRule="auto"/>
        <w:rPr>
          <w:rFonts w:asciiTheme="minorHAnsi" w:hAnsiTheme="minorHAnsi" w:cstheme="minorHAnsi"/>
          <w:b/>
          <w:i/>
          <w:sz w:val="22"/>
        </w:rPr>
      </w:pPr>
      <w:r w:rsidRPr="002970DA">
        <w:rPr>
          <w:rFonts w:asciiTheme="minorHAnsi" w:hAnsiTheme="minorHAnsi"/>
          <w:b/>
          <w:i/>
          <w:sz w:val="22"/>
        </w:rPr>
        <w:t>Strateški c</w:t>
      </w:r>
      <w:r w:rsidR="00651CE7" w:rsidRPr="002970DA">
        <w:rPr>
          <w:rFonts w:asciiTheme="minorHAnsi" w:hAnsiTheme="minorHAnsi"/>
          <w:b/>
          <w:i/>
          <w:sz w:val="22"/>
        </w:rPr>
        <w:t>ilj</w:t>
      </w:r>
      <w:r w:rsidRPr="002970DA">
        <w:rPr>
          <w:rFonts w:asciiTheme="minorHAnsi" w:hAnsiTheme="minorHAnsi"/>
          <w:b/>
          <w:i/>
          <w:sz w:val="22"/>
        </w:rPr>
        <w:t xml:space="preserve"> 1</w:t>
      </w:r>
      <w:r w:rsidR="00651CE7" w:rsidRPr="00C853D3">
        <w:rPr>
          <w:rFonts w:asciiTheme="minorHAnsi" w:hAnsiTheme="minorHAnsi" w:cstheme="minorHAnsi"/>
          <w:b/>
          <w:i/>
          <w:sz w:val="22"/>
        </w:rPr>
        <w:t>:</w:t>
      </w:r>
      <w:r w:rsidR="00651CE7" w:rsidRPr="008B037E">
        <w:rPr>
          <w:rFonts w:asciiTheme="minorHAnsi" w:hAnsiTheme="minorHAnsi" w:cstheme="minorHAnsi"/>
          <w:b/>
          <w:i/>
          <w:sz w:val="22"/>
        </w:rPr>
        <w:t xml:space="preserve"> </w:t>
      </w:r>
      <w:r w:rsidR="0002085B" w:rsidRPr="008B037E">
        <w:rPr>
          <w:rFonts w:asciiTheme="minorHAnsi" w:hAnsiTheme="minorHAnsi" w:cstheme="minorHAnsi"/>
          <w:b/>
          <w:i/>
          <w:sz w:val="22"/>
        </w:rPr>
        <w:t>Pravični energetski prehod</w:t>
      </w:r>
    </w:p>
    <w:p w14:paraId="14CA4D00" w14:textId="77777777" w:rsidR="00651CE7" w:rsidRPr="008B037E" w:rsidRDefault="00651CE7" w:rsidP="00651CE7">
      <w:pPr>
        <w:spacing w:before="0" w:after="0" w:line="276" w:lineRule="auto"/>
        <w:rPr>
          <w:rFonts w:asciiTheme="minorHAnsi" w:hAnsiTheme="minorHAnsi" w:cstheme="minorHAnsi"/>
          <w:i/>
          <w:sz w:val="22"/>
        </w:rPr>
      </w:pPr>
    </w:p>
    <w:p w14:paraId="2FF8BD56" w14:textId="6601143E" w:rsidR="00651CE7" w:rsidRPr="008B037E" w:rsidRDefault="00651CE7" w:rsidP="00651CE7">
      <w:pPr>
        <w:spacing w:before="0" w:after="0" w:line="276" w:lineRule="auto"/>
        <w:rPr>
          <w:rFonts w:asciiTheme="minorHAnsi" w:hAnsiTheme="minorHAnsi" w:cstheme="minorHAnsi"/>
          <w:i/>
          <w:sz w:val="22"/>
        </w:rPr>
      </w:pPr>
      <w:r w:rsidRPr="008B037E">
        <w:rPr>
          <w:rFonts w:asciiTheme="minorHAnsi" w:hAnsiTheme="minorHAnsi" w:cstheme="minorHAnsi"/>
          <w:sz w:val="22"/>
        </w:rPr>
        <w:t xml:space="preserve">Energetsko prestrukturiranje regije je eden od ključnih izzivov in hkrati temelj za </w:t>
      </w:r>
      <w:r w:rsidR="0002085B" w:rsidRPr="008B037E">
        <w:rPr>
          <w:rFonts w:asciiTheme="minorHAnsi" w:hAnsiTheme="minorHAnsi" w:cstheme="minorHAnsi"/>
          <w:sz w:val="22"/>
        </w:rPr>
        <w:t xml:space="preserve">njeno razogljičenje. </w:t>
      </w:r>
      <w:r w:rsidRPr="008B037E">
        <w:rPr>
          <w:rFonts w:asciiTheme="minorHAnsi" w:hAnsiTheme="minorHAnsi" w:cstheme="minorHAnsi"/>
          <w:sz w:val="22"/>
        </w:rPr>
        <w:t xml:space="preserve"> Za doseganje tega cilja smo identiricirali </w:t>
      </w:r>
      <w:r w:rsidR="00D06940" w:rsidRPr="008B037E">
        <w:rPr>
          <w:rFonts w:asciiTheme="minorHAnsi" w:hAnsiTheme="minorHAnsi" w:cstheme="minorHAnsi"/>
          <w:sz w:val="22"/>
        </w:rPr>
        <w:t>naslednje</w:t>
      </w:r>
      <w:r w:rsidR="0002085B" w:rsidRPr="008B037E">
        <w:rPr>
          <w:rFonts w:asciiTheme="minorHAnsi" w:hAnsiTheme="minorHAnsi" w:cstheme="minorHAnsi"/>
          <w:sz w:val="22"/>
        </w:rPr>
        <w:t xml:space="preserve"> ukrep</w:t>
      </w:r>
      <w:r w:rsidR="00D06940" w:rsidRPr="008B037E">
        <w:rPr>
          <w:rFonts w:asciiTheme="minorHAnsi" w:hAnsiTheme="minorHAnsi" w:cstheme="minorHAnsi"/>
          <w:i/>
          <w:sz w:val="22"/>
        </w:rPr>
        <w:t>e:</w:t>
      </w:r>
    </w:p>
    <w:p w14:paraId="748458E4" w14:textId="1187EFBA" w:rsidR="00651CE7" w:rsidRPr="008B037E" w:rsidRDefault="00491287" w:rsidP="00491287">
      <w:pPr>
        <w:spacing w:after="0"/>
        <w:rPr>
          <w:rFonts w:asciiTheme="minorHAnsi" w:hAnsiTheme="minorHAnsi" w:cstheme="minorHAnsi"/>
          <w:sz w:val="22"/>
        </w:rPr>
      </w:pPr>
      <w:r w:rsidRPr="008B037E">
        <w:rPr>
          <w:rFonts w:asciiTheme="minorHAnsi" w:hAnsiTheme="minorHAnsi" w:cstheme="minorHAnsi"/>
          <w:sz w:val="22"/>
        </w:rPr>
        <w:lastRenderedPageBreak/>
        <w:t xml:space="preserve">1.1. </w:t>
      </w:r>
      <w:r w:rsidRPr="008B037E">
        <w:rPr>
          <w:rFonts w:asciiTheme="minorHAnsi" w:hAnsiTheme="minorHAnsi" w:cstheme="minorHAnsi"/>
          <w:b/>
          <w:sz w:val="22"/>
        </w:rPr>
        <w:t>P</w:t>
      </w:r>
      <w:r w:rsidR="00651CE7" w:rsidRPr="008B037E">
        <w:rPr>
          <w:rFonts w:asciiTheme="minorHAnsi" w:hAnsiTheme="minorHAnsi" w:cstheme="minorHAnsi"/>
          <w:b/>
          <w:sz w:val="22"/>
        </w:rPr>
        <w:t>reureditev sistema daljinskega ogrevanja,</w:t>
      </w:r>
      <w:r w:rsidR="00651CE7" w:rsidRPr="008B037E">
        <w:rPr>
          <w:rFonts w:asciiTheme="minorHAnsi" w:hAnsiTheme="minorHAnsi" w:cstheme="minorHAnsi"/>
          <w:sz w:val="22"/>
        </w:rPr>
        <w:t xml:space="preserve"> ki bo zagotavljal cenovno dostopen vir energije za ogrevanje in hlajenje ob hkratnem ohranjanju kakovosti zraka. V okviru tega ukrepa bomo podpirali naslednje </w:t>
      </w:r>
      <w:r w:rsidR="00CE47B7">
        <w:rPr>
          <w:rFonts w:asciiTheme="minorHAnsi" w:hAnsiTheme="minorHAnsi" w:cstheme="minorHAnsi"/>
          <w:sz w:val="22"/>
        </w:rPr>
        <w:t>povezane</w:t>
      </w:r>
      <w:r w:rsidR="00651CE7" w:rsidRPr="008B037E">
        <w:rPr>
          <w:rFonts w:asciiTheme="minorHAnsi" w:hAnsiTheme="minorHAnsi" w:cstheme="minorHAnsi"/>
          <w:sz w:val="22"/>
        </w:rPr>
        <w:t xml:space="preserve"> aktivnosti:</w:t>
      </w:r>
    </w:p>
    <w:p w14:paraId="14531C11" w14:textId="1A92434C" w:rsidR="00651CE7" w:rsidRPr="008B037E" w:rsidRDefault="00BC127F" w:rsidP="006B3A6D">
      <w:pPr>
        <w:pStyle w:val="Odstavekseznama"/>
        <w:numPr>
          <w:ilvl w:val="0"/>
          <w:numId w:val="34"/>
        </w:numPr>
        <w:spacing w:after="0"/>
        <w:jc w:val="both"/>
        <w:rPr>
          <w:strike/>
        </w:rPr>
      </w:pPr>
      <w:r w:rsidRPr="008B037E">
        <w:rPr>
          <w:rFonts w:cstheme="minorHAnsi"/>
        </w:rPr>
        <w:t>n</w:t>
      </w:r>
      <w:r w:rsidR="00651CE7" w:rsidRPr="008B037E">
        <w:rPr>
          <w:rFonts w:cstheme="minorHAnsi"/>
        </w:rPr>
        <w:t xml:space="preserve">aložbe v </w:t>
      </w:r>
      <w:r w:rsidR="000F6B89">
        <w:rPr>
          <w:rFonts w:cstheme="minorHAnsi"/>
        </w:rPr>
        <w:t xml:space="preserve">obstoječo </w:t>
      </w:r>
      <w:r w:rsidR="00651CE7" w:rsidRPr="008B037E">
        <w:rPr>
          <w:rFonts w:cstheme="minorHAnsi"/>
        </w:rPr>
        <w:t xml:space="preserve">infrastrukturo, ki bo omogočila </w:t>
      </w:r>
      <w:r w:rsidR="000F6B89">
        <w:rPr>
          <w:rFonts w:cstheme="minorHAnsi"/>
        </w:rPr>
        <w:t>optimizacijo (zmanjšanje izgub) in</w:t>
      </w:r>
      <w:r w:rsidR="00651CE7" w:rsidRPr="008B037E">
        <w:rPr>
          <w:rFonts w:cstheme="minorHAnsi"/>
        </w:rPr>
        <w:t xml:space="preserve"> </w:t>
      </w:r>
      <w:r w:rsidR="002054AD" w:rsidRPr="008B037E">
        <w:rPr>
          <w:rFonts w:cstheme="minorHAnsi"/>
        </w:rPr>
        <w:t xml:space="preserve">postopen </w:t>
      </w:r>
      <w:r w:rsidR="00651CE7" w:rsidRPr="008B037E">
        <w:rPr>
          <w:rFonts w:cstheme="minorHAnsi"/>
        </w:rPr>
        <w:t xml:space="preserve">zagon </w:t>
      </w:r>
      <w:r w:rsidR="00207CBA" w:rsidRPr="008B037E">
        <w:rPr>
          <w:rFonts w:cstheme="minorHAnsi"/>
        </w:rPr>
        <w:t>energetsko učinkovite</w:t>
      </w:r>
      <w:r w:rsidR="007A339E" w:rsidRPr="008B037E">
        <w:rPr>
          <w:rFonts w:cstheme="minorHAnsi"/>
        </w:rPr>
        <w:t xml:space="preserve"> </w:t>
      </w:r>
      <w:r w:rsidR="00651CE7" w:rsidRPr="008B037E">
        <w:rPr>
          <w:rFonts w:cstheme="minorHAnsi"/>
        </w:rPr>
        <w:t>decentralizirane proizvodnje toplotne energije in/ali hladu</w:t>
      </w:r>
      <w:r w:rsidR="00207CBA" w:rsidRPr="008B037E">
        <w:rPr>
          <w:rFonts w:cstheme="minorHAnsi"/>
        </w:rPr>
        <w:t xml:space="preserve"> skladno z URE</w:t>
      </w:r>
      <w:r w:rsidR="00651CE7" w:rsidRPr="008B037E">
        <w:rPr>
          <w:rFonts w:cstheme="minorHAnsi"/>
        </w:rPr>
        <w:t xml:space="preserve">. Podpora bo namenjena tudi vlaganjem v </w:t>
      </w:r>
      <w:r w:rsidR="00651CE7" w:rsidRPr="008B037E">
        <w:t xml:space="preserve">vključitev alternativnih virov proizvodnje toplotne energije na distribucijski </w:t>
      </w:r>
      <w:r w:rsidR="007A339E" w:rsidRPr="008B037E">
        <w:t>sistem</w:t>
      </w:r>
      <w:r w:rsidR="00A15322" w:rsidRPr="008B037E">
        <w:t>ih</w:t>
      </w:r>
      <w:r w:rsidR="00D00B3F">
        <w:t>;</w:t>
      </w:r>
    </w:p>
    <w:p w14:paraId="536867C1" w14:textId="511AA836" w:rsidR="00651CE7" w:rsidRPr="008B037E" w:rsidRDefault="00491287" w:rsidP="006B3A6D">
      <w:pPr>
        <w:pStyle w:val="Odstavekseznama"/>
        <w:numPr>
          <w:ilvl w:val="0"/>
          <w:numId w:val="34"/>
        </w:numPr>
        <w:spacing w:after="0"/>
        <w:jc w:val="both"/>
        <w:rPr>
          <w:rFonts w:cstheme="minorHAnsi"/>
        </w:rPr>
      </w:pPr>
      <w:r w:rsidRPr="008B037E">
        <w:rPr>
          <w:rFonts w:cstheme="minorHAnsi"/>
        </w:rPr>
        <w:t>n</w:t>
      </w:r>
      <w:r w:rsidR="00651CE7" w:rsidRPr="008B037E">
        <w:rPr>
          <w:rFonts w:cstheme="minorHAnsi"/>
        </w:rPr>
        <w:t xml:space="preserve">aložbe v kapacitete za </w:t>
      </w:r>
      <w:r w:rsidR="00A95DFC" w:rsidRPr="008B037E">
        <w:rPr>
          <w:rFonts w:cstheme="minorHAnsi"/>
        </w:rPr>
        <w:t xml:space="preserve">zanesljivo </w:t>
      </w:r>
      <w:r w:rsidR="00E248E0" w:rsidRPr="008B037E">
        <w:rPr>
          <w:rFonts w:cstheme="minorHAnsi"/>
        </w:rPr>
        <w:t xml:space="preserve">preskrbo s toplotno energijo </w:t>
      </w:r>
      <w:r w:rsidR="00651CE7" w:rsidRPr="008B037E">
        <w:rPr>
          <w:rFonts w:cstheme="minorHAnsi"/>
        </w:rPr>
        <w:t xml:space="preserve">in/ali </w:t>
      </w:r>
      <w:r w:rsidR="00E248E0" w:rsidRPr="008B037E">
        <w:rPr>
          <w:rFonts w:cstheme="minorHAnsi"/>
        </w:rPr>
        <w:t>hladom</w:t>
      </w:r>
      <w:r w:rsidR="00651CE7" w:rsidRPr="008B037E">
        <w:rPr>
          <w:rFonts w:cstheme="minorHAnsi"/>
        </w:rPr>
        <w:t xml:space="preserve">, ki bo temeljila na obnovljivih virih energije. Vlaganja v nove proizvodne kapacitete bodo ob zmanjševanju emisij toplogrednih plinov prispevala tudi k </w:t>
      </w:r>
      <w:r w:rsidR="0002085B" w:rsidRPr="008B037E">
        <w:rPr>
          <w:rFonts w:cstheme="minorHAnsi"/>
        </w:rPr>
        <w:t xml:space="preserve">ohranjanju </w:t>
      </w:r>
      <w:r w:rsidR="00651CE7" w:rsidRPr="008B037E">
        <w:rPr>
          <w:rFonts w:cstheme="minorHAnsi"/>
        </w:rPr>
        <w:t>kakovosti zraka</w:t>
      </w:r>
      <w:r w:rsidR="00D81616">
        <w:rPr>
          <w:rFonts w:cstheme="minorHAnsi"/>
        </w:rPr>
        <w:t>;</w:t>
      </w:r>
      <w:r w:rsidR="00651CE7" w:rsidRPr="008B037E">
        <w:rPr>
          <w:rFonts w:cstheme="minorHAnsi"/>
        </w:rPr>
        <w:t xml:space="preserve"> </w:t>
      </w:r>
    </w:p>
    <w:p w14:paraId="54B2E783" w14:textId="6E2EF2A2" w:rsidR="00E248E0" w:rsidRPr="008B037E" w:rsidRDefault="00D81616" w:rsidP="006B3A6D">
      <w:pPr>
        <w:pStyle w:val="Odstavekseznama"/>
        <w:numPr>
          <w:ilvl w:val="0"/>
          <w:numId w:val="34"/>
        </w:numPr>
        <w:spacing w:after="0"/>
        <w:jc w:val="both"/>
      </w:pPr>
      <w:r>
        <w:t>p</w:t>
      </w:r>
      <w:r w:rsidR="00651CE7" w:rsidRPr="008B037E">
        <w:t>odpora digitalizaciji oskrbe in napajanja distribucijskega sistema toplote/hladu za prilagoditev za sprejem OVE.</w:t>
      </w:r>
    </w:p>
    <w:p w14:paraId="0D8948D6" w14:textId="77777777" w:rsidR="00E248E0" w:rsidRPr="008B037E" w:rsidRDefault="00E248E0" w:rsidP="00E248E0">
      <w:pPr>
        <w:pStyle w:val="Odstavekseznama"/>
        <w:spacing w:after="0"/>
        <w:ind w:left="1440"/>
      </w:pPr>
    </w:p>
    <w:p w14:paraId="1896DBAF" w14:textId="598A0B15" w:rsidR="00651CE7" w:rsidRPr="008B037E" w:rsidRDefault="00491287" w:rsidP="00735041">
      <w:pPr>
        <w:rPr>
          <w:rFonts w:asciiTheme="minorHAnsi" w:hAnsiTheme="minorHAnsi" w:cstheme="minorHAnsi"/>
          <w:sz w:val="22"/>
        </w:rPr>
      </w:pPr>
      <w:r w:rsidRPr="008B037E">
        <w:rPr>
          <w:rFonts w:asciiTheme="minorHAnsi" w:hAnsiTheme="minorHAnsi" w:cstheme="minorHAnsi"/>
          <w:b/>
          <w:sz w:val="22"/>
        </w:rPr>
        <w:t>1.2. Ukrepi za izboljšanje energetske učinkovitosti v gospodarstvu</w:t>
      </w:r>
      <w:r w:rsidRPr="008B037E">
        <w:rPr>
          <w:rFonts w:asciiTheme="minorHAnsi" w:hAnsiTheme="minorHAnsi" w:cstheme="minorHAnsi"/>
          <w:sz w:val="22"/>
        </w:rPr>
        <w:t xml:space="preserve"> </w:t>
      </w:r>
      <w:r w:rsidR="007230EF" w:rsidRPr="007230EF">
        <w:rPr>
          <w:rFonts w:asciiTheme="minorHAnsi" w:hAnsiTheme="minorHAnsi" w:cstheme="minorHAnsi"/>
          <w:sz w:val="22"/>
        </w:rPr>
        <w:t xml:space="preserve">bodo podprti v okviru podpore produktivnim naložbam (Strateški cilj </w:t>
      </w:r>
      <w:r w:rsidR="007230EF">
        <w:rPr>
          <w:rFonts w:asciiTheme="minorHAnsi" w:hAnsiTheme="minorHAnsi" w:cstheme="minorHAnsi"/>
          <w:sz w:val="22"/>
        </w:rPr>
        <w:t>4</w:t>
      </w:r>
      <w:r w:rsidR="007230EF" w:rsidRPr="007230EF">
        <w:rPr>
          <w:rFonts w:asciiTheme="minorHAnsi" w:hAnsiTheme="minorHAnsi" w:cstheme="minorHAnsi"/>
          <w:sz w:val="22"/>
        </w:rPr>
        <w:t>), v kombinacijami z aktivnostmi za razogljičenje, snovno učinkovitost, ustvarjanje delovnih mest ipd.</w:t>
      </w:r>
    </w:p>
    <w:p w14:paraId="21D2AB8D" w14:textId="364F1BD9" w:rsidR="00651CE7" w:rsidRPr="008B037E" w:rsidRDefault="007230EF" w:rsidP="00491287">
      <w:pPr>
        <w:pStyle w:val="Odstavekseznama"/>
        <w:spacing w:after="0"/>
        <w:ind w:left="0"/>
        <w:rPr>
          <w:rFonts w:cstheme="minorHAnsi"/>
        </w:rPr>
      </w:pPr>
      <w:r>
        <w:rPr>
          <w:rFonts w:cstheme="minorHAnsi"/>
        </w:rPr>
        <w:t xml:space="preserve">1.3. </w:t>
      </w:r>
      <w:r w:rsidR="00651CE7" w:rsidRPr="008B037E">
        <w:rPr>
          <w:rFonts w:cstheme="minorHAnsi"/>
        </w:rPr>
        <w:t xml:space="preserve">Na področju </w:t>
      </w:r>
      <w:r w:rsidR="00D06940" w:rsidRPr="008B037E">
        <w:rPr>
          <w:rFonts w:cstheme="minorHAnsi"/>
        </w:rPr>
        <w:t xml:space="preserve">spodbujanja rabe </w:t>
      </w:r>
      <w:r w:rsidR="00651CE7" w:rsidRPr="00BC45B1">
        <w:rPr>
          <w:rFonts w:cstheme="minorHAnsi"/>
          <w:b/>
        </w:rPr>
        <w:t>obnovljivih virov energije</w:t>
      </w:r>
      <w:r w:rsidR="00651CE7" w:rsidRPr="008B037E">
        <w:rPr>
          <w:rFonts w:cstheme="minorHAnsi"/>
        </w:rPr>
        <w:t xml:space="preserve"> </w:t>
      </w:r>
      <w:r w:rsidR="00D06940" w:rsidRPr="008B037E">
        <w:rPr>
          <w:rFonts w:cstheme="minorHAnsi"/>
        </w:rPr>
        <w:t>bomo podpirali:</w:t>
      </w:r>
    </w:p>
    <w:p w14:paraId="2C50D4FF" w14:textId="3F72738C" w:rsidR="00651CE7" w:rsidRPr="008B037E" w:rsidRDefault="00D06940" w:rsidP="00BC45B1">
      <w:pPr>
        <w:spacing w:after="0"/>
        <w:ind w:left="709" w:hanging="709"/>
        <w:rPr>
          <w:rFonts w:asciiTheme="minorHAnsi" w:hAnsiTheme="minorHAnsi" w:cstheme="minorHAnsi"/>
          <w:sz w:val="22"/>
        </w:rPr>
      </w:pPr>
      <w:r w:rsidRPr="00782EFE">
        <w:rPr>
          <w:rFonts w:asciiTheme="minorHAnsi" w:hAnsiTheme="minorHAnsi" w:cstheme="minorHAnsi"/>
          <w:b/>
          <w:sz w:val="22"/>
        </w:rPr>
        <w:t>1.</w:t>
      </w:r>
      <w:r w:rsidR="007230EF" w:rsidRPr="00782EFE">
        <w:rPr>
          <w:rFonts w:asciiTheme="minorHAnsi" w:hAnsiTheme="minorHAnsi" w:cstheme="minorHAnsi"/>
          <w:b/>
          <w:sz w:val="22"/>
        </w:rPr>
        <w:t>3</w:t>
      </w:r>
      <w:r w:rsidRPr="00782EFE">
        <w:rPr>
          <w:rFonts w:asciiTheme="minorHAnsi" w:hAnsiTheme="minorHAnsi" w:cstheme="minorHAnsi"/>
          <w:b/>
          <w:sz w:val="22"/>
        </w:rPr>
        <w:t>.</w:t>
      </w:r>
      <w:r w:rsidR="00735041" w:rsidRPr="00782EFE">
        <w:rPr>
          <w:rFonts w:asciiTheme="minorHAnsi" w:hAnsiTheme="minorHAnsi" w:cstheme="minorHAnsi"/>
          <w:b/>
          <w:sz w:val="22"/>
        </w:rPr>
        <w:t>1</w:t>
      </w:r>
      <w:r w:rsidR="00735041">
        <w:rPr>
          <w:rFonts w:asciiTheme="minorHAnsi" w:hAnsiTheme="minorHAnsi" w:cstheme="minorHAnsi"/>
          <w:sz w:val="22"/>
        </w:rPr>
        <w:tab/>
      </w:r>
      <w:r w:rsidRPr="008B037E">
        <w:rPr>
          <w:rFonts w:asciiTheme="minorHAnsi" w:hAnsiTheme="minorHAnsi" w:cstheme="minorHAnsi"/>
          <w:b/>
          <w:sz w:val="22"/>
        </w:rPr>
        <w:t>D</w:t>
      </w:r>
      <w:r w:rsidR="00651CE7" w:rsidRPr="008B037E">
        <w:rPr>
          <w:rFonts w:asciiTheme="minorHAnsi" w:hAnsiTheme="minorHAnsi" w:cstheme="minorHAnsi"/>
          <w:b/>
          <w:sz w:val="22"/>
        </w:rPr>
        <w:t>vig proizvodnih zmogljivosti</w:t>
      </w:r>
      <w:r w:rsidR="00651CE7" w:rsidRPr="008B037E">
        <w:rPr>
          <w:rFonts w:asciiTheme="minorHAnsi" w:hAnsiTheme="minorHAnsi" w:cstheme="minorHAnsi"/>
          <w:sz w:val="22"/>
        </w:rPr>
        <w:t xml:space="preserve"> </w:t>
      </w:r>
      <w:r w:rsidR="00651CE7" w:rsidRPr="008B037E">
        <w:rPr>
          <w:rFonts w:asciiTheme="minorHAnsi" w:hAnsiTheme="minorHAnsi" w:cstheme="minorHAnsi"/>
          <w:b/>
          <w:sz w:val="22"/>
        </w:rPr>
        <w:t xml:space="preserve">za </w:t>
      </w:r>
      <w:r w:rsidR="00735041">
        <w:rPr>
          <w:rFonts w:asciiTheme="minorHAnsi" w:hAnsiTheme="minorHAnsi" w:cstheme="minorHAnsi"/>
          <w:b/>
          <w:sz w:val="22"/>
        </w:rPr>
        <w:t xml:space="preserve">zanesljivo </w:t>
      </w:r>
      <w:r w:rsidR="00651CE7" w:rsidRPr="007230EF">
        <w:rPr>
          <w:rFonts w:asciiTheme="minorHAnsi" w:hAnsiTheme="minorHAnsi" w:cstheme="minorHAnsi"/>
          <w:b/>
          <w:sz w:val="22"/>
        </w:rPr>
        <w:t>proizvodnjo</w:t>
      </w:r>
      <w:r w:rsidR="00651CE7" w:rsidRPr="008B037E">
        <w:rPr>
          <w:rFonts w:asciiTheme="minorHAnsi" w:hAnsiTheme="minorHAnsi" w:cstheme="minorHAnsi"/>
          <w:b/>
          <w:sz w:val="22"/>
        </w:rPr>
        <w:t xml:space="preserve"> električne energije iz OVE</w:t>
      </w:r>
      <w:r w:rsidR="00F71660" w:rsidRPr="008B037E">
        <w:rPr>
          <w:rFonts w:asciiTheme="minorHAnsi" w:hAnsiTheme="minorHAnsi" w:cstheme="minorHAnsi"/>
          <w:b/>
          <w:sz w:val="22"/>
        </w:rPr>
        <w:t>,</w:t>
      </w:r>
      <w:r w:rsidR="00F71660" w:rsidRPr="008B037E">
        <w:rPr>
          <w:rFonts w:asciiTheme="minorHAnsi" w:hAnsiTheme="minorHAnsi" w:cstheme="minorHAnsi"/>
          <w:sz w:val="22"/>
        </w:rPr>
        <w:t xml:space="preserve"> </w:t>
      </w:r>
      <w:r w:rsidR="002569A8" w:rsidRPr="008B037E">
        <w:rPr>
          <w:rFonts w:asciiTheme="minorHAnsi" w:hAnsiTheme="minorHAnsi" w:cstheme="minorHAnsi"/>
          <w:sz w:val="22"/>
        </w:rPr>
        <w:t xml:space="preserve">vključno z zmogljivostjo distribucijskega omrežja, </w:t>
      </w:r>
      <w:r w:rsidR="00BC45B1">
        <w:rPr>
          <w:rFonts w:asciiTheme="minorHAnsi" w:hAnsiTheme="minorHAnsi" w:cstheme="minorHAnsi"/>
          <w:sz w:val="22"/>
        </w:rPr>
        <w:t>vzpostavitve OVE skupnosti</w:t>
      </w:r>
      <w:r w:rsidR="00BC45B1" w:rsidRPr="00BC45B1">
        <w:t xml:space="preserve"> </w:t>
      </w:r>
      <w:r w:rsidR="00BC45B1" w:rsidRPr="00BC45B1">
        <w:rPr>
          <w:rFonts w:asciiTheme="minorHAnsi" w:hAnsiTheme="minorHAnsi" w:cstheme="minorHAnsi"/>
          <w:sz w:val="22"/>
        </w:rPr>
        <w:t>z namenom zmanjšanja energetske revščine in revitalizacije prostorsko in okoljsko degradiranih območij</w:t>
      </w:r>
      <w:r w:rsidR="004B5B8E">
        <w:rPr>
          <w:rFonts w:asciiTheme="minorHAnsi" w:hAnsiTheme="minorHAnsi" w:cstheme="minorHAnsi"/>
          <w:sz w:val="22"/>
        </w:rPr>
        <w:t>k</w:t>
      </w:r>
      <w:r w:rsidR="00BC45B1">
        <w:rPr>
          <w:rFonts w:asciiTheme="minorHAnsi" w:hAnsiTheme="minorHAnsi" w:cstheme="minorHAnsi"/>
          <w:sz w:val="22"/>
        </w:rPr>
        <w:t xml:space="preserve"> </w:t>
      </w:r>
      <w:r w:rsidR="004B5B8E" w:rsidRPr="004B5B8E">
        <w:rPr>
          <w:rFonts w:asciiTheme="minorHAnsi" w:hAnsiTheme="minorHAnsi" w:cstheme="minorHAnsi"/>
          <w:sz w:val="22"/>
        </w:rPr>
        <w:t>zlasti na območju TEŠ in na degradiranih območjih</w:t>
      </w:r>
      <w:r w:rsidR="004B5B8E">
        <w:rPr>
          <w:rFonts w:asciiTheme="minorHAnsi" w:hAnsiTheme="minorHAnsi" w:cstheme="minorHAnsi"/>
          <w:sz w:val="22"/>
        </w:rPr>
        <w:t>.</w:t>
      </w:r>
    </w:p>
    <w:p w14:paraId="3CB45EB9" w14:textId="6C6E6F93" w:rsidR="0087454A" w:rsidRPr="0087454A" w:rsidRDefault="00D06940" w:rsidP="0000670C">
      <w:pPr>
        <w:ind w:left="705" w:hanging="705"/>
        <w:rPr>
          <w:rFonts w:asciiTheme="minorHAnsi" w:hAnsiTheme="minorHAnsi" w:cstheme="minorHAnsi"/>
          <w:sz w:val="22"/>
        </w:rPr>
      </w:pPr>
      <w:r w:rsidRPr="0017743B">
        <w:rPr>
          <w:rFonts w:asciiTheme="minorHAnsi" w:hAnsiTheme="minorHAnsi" w:cstheme="minorHAnsi"/>
          <w:b/>
          <w:sz w:val="22"/>
        </w:rPr>
        <w:t>1.</w:t>
      </w:r>
      <w:r w:rsidR="007230EF" w:rsidRPr="0017743B">
        <w:rPr>
          <w:rFonts w:asciiTheme="minorHAnsi" w:hAnsiTheme="minorHAnsi" w:cstheme="minorHAnsi"/>
          <w:b/>
          <w:sz w:val="22"/>
        </w:rPr>
        <w:t>3</w:t>
      </w:r>
      <w:r w:rsidR="00967A1D" w:rsidRPr="0017743B">
        <w:rPr>
          <w:rFonts w:asciiTheme="minorHAnsi" w:hAnsiTheme="minorHAnsi" w:cstheme="minorHAnsi"/>
          <w:b/>
          <w:sz w:val="22"/>
        </w:rPr>
        <w:t>.</w:t>
      </w:r>
      <w:r w:rsidR="00BC45B1" w:rsidRPr="0017743B">
        <w:rPr>
          <w:rFonts w:asciiTheme="minorHAnsi" w:hAnsiTheme="minorHAnsi" w:cstheme="minorHAnsi"/>
          <w:b/>
          <w:sz w:val="22"/>
        </w:rPr>
        <w:t>2</w:t>
      </w:r>
      <w:r w:rsidR="00967A1D">
        <w:rPr>
          <w:rFonts w:asciiTheme="minorHAnsi" w:hAnsiTheme="minorHAnsi" w:cstheme="minorHAnsi"/>
          <w:b/>
          <w:sz w:val="22"/>
        </w:rPr>
        <w:tab/>
      </w:r>
      <w:r w:rsidR="00BC45B1" w:rsidRPr="00BC45B1">
        <w:rPr>
          <w:rFonts w:asciiTheme="minorHAnsi" w:hAnsiTheme="minorHAnsi" w:cstheme="minorHAnsi"/>
          <w:sz w:val="22"/>
        </w:rPr>
        <w:t>Za podporo</w:t>
      </w:r>
      <w:r w:rsidR="00BC45B1">
        <w:rPr>
          <w:rFonts w:asciiTheme="minorHAnsi" w:hAnsiTheme="minorHAnsi" w:cstheme="minorHAnsi"/>
          <w:b/>
          <w:sz w:val="22"/>
        </w:rPr>
        <w:t xml:space="preserve"> </w:t>
      </w:r>
      <w:r w:rsidRPr="008B037E">
        <w:rPr>
          <w:rFonts w:asciiTheme="minorHAnsi" w:hAnsiTheme="minorHAnsi" w:cstheme="minorHAnsi"/>
          <w:b/>
          <w:sz w:val="22"/>
        </w:rPr>
        <w:t>D</w:t>
      </w:r>
      <w:r w:rsidR="00651CE7" w:rsidRPr="008B037E">
        <w:rPr>
          <w:rFonts w:asciiTheme="minorHAnsi" w:hAnsiTheme="minorHAnsi" w:cstheme="minorHAnsi"/>
          <w:b/>
          <w:sz w:val="22"/>
        </w:rPr>
        <w:t>igitalizaciji in vzpostavit</w:t>
      </w:r>
      <w:r w:rsidRPr="008B037E">
        <w:rPr>
          <w:rFonts w:asciiTheme="minorHAnsi" w:hAnsiTheme="minorHAnsi" w:cstheme="minorHAnsi"/>
          <w:b/>
          <w:sz w:val="22"/>
        </w:rPr>
        <w:t>ev</w:t>
      </w:r>
      <w:r w:rsidR="00651CE7" w:rsidRPr="008B037E">
        <w:rPr>
          <w:rFonts w:asciiTheme="minorHAnsi" w:hAnsiTheme="minorHAnsi" w:cstheme="minorHAnsi"/>
          <w:b/>
          <w:sz w:val="22"/>
        </w:rPr>
        <w:t xml:space="preserve"> pametne energetske infrastrukture</w:t>
      </w:r>
      <w:r w:rsidR="00651CE7" w:rsidRPr="008B037E">
        <w:rPr>
          <w:rFonts w:asciiTheme="minorHAnsi" w:hAnsiTheme="minorHAnsi" w:cstheme="minorHAnsi"/>
          <w:sz w:val="22"/>
        </w:rPr>
        <w:t xml:space="preserve"> v kombinaciji z mobilnostjo in porabniki</w:t>
      </w:r>
      <w:r w:rsidR="00A57D2A" w:rsidRPr="008B037E">
        <w:rPr>
          <w:rFonts w:asciiTheme="minorHAnsi" w:hAnsiTheme="minorHAnsi" w:cstheme="minorHAnsi"/>
          <w:sz w:val="22"/>
        </w:rPr>
        <w:t>;n</w:t>
      </w:r>
      <w:r w:rsidR="00651CE7" w:rsidRPr="008B037E">
        <w:rPr>
          <w:rFonts w:asciiTheme="minorHAnsi" w:hAnsiTheme="minorHAnsi" w:cstheme="minorHAnsi"/>
          <w:sz w:val="22"/>
        </w:rPr>
        <w:t>aložbam v kapacitete za shranjevanje viškov energije iz OVE</w:t>
      </w:r>
      <w:r w:rsidR="0087454A" w:rsidRPr="0087454A">
        <w:rPr>
          <w:rFonts w:asciiTheme="minorHAnsi" w:hAnsiTheme="minorHAnsi" w:cstheme="minorHAnsi"/>
          <w:sz w:val="22"/>
        </w:rPr>
        <w:t>, se ne namenja sredstev SPP, pač pa drugih skladov Programa EKP 21-27 in drugih virov.</w:t>
      </w:r>
    </w:p>
    <w:p w14:paraId="49069325" w14:textId="1FDBC428" w:rsidR="00D154F0" w:rsidRPr="008B037E" w:rsidRDefault="00D06940" w:rsidP="00332191">
      <w:pPr>
        <w:spacing w:after="0"/>
        <w:ind w:left="709" w:hanging="709"/>
        <w:rPr>
          <w:rFonts w:asciiTheme="minorHAnsi" w:eastAsia="Times New Roman" w:hAnsiTheme="minorHAnsi" w:cstheme="minorHAnsi"/>
          <w:sz w:val="22"/>
        </w:rPr>
      </w:pPr>
      <w:r w:rsidRPr="0017743B">
        <w:rPr>
          <w:rFonts w:asciiTheme="minorHAnsi" w:hAnsiTheme="minorHAnsi" w:cstheme="minorHAnsi"/>
          <w:b/>
          <w:sz w:val="22"/>
        </w:rPr>
        <w:t>1.</w:t>
      </w:r>
      <w:r w:rsidR="00215C98" w:rsidRPr="0017743B">
        <w:rPr>
          <w:rFonts w:asciiTheme="minorHAnsi" w:hAnsiTheme="minorHAnsi" w:cstheme="minorHAnsi"/>
          <w:b/>
          <w:sz w:val="22"/>
        </w:rPr>
        <w:t>3</w:t>
      </w:r>
      <w:r w:rsidR="00332191" w:rsidRPr="0017743B">
        <w:rPr>
          <w:rFonts w:asciiTheme="minorHAnsi" w:hAnsiTheme="minorHAnsi" w:cstheme="minorHAnsi"/>
          <w:b/>
          <w:sz w:val="22"/>
        </w:rPr>
        <w:t>.</w:t>
      </w:r>
      <w:r w:rsidR="00554A75" w:rsidRPr="0017743B">
        <w:rPr>
          <w:rFonts w:asciiTheme="minorHAnsi" w:hAnsiTheme="minorHAnsi" w:cstheme="minorHAnsi"/>
          <w:b/>
          <w:sz w:val="22"/>
        </w:rPr>
        <w:t>3</w:t>
      </w:r>
      <w:r w:rsidR="00332191">
        <w:rPr>
          <w:rFonts w:asciiTheme="minorHAnsi" w:hAnsiTheme="minorHAnsi" w:cstheme="minorHAnsi"/>
          <w:b/>
          <w:sz w:val="22"/>
        </w:rPr>
        <w:tab/>
      </w:r>
      <w:r w:rsidRPr="006B3A6D">
        <w:rPr>
          <w:rFonts w:asciiTheme="minorHAnsi" w:hAnsiTheme="minorHAnsi" w:cstheme="minorHAnsi"/>
          <w:b/>
          <w:sz w:val="22"/>
        </w:rPr>
        <w:t>P</w:t>
      </w:r>
      <w:r w:rsidR="00D154F0" w:rsidRPr="006B3A6D">
        <w:rPr>
          <w:rFonts w:asciiTheme="minorHAnsi" w:hAnsiTheme="minorHAnsi" w:cstheme="minorHAnsi"/>
          <w:b/>
          <w:sz w:val="22"/>
        </w:rPr>
        <w:t>roizvodnj</w:t>
      </w:r>
      <w:r w:rsidR="006B3A6D" w:rsidRPr="006B3A6D">
        <w:rPr>
          <w:rFonts w:asciiTheme="minorHAnsi" w:hAnsiTheme="minorHAnsi" w:cstheme="minorHAnsi"/>
          <w:b/>
          <w:sz w:val="22"/>
        </w:rPr>
        <w:t>a</w:t>
      </w:r>
      <w:r w:rsidR="00D154F0" w:rsidRPr="006B3A6D">
        <w:rPr>
          <w:rFonts w:asciiTheme="minorHAnsi" w:hAnsiTheme="minorHAnsi" w:cstheme="minorHAnsi"/>
          <w:b/>
          <w:sz w:val="22"/>
        </w:rPr>
        <w:t xml:space="preserve"> energije iz OVE</w:t>
      </w:r>
      <w:r w:rsidR="00D154F0" w:rsidRPr="006B3A6D">
        <w:rPr>
          <w:rFonts w:asciiTheme="minorHAnsi" w:hAnsiTheme="minorHAnsi" w:cstheme="minorHAnsi"/>
          <w:sz w:val="22"/>
        </w:rPr>
        <w:t>, vključno z naprednimi biogorivi</w:t>
      </w:r>
      <w:r w:rsidR="004664FD" w:rsidRPr="006B3A6D">
        <w:rPr>
          <w:rFonts w:asciiTheme="minorHAnsi" w:hAnsiTheme="minorHAnsi" w:cstheme="minorHAnsi"/>
          <w:sz w:val="22"/>
        </w:rPr>
        <w:t xml:space="preserve"> </w:t>
      </w:r>
      <w:r w:rsidR="00C86717" w:rsidRPr="006B3A6D">
        <w:rPr>
          <w:rFonts w:asciiTheme="minorHAnsi" w:hAnsiTheme="minorHAnsi" w:cstheme="minorHAnsi"/>
          <w:sz w:val="22"/>
        </w:rPr>
        <w:t>po predhodni preučitvi drugih OVE</w:t>
      </w:r>
      <w:r w:rsidR="00D154F0" w:rsidRPr="006B3A6D">
        <w:rPr>
          <w:rFonts w:asciiTheme="minorHAnsi" w:hAnsiTheme="minorHAnsi" w:cstheme="minorHAnsi"/>
          <w:sz w:val="22"/>
        </w:rPr>
        <w:t xml:space="preserve">, oziroma razvoj rešitev na področju shranjevanja električne energije tudi v povezavi s spodbujanjem e-mobilnosti, pilotnih projektov </w:t>
      </w:r>
      <w:r w:rsidR="006103B8" w:rsidRPr="006B3A6D">
        <w:rPr>
          <w:rFonts w:asciiTheme="minorHAnsi" w:hAnsiTheme="minorHAnsi" w:cstheme="minorHAnsi"/>
          <w:sz w:val="22"/>
        </w:rPr>
        <w:t xml:space="preserve">in </w:t>
      </w:r>
      <w:r w:rsidR="00D154F0" w:rsidRPr="006B3A6D">
        <w:rPr>
          <w:rFonts w:asciiTheme="minorHAnsi" w:hAnsiTheme="minorHAnsi" w:cstheme="minorHAnsi"/>
          <w:sz w:val="22"/>
        </w:rPr>
        <w:t>za proizvodnjo sintetičnega metana in vodika</w:t>
      </w:r>
      <w:r w:rsidR="006103B8" w:rsidRPr="006B3A6D">
        <w:rPr>
          <w:rFonts w:asciiTheme="minorHAnsi" w:hAnsiTheme="minorHAnsi" w:cstheme="minorHAnsi"/>
          <w:sz w:val="22"/>
        </w:rPr>
        <w:t xml:space="preserve"> ter uplinjanja odpadne biomase</w:t>
      </w:r>
      <w:r w:rsidR="00D154F0" w:rsidRPr="006B3A6D">
        <w:rPr>
          <w:rFonts w:asciiTheme="minorHAnsi" w:hAnsiTheme="minorHAnsi" w:cstheme="minorHAnsi"/>
          <w:sz w:val="22"/>
        </w:rPr>
        <w:t>, zlasti na območju TEŠ</w:t>
      </w:r>
      <w:r w:rsidR="006B3A6D">
        <w:rPr>
          <w:rFonts w:asciiTheme="minorHAnsi" w:hAnsiTheme="minorHAnsi" w:cstheme="minorHAnsi"/>
          <w:sz w:val="22"/>
        </w:rPr>
        <w:t>.</w:t>
      </w:r>
    </w:p>
    <w:p w14:paraId="227E3C3B" w14:textId="77777777" w:rsidR="00D154F0" w:rsidRPr="008B037E" w:rsidRDefault="00D154F0" w:rsidP="00720E72">
      <w:pPr>
        <w:spacing w:before="0" w:after="0" w:line="276" w:lineRule="auto"/>
        <w:contextualSpacing/>
        <w:rPr>
          <w:rFonts w:asciiTheme="minorHAnsi" w:eastAsia="Times New Roman" w:hAnsiTheme="minorHAnsi" w:cstheme="minorHAnsi"/>
          <w:sz w:val="22"/>
          <w:highlight w:val="yellow"/>
        </w:rPr>
      </w:pPr>
    </w:p>
    <w:p w14:paraId="5FD95C27" w14:textId="55EFB6CD" w:rsidR="00651CE7" w:rsidRPr="008B037E" w:rsidRDefault="00013150" w:rsidP="00651CE7">
      <w:pPr>
        <w:shd w:val="clear" w:color="auto" w:fill="D9E2F3" w:themeFill="accent5" w:themeFillTint="33"/>
        <w:spacing w:before="0" w:after="0" w:line="276" w:lineRule="auto"/>
        <w:rPr>
          <w:rFonts w:asciiTheme="minorHAnsi" w:hAnsiTheme="minorHAnsi" w:cstheme="minorHAnsi"/>
          <w:b/>
          <w:i/>
          <w:sz w:val="22"/>
        </w:rPr>
      </w:pPr>
      <w:r w:rsidRPr="008B037E">
        <w:rPr>
          <w:rFonts w:asciiTheme="minorHAnsi" w:hAnsiTheme="minorHAnsi" w:cstheme="minorHAnsi"/>
          <w:b/>
          <w:i/>
          <w:sz w:val="22"/>
        </w:rPr>
        <w:t>Strateški c</w:t>
      </w:r>
      <w:r w:rsidR="00651CE7" w:rsidRPr="008B037E">
        <w:rPr>
          <w:rFonts w:asciiTheme="minorHAnsi" w:hAnsiTheme="minorHAnsi" w:cstheme="minorHAnsi"/>
          <w:b/>
          <w:i/>
          <w:sz w:val="22"/>
        </w:rPr>
        <w:t>ilj</w:t>
      </w:r>
      <w:r w:rsidRPr="008B037E">
        <w:rPr>
          <w:rFonts w:asciiTheme="minorHAnsi" w:hAnsiTheme="minorHAnsi" w:cstheme="minorHAnsi"/>
          <w:b/>
          <w:i/>
          <w:sz w:val="22"/>
        </w:rPr>
        <w:t xml:space="preserve"> 2</w:t>
      </w:r>
      <w:r w:rsidR="00651CE7" w:rsidRPr="008B037E">
        <w:rPr>
          <w:rFonts w:asciiTheme="minorHAnsi" w:hAnsiTheme="minorHAnsi" w:cstheme="minorHAnsi"/>
          <w:b/>
          <w:i/>
          <w:sz w:val="22"/>
        </w:rPr>
        <w:t>: Zaposlitve in veščine za vse</w:t>
      </w:r>
    </w:p>
    <w:p w14:paraId="30B13144" w14:textId="77777777" w:rsidR="00070617" w:rsidRPr="008B037E" w:rsidRDefault="00070617" w:rsidP="00651CE7">
      <w:pPr>
        <w:spacing w:before="0" w:after="0" w:line="276" w:lineRule="auto"/>
        <w:rPr>
          <w:rFonts w:asciiTheme="minorHAnsi" w:hAnsiTheme="minorHAnsi" w:cstheme="minorHAnsi"/>
          <w:sz w:val="22"/>
        </w:rPr>
      </w:pPr>
    </w:p>
    <w:p w14:paraId="18BBC32A" w14:textId="09982988" w:rsidR="0059218C" w:rsidRDefault="00013150" w:rsidP="00C853D3">
      <w:pPr>
        <w:spacing w:before="0" w:line="276" w:lineRule="auto"/>
        <w:rPr>
          <w:rFonts w:asciiTheme="minorHAnsi" w:hAnsiTheme="minorHAnsi" w:cstheme="minorHAnsi"/>
          <w:sz w:val="22"/>
        </w:rPr>
      </w:pPr>
      <w:r w:rsidRPr="008B037E">
        <w:rPr>
          <w:rFonts w:asciiTheme="minorHAnsi" w:hAnsiTheme="minorHAnsi" w:cstheme="minorHAnsi"/>
          <w:sz w:val="22"/>
        </w:rPr>
        <w:t>Na področju ravnanja s človeškimi viri in vlaganja v človeške vire so s sredstvi Sklada za pravični prehod</w:t>
      </w:r>
      <w:r w:rsidR="0059218C" w:rsidRPr="008B037E">
        <w:rPr>
          <w:rFonts w:asciiTheme="minorHAnsi" w:hAnsiTheme="minorHAnsi" w:cstheme="minorHAnsi"/>
          <w:sz w:val="22"/>
        </w:rPr>
        <w:t xml:space="preserve"> predvideni </w:t>
      </w:r>
      <w:r w:rsidRPr="008B037E">
        <w:rPr>
          <w:rFonts w:asciiTheme="minorHAnsi" w:hAnsiTheme="minorHAnsi" w:cstheme="minorHAnsi"/>
          <w:sz w:val="22"/>
        </w:rPr>
        <w:t xml:space="preserve">naslednji </w:t>
      </w:r>
      <w:r w:rsidR="0059218C" w:rsidRPr="008B037E">
        <w:rPr>
          <w:rFonts w:asciiTheme="minorHAnsi" w:hAnsiTheme="minorHAnsi" w:cstheme="minorHAnsi"/>
          <w:sz w:val="22"/>
        </w:rPr>
        <w:t>ukrepi:</w:t>
      </w:r>
    </w:p>
    <w:p w14:paraId="08749A20" w14:textId="02D02045" w:rsidR="00E87D4C" w:rsidRPr="00B01632" w:rsidRDefault="00913658" w:rsidP="00240302">
      <w:pPr>
        <w:spacing w:before="0" w:after="60" w:line="276" w:lineRule="auto"/>
        <w:ind w:left="425" w:hanging="425"/>
        <w:rPr>
          <w:rFonts w:asciiTheme="minorHAnsi" w:hAnsiTheme="minorHAnsi"/>
          <w:b/>
          <w:sz w:val="22"/>
        </w:rPr>
      </w:pPr>
      <w:r>
        <w:rPr>
          <w:rFonts w:asciiTheme="minorHAnsi" w:hAnsiTheme="minorHAnsi" w:cstheme="minorHAnsi"/>
          <w:b/>
          <w:sz w:val="22"/>
        </w:rPr>
        <w:t>2.1</w:t>
      </w:r>
      <w:r>
        <w:rPr>
          <w:rFonts w:asciiTheme="minorHAnsi" w:hAnsiTheme="minorHAnsi" w:cstheme="minorHAnsi"/>
          <w:b/>
          <w:sz w:val="22"/>
        </w:rPr>
        <w:tab/>
      </w:r>
      <w:r w:rsidR="00013150" w:rsidRPr="008B037E">
        <w:rPr>
          <w:rFonts w:asciiTheme="minorHAnsi" w:hAnsiTheme="minorHAnsi" w:cstheme="minorHAnsi"/>
          <w:b/>
          <w:sz w:val="22"/>
        </w:rPr>
        <w:t>O</w:t>
      </w:r>
      <w:r w:rsidR="004A00C1" w:rsidRPr="008B037E">
        <w:rPr>
          <w:rFonts w:asciiTheme="minorHAnsi" w:hAnsiTheme="minorHAnsi" w:cstheme="minorHAnsi"/>
          <w:b/>
          <w:sz w:val="22"/>
        </w:rPr>
        <w:t xml:space="preserve">bogateno </w:t>
      </w:r>
      <w:r w:rsidR="0059218C" w:rsidRPr="008B037E">
        <w:rPr>
          <w:rFonts w:asciiTheme="minorHAnsi" w:hAnsiTheme="minorHAnsi" w:cstheme="minorHAnsi"/>
          <w:b/>
          <w:sz w:val="22"/>
        </w:rPr>
        <w:t>izvajanje kakovostnega in dostopnega učenja</w:t>
      </w:r>
      <w:r w:rsidR="0059218C" w:rsidRPr="008B037E">
        <w:rPr>
          <w:rFonts w:asciiTheme="minorHAnsi" w:hAnsiTheme="minorHAnsi" w:cstheme="minorHAnsi"/>
          <w:sz w:val="22"/>
        </w:rPr>
        <w:t xml:space="preserve">, s poudarkom na krepitvi ključnih kompetenc (predvsem </w:t>
      </w:r>
      <w:r w:rsidR="00495899">
        <w:rPr>
          <w:rFonts w:asciiTheme="minorHAnsi" w:hAnsiTheme="minorHAnsi" w:cstheme="minorHAnsi"/>
          <w:sz w:val="22"/>
        </w:rPr>
        <w:t xml:space="preserve">kompetence </w:t>
      </w:r>
      <w:r w:rsidR="0059218C" w:rsidRPr="008B037E">
        <w:rPr>
          <w:rFonts w:asciiTheme="minorHAnsi" w:hAnsiTheme="minorHAnsi" w:cstheme="minorHAnsi"/>
          <w:sz w:val="22"/>
        </w:rPr>
        <w:t>podjetnost</w:t>
      </w:r>
      <w:r w:rsidR="00495899">
        <w:rPr>
          <w:rFonts w:asciiTheme="minorHAnsi" w:hAnsiTheme="minorHAnsi" w:cstheme="minorHAnsi"/>
          <w:sz w:val="22"/>
        </w:rPr>
        <w:t>i</w:t>
      </w:r>
      <w:r w:rsidR="0059218C" w:rsidRPr="008B037E">
        <w:rPr>
          <w:rFonts w:asciiTheme="minorHAnsi" w:hAnsiTheme="minorHAnsi" w:cstheme="minorHAnsi"/>
          <w:sz w:val="22"/>
        </w:rPr>
        <w:t>, digitaln</w:t>
      </w:r>
      <w:r w:rsidR="00E87D4C">
        <w:rPr>
          <w:rFonts w:asciiTheme="minorHAnsi" w:hAnsiTheme="minorHAnsi" w:cstheme="minorHAnsi"/>
          <w:sz w:val="22"/>
        </w:rPr>
        <w:t>e in zelene komeptence</w:t>
      </w:r>
      <w:r w:rsidR="0059218C" w:rsidRPr="008B037E">
        <w:rPr>
          <w:rFonts w:asciiTheme="minorHAnsi" w:hAnsiTheme="minorHAnsi" w:cstheme="minorHAnsi"/>
          <w:sz w:val="22"/>
        </w:rPr>
        <w:t>) šolajočih in strokovnih delavcev, ter vključujočega vzgojno-izobraževalnega okolja po celotni vertikali (od vrtcev do višjega šolstva), ter digitaln</w:t>
      </w:r>
      <w:r w:rsidR="00240302">
        <w:rPr>
          <w:rFonts w:asciiTheme="minorHAnsi" w:hAnsiTheme="minorHAnsi" w:cstheme="minorHAnsi"/>
          <w:sz w:val="22"/>
        </w:rPr>
        <w:t>a</w:t>
      </w:r>
      <w:r w:rsidR="0059218C" w:rsidRPr="008B037E">
        <w:rPr>
          <w:rFonts w:asciiTheme="minorHAnsi" w:hAnsiTheme="minorHAnsi" w:cstheme="minorHAnsi"/>
          <w:sz w:val="22"/>
        </w:rPr>
        <w:t xml:space="preserve"> </w:t>
      </w:r>
      <w:r w:rsidR="00E87D4C">
        <w:rPr>
          <w:rFonts w:asciiTheme="minorHAnsi" w:hAnsiTheme="minorHAnsi" w:cstheme="minorHAnsi"/>
          <w:sz w:val="22"/>
        </w:rPr>
        <w:t>preobrazb</w:t>
      </w:r>
      <w:r w:rsidR="00240302">
        <w:rPr>
          <w:rFonts w:asciiTheme="minorHAnsi" w:hAnsiTheme="minorHAnsi" w:cstheme="minorHAnsi"/>
          <w:sz w:val="22"/>
        </w:rPr>
        <w:t>a</w:t>
      </w:r>
      <w:r w:rsidR="00E87D4C">
        <w:rPr>
          <w:rFonts w:asciiTheme="minorHAnsi" w:hAnsiTheme="minorHAnsi" w:cstheme="minorHAnsi"/>
          <w:sz w:val="22"/>
        </w:rPr>
        <w:t xml:space="preserve"> šolskega prostora.</w:t>
      </w:r>
      <w:r w:rsidR="0059218C" w:rsidRPr="008B037E">
        <w:rPr>
          <w:rFonts w:asciiTheme="minorHAnsi" w:hAnsiTheme="minorHAnsi" w:cstheme="minorHAnsi"/>
          <w:sz w:val="22"/>
        </w:rPr>
        <w:t xml:space="preserve">  </w:t>
      </w:r>
    </w:p>
    <w:p w14:paraId="7C4978F7" w14:textId="77777777" w:rsidR="00E87D4C" w:rsidRDefault="00E87D4C" w:rsidP="00240302">
      <w:pPr>
        <w:spacing w:before="0" w:after="60" w:line="276" w:lineRule="auto"/>
        <w:rPr>
          <w:rFonts w:asciiTheme="minorHAnsi" w:hAnsiTheme="minorHAnsi" w:cstheme="minorHAnsi"/>
          <w:b/>
          <w:sz w:val="22"/>
        </w:rPr>
      </w:pPr>
    </w:p>
    <w:p w14:paraId="6AC3745B" w14:textId="48BE829F" w:rsidR="00C07E75" w:rsidRPr="00D15944" w:rsidRDefault="00C07E75" w:rsidP="00D15944">
      <w:pPr>
        <w:spacing w:before="0" w:line="276" w:lineRule="auto"/>
        <w:rPr>
          <w:rFonts w:asciiTheme="minorHAnsi" w:hAnsiTheme="minorHAnsi" w:cstheme="minorBidi"/>
          <w:sz w:val="22"/>
        </w:rPr>
      </w:pPr>
      <w:r>
        <w:rPr>
          <w:rFonts w:asciiTheme="minorHAnsi" w:hAnsiTheme="minorHAnsi" w:cstheme="minorBidi"/>
          <w:b/>
          <w:sz w:val="22"/>
        </w:rPr>
        <w:t>2.</w:t>
      </w:r>
      <w:r w:rsidR="00240302">
        <w:rPr>
          <w:rFonts w:asciiTheme="minorHAnsi" w:hAnsiTheme="minorHAnsi" w:cstheme="minorBidi"/>
          <w:b/>
          <w:sz w:val="22"/>
        </w:rPr>
        <w:t>2</w:t>
      </w:r>
      <w:r>
        <w:rPr>
          <w:rFonts w:asciiTheme="minorHAnsi" w:hAnsiTheme="minorHAnsi" w:cstheme="minorBidi"/>
          <w:b/>
          <w:sz w:val="22"/>
        </w:rPr>
        <w:t xml:space="preserve">. </w:t>
      </w:r>
      <w:r w:rsidRPr="00996EA1">
        <w:rPr>
          <w:rFonts w:asciiTheme="minorHAnsi" w:hAnsiTheme="minorHAnsi" w:cstheme="minorBidi"/>
          <w:b/>
          <w:sz w:val="22"/>
        </w:rPr>
        <w:t>Vseživljenjsk</w:t>
      </w:r>
      <w:r w:rsidR="00240302">
        <w:rPr>
          <w:rFonts w:asciiTheme="minorHAnsi" w:hAnsiTheme="minorHAnsi" w:cstheme="minorBidi"/>
          <w:b/>
          <w:sz w:val="22"/>
        </w:rPr>
        <w:t>a</w:t>
      </w:r>
      <w:r w:rsidRPr="00996EA1">
        <w:rPr>
          <w:rFonts w:asciiTheme="minorHAnsi" w:hAnsiTheme="minorHAnsi" w:cstheme="minorBidi"/>
          <w:b/>
          <w:sz w:val="22"/>
        </w:rPr>
        <w:t xml:space="preserve"> kariern</w:t>
      </w:r>
      <w:r w:rsidR="00240302">
        <w:rPr>
          <w:rFonts w:asciiTheme="minorHAnsi" w:hAnsiTheme="minorHAnsi" w:cstheme="minorBidi"/>
          <w:b/>
          <w:sz w:val="22"/>
        </w:rPr>
        <w:t>a</w:t>
      </w:r>
      <w:r w:rsidRPr="00996EA1">
        <w:rPr>
          <w:rFonts w:asciiTheme="minorHAnsi" w:hAnsiTheme="minorHAnsi" w:cstheme="minorBidi"/>
          <w:b/>
          <w:sz w:val="22"/>
        </w:rPr>
        <w:t xml:space="preserve"> orientacij</w:t>
      </w:r>
      <w:r w:rsidR="00240302">
        <w:rPr>
          <w:rFonts w:asciiTheme="minorHAnsi" w:hAnsiTheme="minorHAnsi" w:cstheme="minorBidi"/>
          <w:b/>
          <w:sz w:val="22"/>
        </w:rPr>
        <w:t>a</w:t>
      </w:r>
      <w:r w:rsidRPr="00597C2D">
        <w:rPr>
          <w:rFonts w:asciiTheme="minorHAnsi" w:hAnsiTheme="minorHAnsi" w:cstheme="minorBidi"/>
          <w:sz w:val="22"/>
        </w:rPr>
        <w:t xml:space="preserve"> (izdelava osebnih kariernih načrtov)</w:t>
      </w:r>
      <w:r w:rsidRPr="00B01632">
        <w:rPr>
          <w:rFonts w:asciiTheme="minorHAnsi" w:hAnsiTheme="minorHAnsi"/>
          <w:sz w:val="22"/>
        </w:rPr>
        <w:t xml:space="preserve"> in </w:t>
      </w:r>
      <w:r w:rsidRPr="00996EA1">
        <w:rPr>
          <w:rFonts w:asciiTheme="minorHAnsi" w:hAnsiTheme="minorHAnsi" w:cstheme="minorBidi"/>
          <w:b/>
          <w:sz w:val="22"/>
        </w:rPr>
        <w:t xml:space="preserve">usposabljanje </w:t>
      </w:r>
      <w:r>
        <w:rPr>
          <w:rFonts w:asciiTheme="minorHAnsi" w:hAnsiTheme="minorHAnsi" w:cstheme="minorBidi"/>
          <w:b/>
          <w:sz w:val="22"/>
        </w:rPr>
        <w:t xml:space="preserve">zaposlenih ter </w:t>
      </w:r>
      <w:r w:rsidRPr="00996EA1">
        <w:rPr>
          <w:rFonts w:asciiTheme="minorHAnsi" w:hAnsiTheme="minorHAnsi" w:cstheme="minorBidi"/>
          <w:b/>
          <w:sz w:val="22"/>
        </w:rPr>
        <w:t>iskalcev zaposlitve</w:t>
      </w:r>
      <w:r w:rsidRPr="00597C2D">
        <w:rPr>
          <w:rFonts w:asciiTheme="minorHAnsi" w:hAnsiTheme="minorHAnsi" w:cstheme="minorBidi"/>
          <w:sz w:val="22"/>
        </w:rPr>
        <w:t xml:space="preserve">, ki so </w:t>
      </w:r>
      <w:r>
        <w:rPr>
          <w:rFonts w:asciiTheme="minorHAnsi" w:hAnsiTheme="minorHAnsi" w:cstheme="minorBidi"/>
          <w:sz w:val="22"/>
        </w:rPr>
        <w:t xml:space="preserve">ali bodo </w:t>
      </w:r>
      <w:r w:rsidRPr="00597C2D">
        <w:rPr>
          <w:rFonts w:asciiTheme="minorHAnsi" w:hAnsiTheme="minorHAnsi" w:cstheme="minorBidi"/>
          <w:sz w:val="22"/>
        </w:rPr>
        <w:t xml:space="preserve">zaradi izstopa iz premoga ostali brez zaposlitve </w:t>
      </w:r>
      <w:r>
        <w:rPr>
          <w:rFonts w:asciiTheme="minorHAnsi" w:hAnsiTheme="minorHAnsi" w:cstheme="minorBidi"/>
          <w:sz w:val="22"/>
        </w:rPr>
        <w:t xml:space="preserve">na pravičen in vključujoč način </w:t>
      </w:r>
      <w:r w:rsidRPr="00597C2D">
        <w:rPr>
          <w:rFonts w:asciiTheme="minorHAnsi" w:hAnsiTheme="minorHAnsi" w:cstheme="minorBidi"/>
          <w:sz w:val="22"/>
        </w:rPr>
        <w:t>(informiranje, motiviranje, aktivnosti svetovanja zaposlenim, neformalna izobraževanja in usposabljanja, prekvalifikacije in dokvalifikacije s ciljem prehoda v zaposlitev ali samozaposlovanje)</w:t>
      </w:r>
      <w:r w:rsidR="002C7265">
        <w:rPr>
          <w:rFonts w:asciiTheme="minorHAnsi" w:hAnsiTheme="minorHAnsi" w:cstheme="minorBidi"/>
          <w:sz w:val="22"/>
        </w:rPr>
        <w:t>.</w:t>
      </w:r>
      <w:r w:rsidR="00D15944">
        <w:rPr>
          <w:rFonts w:asciiTheme="minorHAnsi" w:hAnsiTheme="minorHAnsi" w:cstheme="minorBidi"/>
          <w:sz w:val="22"/>
        </w:rPr>
        <w:t xml:space="preserve"> </w:t>
      </w:r>
    </w:p>
    <w:p w14:paraId="444FBAE2" w14:textId="30557E25" w:rsidR="005A1C73" w:rsidRPr="008B037E" w:rsidRDefault="00C30C2F" w:rsidP="00D15944">
      <w:pPr>
        <w:spacing w:before="0" w:after="60" w:line="276" w:lineRule="auto"/>
        <w:ind w:left="425" w:hanging="425"/>
        <w:rPr>
          <w:rFonts w:asciiTheme="minorHAnsi" w:hAnsiTheme="minorHAnsi" w:cstheme="minorHAnsi"/>
          <w:sz w:val="22"/>
        </w:rPr>
      </w:pPr>
      <w:r>
        <w:rPr>
          <w:rFonts w:asciiTheme="minorHAnsi" w:hAnsiTheme="minorHAnsi" w:cstheme="minorHAnsi"/>
          <w:b/>
          <w:sz w:val="22"/>
        </w:rPr>
        <w:lastRenderedPageBreak/>
        <w:t>2.</w:t>
      </w:r>
      <w:r w:rsidR="00240302">
        <w:rPr>
          <w:rFonts w:asciiTheme="minorHAnsi" w:hAnsiTheme="minorHAnsi" w:cstheme="minorHAnsi"/>
          <w:b/>
          <w:sz w:val="22"/>
        </w:rPr>
        <w:t>3</w:t>
      </w:r>
      <w:r>
        <w:rPr>
          <w:rFonts w:asciiTheme="minorHAnsi" w:hAnsiTheme="minorHAnsi" w:cstheme="minorHAnsi"/>
          <w:b/>
          <w:sz w:val="22"/>
        </w:rPr>
        <w:tab/>
      </w:r>
      <w:r w:rsidR="0059218C" w:rsidRPr="008B037E">
        <w:rPr>
          <w:rFonts w:asciiTheme="minorHAnsi" w:hAnsiTheme="minorHAnsi" w:cstheme="minorHAnsi"/>
          <w:b/>
          <w:sz w:val="22"/>
        </w:rPr>
        <w:t xml:space="preserve">Uvajanje krožnih vsebin v </w:t>
      </w:r>
      <w:r w:rsidR="00D15944">
        <w:rPr>
          <w:rFonts w:asciiTheme="minorHAnsi" w:hAnsiTheme="minorHAnsi" w:cstheme="minorHAnsi"/>
          <w:b/>
          <w:sz w:val="22"/>
        </w:rPr>
        <w:t>vzgojno izobraževalni sistem</w:t>
      </w:r>
      <w:r w:rsidR="0059218C" w:rsidRPr="008B037E">
        <w:rPr>
          <w:rFonts w:asciiTheme="minorHAnsi" w:hAnsiTheme="minorHAnsi" w:cstheme="minorHAnsi"/>
          <w:b/>
          <w:sz w:val="22"/>
        </w:rPr>
        <w:t>,</w:t>
      </w:r>
      <w:r w:rsidR="0059218C" w:rsidRPr="008B037E">
        <w:rPr>
          <w:rFonts w:asciiTheme="minorHAnsi" w:hAnsiTheme="minorHAnsi" w:cstheme="minorHAnsi"/>
          <w:sz w:val="22"/>
        </w:rPr>
        <w:t xml:space="preserve"> predvsem vsebin, znanja in kompetenc, potrebnih za zelena delovna mesta ter za prehod v nizkoogljično družbo in gospodarstvo (v skladu s cilji področja vzgoje in izobraževanja za trajnostni razvoj- VITR).</w:t>
      </w:r>
    </w:p>
    <w:p w14:paraId="388DAA93" w14:textId="1C612050" w:rsidR="0059218C" w:rsidRPr="008B037E" w:rsidRDefault="00013150" w:rsidP="00E66332">
      <w:pPr>
        <w:spacing w:before="0" w:after="60" w:line="276" w:lineRule="auto"/>
        <w:ind w:left="425" w:hanging="425"/>
        <w:rPr>
          <w:rFonts w:asciiTheme="minorHAnsi" w:hAnsiTheme="minorHAnsi" w:cstheme="minorHAnsi"/>
          <w:sz w:val="22"/>
        </w:rPr>
      </w:pPr>
      <w:r w:rsidRPr="00B01632">
        <w:rPr>
          <w:rFonts w:asciiTheme="minorHAnsi" w:hAnsiTheme="minorHAnsi" w:cstheme="minorHAnsi"/>
          <w:b/>
          <w:sz w:val="22"/>
        </w:rPr>
        <w:t>2.</w:t>
      </w:r>
      <w:r w:rsidR="00240302" w:rsidRPr="00B01632">
        <w:rPr>
          <w:rFonts w:asciiTheme="minorHAnsi" w:hAnsiTheme="minorHAnsi" w:cstheme="minorHAnsi"/>
          <w:b/>
          <w:sz w:val="22"/>
        </w:rPr>
        <w:t>4</w:t>
      </w:r>
      <w:r w:rsidR="00E66332" w:rsidRPr="00B01632">
        <w:rPr>
          <w:rFonts w:asciiTheme="minorHAnsi" w:hAnsiTheme="minorHAnsi"/>
          <w:b/>
          <w:sz w:val="22"/>
        </w:rPr>
        <w:tab/>
      </w:r>
      <w:r w:rsidR="0059218C" w:rsidRPr="00B01632">
        <w:rPr>
          <w:rFonts w:asciiTheme="minorHAnsi" w:hAnsiTheme="minorHAnsi"/>
          <w:b/>
          <w:sz w:val="22"/>
        </w:rPr>
        <w:t xml:space="preserve">Izvajanje </w:t>
      </w:r>
      <w:r w:rsidR="00BA782C">
        <w:rPr>
          <w:rFonts w:asciiTheme="minorHAnsi" w:hAnsiTheme="minorHAnsi"/>
          <w:b/>
          <w:sz w:val="22"/>
        </w:rPr>
        <w:t>vsebin</w:t>
      </w:r>
      <w:r w:rsidR="0059218C" w:rsidRPr="00B01632">
        <w:rPr>
          <w:rFonts w:asciiTheme="minorHAnsi" w:hAnsiTheme="minorHAnsi"/>
          <w:b/>
          <w:sz w:val="22"/>
        </w:rPr>
        <w:t xml:space="preserve"> za razvoj kompetenc in izboljšanja zaposljivosti v regiji </w:t>
      </w:r>
      <w:r w:rsidR="0059218C" w:rsidRPr="0084328D">
        <w:rPr>
          <w:rFonts w:asciiTheme="minorHAnsi" w:hAnsiTheme="minorHAnsi"/>
          <w:sz w:val="22"/>
        </w:rPr>
        <w:t>preko t.i. NVO inkubatorja</w:t>
      </w:r>
      <w:r w:rsidR="0059218C" w:rsidRPr="00B01632">
        <w:rPr>
          <w:rFonts w:asciiTheme="minorHAnsi" w:hAnsiTheme="minorHAnsi"/>
          <w:sz w:val="22"/>
        </w:rPr>
        <w:t xml:space="preserve"> (za izmenjavo znanja, razvoja socialnih inovacij in razvoja kompetenc), Akademije prekvalifikacij (razvojna-raziskovalna in ustvarjalna platforma za kritično razmišljanje za sodobne in prihodnje izzive povezane z zaposljivostjo</w:t>
      </w:r>
      <w:r w:rsidR="00881C5F" w:rsidRPr="00B01632">
        <w:rPr>
          <w:rFonts w:asciiTheme="minorHAnsi" w:hAnsiTheme="minorHAnsi" w:cstheme="minorHAnsi"/>
          <w:sz w:val="22"/>
        </w:rPr>
        <w:t>)</w:t>
      </w:r>
      <w:r w:rsidR="005A1C73" w:rsidRPr="00B01632">
        <w:rPr>
          <w:rFonts w:asciiTheme="minorHAnsi" w:hAnsiTheme="minorHAnsi" w:cstheme="minorHAnsi"/>
          <w:sz w:val="22"/>
        </w:rPr>
        <w:t xml:space="preserve"> bodo podprti v okviru ES</w:t>
      </w:r>
      <w:r w:rsidR="00BA4CB4">
        <w:rPr>
          <w:rFonts w:asciiTheme="minorHAnsi" w:hAnsiTheme="minorHAnsi" w:cstheme="minorHAnsi"/>
          <w:sz w:val="22"/>
        </w:rPr>
        <w:t>S</w:t>
      </w:r>
      <w:r w:rsidR="005A1C73" w:rsidRPr="00B01632">
        <w:rPr>
          <w:rFonts w:asciiTheme="minorHAnsi" w:hAnsiTheme="minorHAnsi" w:cstheme="minorHAnsi"/>
          <w:sz w:val="22"/>
        </w:rPr>
        <w:t>+ v okviru Programa EKP 21-27</w:t>
      </w:r>
      <w:r w:rsidR="0059218C" w:rsidRPr="00B01632">
        <w:rPr>
          <w:rFonts w:asciiTheme="minorHAnsi" w:hAnsiTheme="minorHAnsi" w:cstheme="minorHAnsi"/>
          <w:sz w:val="22"/>
        </w:rPr>
        <w:t>.</w:t>
      </w:r>
      <w:r w:rsidR="0059218C" w:rsidRPr="00B01632">
        <w:rPr>
          <w:rFonts w:asciiTheme="minorHAnsi" w:hAnsiTheme="minorHAnsi"/>
          <w:sz w:val="22"/>
        </w:rPr>
        <w:t xml:space="preserve"> Preko usposabljanj za razvoj tehnoloških kompetenc in sodelovanje z lokalnimi podjetji upoštevajoč raziskave, razvoj in inovacijske rešitve se bo s sodobnimi programi za vzorčenje prihodnosti omogočal prenos znanja, izobraževanje, usposabljanje</w:t>
      </w:r>
      <w:r w:rsidR="00881C5F" w:rsidRPr="00B01632">
        <w:rPr>
          <w:rFonts w:asciiTheme="minorHAnsi" w:hAnsiTheme="minorHAnsi"/>
          <w:sz w:val="22"/>
        </w:rPr>
        <w:t>,</w:t>
      </w:r>
      <w:r w:rsidR="0059218C" w:rsidRPr="00B01632">
        <w:rPr>
          <w:rFonts w:asciiTheme="minorHAnsi" w:hAnsiTheme="minorHAnsi"/>
          <w:sz w:val="22"/>
        </w:rPr>
        <w:t xml:space="preserve"> raziskave in razvoj Virtualnega centra, kjer se bo razvijalo nove možnosti zaposlovanja in dvignilo kompetence za večjo odpornost trga dela.</w:t>
      </w:r>
      <w:r w:rsidR="0059218C" w:rsidRPr="008B037E">
        <w:rPr>
          <w:rFonts w:asciiTheme="minorHAnsi" w:hAnsiTheme="minorHAnsi" w:cstheme="minorHAnsi"/>
          <w:sz w:val="22"/>
        </w:rPr>
        <w:t xml:space="preserve"> </w:t>
      </w:r>
    </w:p>
    <w:p w14:paraId="2DD59887" w14:textId="552170E8" w:rsidR="0059218C" w:rsidRPr="008B037E" w:rsidRDefault="00013150" w:rsidP="006415E0">
      <w:pPr>
        <w:spacing w:before="0" w:after="60" w:line="276" w:lineRule="auto"/>
        <w:ind w:left="425" w:hanging="425"/>
        <w:rPr>
          <w:rFonts w:asciiTheme="minorHAnsi" w:hAnsiTheme="minorHAnsi" w:cstheme="minorHAnsi"/>
          <w:sz w:val="22"/>
        </w:rPr>
      </w:pPr>
      <w:r w:rsidRPr="008B037E">
        <w:rPr>
          <w:rFonts w:asciiTheme="minorHAnsi" w:hAnsiTheme="minorHAnsi" w:cstheme="minorHAnsi"/>
          <w:b/>
          <w:sz w:val="22"/>
        </w:rPr>
        <w:t>2.</w:t>
      </w:r>
      <w:r w:rsidR="00240302">
        <w:rPr>
          <w:rFonts w:asciiTheme="minorHAnsi" w:hAnsiTheme="minorHAnsi" w:cstheme="minorHAnsi"/>
          <w:b/>
          <w:sz w:val="22"/>
        </w:rPr>
        <w:t>5</w:t>
      </w:r>
      <w:r w:rsidR="006415E0">
        <w:rPr>
          <w:rFonts w:asciiTheme="minorHAnsi" w:hAnsiTheme="minorHAnsi" w:cstheme="minorHAnsi"/>
          <w:b/>
          <w:sz w:val="22"/>
        </w:rPr>
        <w:tab/>
      </w:r>
      <w:r w:rsidR="0059218C" w:rsidRPr="008B037E">
        <w:rPr>
          <w:rFonts w:asciiTheme="minorHAnsi" w:hAnsiTheme="minorHAnsi" w:cstheme="minorHAnsi"/>
          <w:b/>
          <w:sz w:val="22"/>
        </w:rPr>
        <w:t>Aktivnosti za ustvarjanje novih delovnih mest za  delavce in invalide</w:t>
      </w:r>
      <w:r w:rsidR="00D47C84" w:rsidRPr="00B01632">
        <w:rPr>
          <w:rFonts w:asciiTheme="minorHAnsi" w:hAnsiTheme="minorHAnsi"/>
          <w:b/>
          <w:sz w:val="22"/>
        </w:rPr>
        <w:t xml:space="preserve"> </w:t>
      </w:r>
      <w:r w:rsidR="00D47C84" w:rsidRPr="00B01632">
        <w:rPr>
          <w:rFonts w:asciiTheme="minorHAnsi" w:hAnsiTheme="minorHAnsi" w:cstheme="minorHAnsi"/>
          <w:sz w:val="22"/>
        </w:rPr>
        <w:t xml:space="preserve">bodo podprte v okviru </w:t>
      </w:r>
      <w:r w:rsidR="00D84A8F" w:rsidRPr="00B01632">
        <w:rPr>
          <w:rFonts w:asciiTheme="minorHAnsi" w:hAnsiTheme="minorHAnsi" w:cstheme="minorHAnsi"/>
          <w:sz w:val="22"/>
        </w:rPr>
        <w:t>ES</w:t>
      </w:r>
      <w:r w:rsidR="00BA4CB4">
        <w:rPr>
          <w:rFonts w:asciiTheme="minorHAnsi" w:hAnsiTheme="minorHAnsi" w:cstheme="minorHAnsi"/>
          <w:sz w:val="22"/>
        </w:rPr>
        <w:t>S</w:t>
      </w:r>
      <w:r w:rsidR="00D84A8F" w:rsidRPr="00B01632">
        <w:rPr>
          <w:rFonts w:asciiTheme="minorHAnsi" w:hAnsiTheme="minorHAnsi" w:cstheme="minorHAnsi"/>
          <w:sz w:val="22"/>
        </w:rPr>
        <w:t>+ v okviru Programa EKP 21-27</w:t>
      </w:r>
      <w:r w:rsidR="0059218C" w:rsidRPr="00D84A8F">
        <w:rPr>
          <w:rFonts w:asciiTheme="minorHAnsi" w:hAnsiTheme="minorHAnsi" w:cstheme="minorHAnsi"/>
          <w:sz w:val="22"/>
        </w:rPr>
        <w:t xml:space="preserve"> </w:t>
      </w:r>
      <w:r w:rsidR="0059218C" w:rsidRPr="008B037E">
        <w:rPr>
          <w:rFonts w:asciiTheme="minorHAnsi" w:hAnsiTheme="minorHAnsi" w:cstheme="minorHAnsi"/>
          <w:sz w:val="22"/>
        </w:rPr>
        <w:t xml:space="preserve">(npr. v sanaciji okolja, lesni in drugi industriji) povezane s prestrukturiranjem podjetij odvisnih </w:t>
      </w:r>
      <w:r w:rsidR="00881C5F" w:rsidRPr="008B037E">
        <w:rPr>
          <w:rFonts w:asciiTheme="minorHAnsi" w:hAnsiTheme="minorHAnsi" w:cstheme="minorHAnsi"/>
          <w:sz w:val="22"/>
        </w:rPr>
        <w:t>od premogovniške dejavnosti</w:t>
      </w:r>
      <w:r w:rsidR="0059218C" w:rsidRPr="008B037E">
        <w:rPr>
          <w:rFonts w:asciiTheme="minorHAnsi" w:hAnsiTheme="minorHAnsi" w:cstheme="minorHAnsi"/>
          <w:sz w:val="22"/>
        </w:rPr>
        <w:t>.</w:t>
      </w:r>
    </w:p>
    <w:p w14:paraId="25D00D83" w14:textId="7EF557EF" w:rsidR="0059218C" w:rsidRPr="008B037E" w:rsidRDefault="00013150" w:rsidP="006415E0">
      <w:pPr>
        <w:spacing w:before="0" w:after="60" w:line="276" w:lineRule="auto"/>
        <w:ind w:left="425" w:hanging="425"/>
        <w:rPr>
          <w:rFonts w:asciiTheme="minorHAnsi" w:hAnsiTheme="minorHAnsi" w:cstheme="minorHAnsi"/>
          <w:sz w:val="22"/>
        </w:rPr>
      </w:pPr>
      <w:r w:rsidRPr="008B037E">
        <w:rPr>
          <w:rFonts w:asciiTheme="minorHAnsi" w:eastAsia="Times New Roman" w:hAnsiTheme="minorHAnsi" w:cstheme="minorHAnsi"/>
          <w:b/>
          <w:sz w:val="22"/>
          <w:lang w:eastAsia="sl-SI"/>
        </w:rPr>
        <w:t>2.</w:t>
      </w:r>
      <w:r w:rsidR="00240302">
        <w:rPr>
          <w:rFonts w:asciiTheme="minorHAnsi" w:eastAsia="Times New Roman" w:hAnsiTheme="minorHAnsi" w:cstheme="minorHAnsi"/>
          <w:b/>
          <w:sz w:val="22"/>
          <w:lang w:eastAsia="sl-SI"/>
        </w:rPr>
        <w:t>6</w:t>
      </w:r>
      <w:r w:rsidR="006415E0">
        <w:rPr>
          <w:rFonts w:asciiTheme="minorHAnsi" w:eastAsia="Times New Roman" w:hAnsiTheme="minorHAnsi" w:cstheme="minorHAnsi"/>
          <w:b/>
          <w:sz w:val="22"/>
          <w:lang w:eastAsia="sl-SI"/>
        </w:rPr>
        <w:tab/>
      </w:r>
      <w:r w:rsidR="00061DBC" w:rsidRPr="00A737C0">
        <w:rPr>
          <w:rFonts w:asciiTheme="minorHAnsi" w:eastAsia="Times New Roman" w:hAnsiTheme="minorHAnsi" w:cstheme="minorHAnsi"/>
          <w:b/>
          <w:sz w:val="22"/>
          <w:lang w:eastAsia="sl-SI"/>
        </w:rPr>
        <w:t>Večgeneracijski center v Saša regiji</w:t>
      </w:r>
      <w:r w:rsidR="00061DBC" w:rsidRPr="00061DBC">
        <w:rPr>
          <w:rFonts w:asciiTheme="minorHAnsi" w:eastAsia="Times New Roman" w:hAnsiTheme="minorHAnsi" w:cstheme="minorHAnsi"/>
          <w:bCs/>
          <w:sz w:val="22"/>
          <w:lang w:eastAsia="sl-SI"/>
        </w:rPr>
        <w:t xml:space="preserve">, ki bo del širše mreže centrov v vseh statističnih regijah, </w:t>
      </w:r>
      <w:r w:rsidR="00240302">
        <w:rPr>
          <w:rFonts w:asciiTheme="minorHAnsi" w:eastAsia="Times New Roman" w:hAnsiTheme="minorHAnsi" w:cstheme="minorHAnsi"/>
          <w:bCs/>
          <w:sz w:val="22"/>
          <w:lang w:eastAsia="sl-SI"/>
        </w:rPr>
        <w:t xml:space="preserve">bo </w:t>
      </w:r>
      <w:r w:rsidR="00061DBC" w:rsidRPr="00061DBC">
        <w:rPr>
          <w:rFonts w:asciiTheme="minorHAnsi" w:eastAsia="Times New Roman" w:hAnsiTheme="minorHAnsi" w:cstheme="minorHAnsi"/>
          <w:bCs/>
          <w:sz w:val="22"/>
          <w:lang w:eastAsia="sl-SI"/>
        </w:rPr>
        <w:t>podprt v okviru ES</w:t>
      </w:r>
      <w:r w:rsidR="00BA4CB4">
        <w:rPr>
          <w:rFonts w:asciiTheme="minorHAnsi" w:eastAsia="Times New Roman" w:hAnsiTheme="minorHAnsi" w:cstheme="minorHAnsi"/>
          <w:bCs/>
          <w:sz w:val="22"/>
          <w:lang w:eastAsia="sl-SI"/>
        </w:rPr>
        <w:t>S</w:t>
      </w:r>
      <w:r w:rsidR="00061DBC" w:rsidRPr="00061DBC">
        <w:rPr>
          <w:rFonts w:asciiTheme="minorHAnsi" w:eastAsia="Times New Roman" w:hAnsiTheme="minorHAnsi" w:cstheme="minorHAnsi"/>
          <w:bCs/>
          <w:sz w:val="22"/>
          <w:lang w:eastAsia="sl-SI"/>
        </w:rPr>
        <w:t>+</w:t>
      </w:r>
      <w:r w:rsidR="00240302">
        <w:rPr>
          <w:rFonts w:asciiTheme="minorHAnsi" w:eastAsia="Times New Roman" w:hAnsiTheme="minorHAnsi" w:cstheme="minorHAnsi"/>
          <w:bCs/>
          <w:sz w:val="22"/>
          <w:lang w:eastAsia="sl-SI"/>
        </w:rPr>
        <w:t xml:space="preserve"> v okviru Programa EKP 21-27</w:t>
      </w:r>
      <w:r w:rsidR="00061DBC" w:rsidRPr="00061DBC">
        <w:rPr>
          <w:rFonts w:asciiTheme="minorHAnsi" w:eastAsia="Times New Roman" w:hAnsiTheme="minorHAnsi" w:cstheme="minorHAnsi"/>
          <w:bCs/>
          <w:sz w:val="22"/>
          <w:lang w:eastAsia="sl-SI"/>
        </w:rPr>
        <w:t>, vendar bo na območjih pravičnega prehoda zagotavljal  aktivnosti, ki bodo odgovarjale na specifične potrebe teh območij, izkazane v analizah ONPP, ter za specifične ciljne skupine</w:t>
      </w:r>
      <w:r w:rsidR="00021A80">
        <w:rPr>
          <w:rFonts w:asciiTheme="minorHAnsi" w:eastAsia="Times New Roman" w:hAnsiTheme="minorHAnsi" w:cstheme="minorHAnsi"/>
          <w:bCs/>
          <w:sz w:val="22"/>
          <w:lang w:eastAsia="sl-SI"/>
        </w:rPr>
        <w:t>, prizadete zaradi premogovništva</w:t>
      </w:r>
      <w:r w:rsidR="00061DBC" w:rsidRPr="00061DBC">
        <w:rPr>
          <w:rFonts w:asciiTheme="minorHAnsi" w:eastAsia="Times New Roman" w:hAnsiTheme="minorHAnsi" w:cstheme="minorHAnsi"/>
          <w:bCs/>
          <w:sz w:val="22"/>
          <w:lang w:eastAsia="sl-SI"/>
        </w:rPr>
        <w:t>, izhajajoče iz ONPP ter na ta način s targetiranimi programi nudil opolnomočenje in razvijanje socialnih, zdravstvenih, kulturnih kompetenc, ki večajo vključenost posameznikov v družbo in okolje, ipd</w:t>
      </w:r>
      <w:r w:rsidR="00061DBC" w:rsidRPr="00061DBC">
        <w:rPr>
          <w:rFonts w:asciiTheme="minorHAnsi" w:eastAsia="Times New Roman" w:hAnsiTheme="minorHAnsi" w:cstheme="minorHAnsi"/>
          <w:b/>
          <w:sz w:val="22"/>
          <w:lang w:eastAsia="sl-SI"/>
        </w:rPr>
        <w:t>.</w:t>
      </w:r>
    </w:p>
    <w:p w14:paraId="4139BE82" w14:textId="788153CD" w:rsidR="00651CE7" w:rsidRPr="008B037E" w:rsidRDefault="00651CE7" w:rsidP="00651CE7">
      <w:pPr>
        <w:spacing w:before="0" w:after="0" w:line="276" w:lineRule="auto"/>
        <w:rPr>
          <w:rFonts w:asciiTheme="minorHAnsi" w:hAnsiTheme="minorHAnsi"/>
          <w:sz w:val="22"/>
        </w:rPr>
      </w:pPr>
    </w:p>
    <w:p w14:paraId="5F4E652E" w14:textId="081B833D" w:rsidR="00070617" w:rsidRPr="00E14BB9" w:rsidRDefault="00545F28" w:rsidP="00070617">
      <w:pPr>
        <w:shd w:val="clear" w:color="auto" w:fill="D9E2F3" w:themeFill="accent5" w:themeFillTint="33"/>
        <w:spacing w:before="0" w:after="0" w:line="276" w:lineRule="auto"/>
        <w:contextualSpacing/>
        <w:rPr>
          <w:rFonts w:asciiTheme="minorHAnsi" w:hAnsiTheme="minorHAnsi"/>
          <w:b/>
          <w:i/>
          <w:sz w:val="22"/>
        </w:rPr>
      </w:pPr>
      <w:r w:rsidRPr="00E14BB9">
        <w:rPr>
          <w:rFonts w:asciiTheme="minorHAnsi" w:hAnsiTheme="minorHAnsi"/>
          <w:b/>
          <w:i/>
          <w:sz w:val="22"/>
        </w:rPr>
        <w:t>Strateški c</w:t>
      </w:r>
      <w:r w:rsidR="00070617" w:rsidRPr="00E14BB9">
        <w:rPr>
          <w:rFonts w:asciiTheme="minorHAnsi" w:hAnsiTheme="minorHAnsi"/>
          <w:b/>
          <w:i/>
          <w:sz w:val="22"/>
        </w:rPr>
        <w:t>ilj</w:t>
      </w:r>
      <w:r w:rsidRPr="00E14BB9">
        <w:rPr>
          <w:rFonts w:asciiTheme="minorHAnsi" w:hAnsiTheme="minorHAnsi"/>
          <w:b/>
          <w:i/>
          <w:sz w:val="22"/>
        </w:rPr>
        <w:t xml:space="preserve"> 3</w:t>
      </w:r>
      <w:r w:rsidR="00070617" w:rsidRPr="00E14BB9">
        <w:rPr>
          <w:rFonts w:asciiTheme="minorHAnsi" w:hAnsiTheme="minorHAnsi"/>
          <w:b/>
          <w:i/>
          <w:sz w:val="22"/>
        </w:rPr>
        <w:t>:</w:t>
      </w:r>
      <w:r w:rsidR="00070617" w:rsidRPr="00E14BB9">
        <w:rPr>
          <w:rFonts w:asciiTheme="minorHAnsi" w:hAnsiTheme="minorHAnsi"/>
          <w:i/>
          <w:sz w:val="22"/>
        </w:rPr>
        <w:t xml:space="preserve"> </w:t>
      </w:r>
      <w:r w:rsidR="00070617" w:rsidRPr="00E14BB9">
        <w:rPr>
          <w:rFonts w:asciiTheme="minorHAnsi" w:hAnsiTheme="minorHAnsi"/>
          <w:b/>
          <w:i/>
          <w:sz w:val="22"/>
        </w:rPr>
        <w:t>Dodatna regionalna povezljivost in trajnostna mobilnost</w:t>
      </w:r>
    </w:p>
    <w:p w14:paraId="5D8C7B63" w14:textId="77777777" w:rsidR="00070617" w:rsidRPr="00EF10AD" w:rsidRDefault="00070617" w:rsidP="00070617">
      <w:pPr>
        <w:spacing w:before="0" w:after="0" w:line="276" w:lineRule="auto"/>
        <w:contextualSpacing/>
        <w:rPr>
          <w:rFonts w:asciiTheme="minorHAnsi" w:hAnsiTheme="minorHAnsi"/>
          <w:i/>
          <w:sz w:val="22"/>
        </w:rPr>
      </w:pPr>
    </w:p>
    <w:p w14:paraId="022729E2" w14:textId="70E37D77" w:rsidR="00F64A84" w:rsidRDefault="00070617" w:rsidP="00E14BB9">
      <w:pPr>
        <w:spacing w:before="0" w:line="276" w:lineRule="auto"/>
        <w:rPr>
          <w:rFonts w:asciiTheme="minorHAnsi" w:hAnsiTheme="minorHAnsi"/>
          <w:sz w:val="22"/>
        </w:rPr>
      </w:pPr>
      <w:r w:rsidRPr="00F64A84">
        <w:rPr>
          <w:rFonts w:asciiTheme="minorHAnsi" w:hAnsiTheme="minorHAnsi"/>
          <w:sz w:val="22"/>
        </w:rPr>
        <w:t xml:space="preserve">Za </w:t>
      </w:r>
      <w:r w:rsidR="00BC45B1" w:rsidRPr="00F64A84">
        <w:rPr>
          <w:rFonts w:asciiTheme="minorHAnsi" w:hAnsiTheme="minorHAnsi"/>
          <w:sz w:val="22"/>
        </w:rPr>
        <w:t>zagotavljanje</w:t>
      </w:r>
      <w:r w:rsidRPr="00F64A84">
        <w:rPr>
          <w:rFonts w:asciiTheme="minorHAnsi" w:hAnsiTheme="minorHAnsi"/>
          <w:sz w:val="22"/>
        </w:rPr>
        <w:t xml:space="preserve"> </w:t>
      </w:r>
      <w:r w:rsidR="00BC45B1" w:rsidRPr="00F64A84">
        <w:rPr>
          <w:rFonts w:asciiTheme="minorHAnsi" w:hAnsiTheme="minorHAnsi"/>
          <w:sz w:val="22"/>
        </w:rPr>
        <w:t>d</w:t>
      </w:r>
      <w:r w:rsidRPr="00F64A84">
        <w:rPr>
          <w:rFonts w:asciiTheme="minorHAnsi" w:hAnsiTheme="minorHAnsi"/>
          <w:sz w:val="22"/>
        </w:rPr>
        <w:t>odatna regionaln</w:t>
      </w:r>
      <w:r w:rsidR="00BC45B1" w:rsidRPr="00F64A84">
        <w:rPr>
          <w:rFonts w:asciiTheme="minorHAnsi" w:hAnsiTheme="minorHAnsi"/>
          <w:sz w:val="22"/>
        </w:rPr>
        <w:t>e</w:t>
      </w:r>
      <w:r w:rsidRPr="00F64A84">
        <w:rPr>
          <w:rFonts w:asciiTheme="minorHAnsi" w:hAnsiTheme="minorHAnsi"/>
          <w:sz w:val="22"/>
        </w:rPr>
        <w:t xml:space="preserve"> povezljivost</w:t>
      </w:r>
      <w:r w:rsidR="00BC45B1" w:rsidRPr="00F64A84">
        <w:rPr>
          <w:rFonts w:asciiTheme="minorHAnsi" w:hAnsiTheme="minorHAnsi"/>
          <w:sz w:val="22"/>
        </w:rPr>
        <w:t>i</w:t>
      </w:r>
      <w:r w:rsidRPr="00F64A84">
        <w:rPr>
          <w:rFonts w:asciiTheme="minorHAnsi" w:hAnsiTheme="minorHAnsi"/>
          <w:sz w:val="22"/>
        </w:rPr>
        <w:t xml:space="preserve"> in </w:t>
      </w:r>
      <w:r w:rsidR="00766A01" w:rsidRPr="00F64A84">
        <w:rPr>
          <w:rFonts w:asciiTheme="minorHAnsi" w:hAnsiTheme="minorHAnsi"/>
          <w:sz w:val="22"/>
        </w:rPr>
        <w:t xml:space="preserve">trajnostne </w:t>
      </w:r>
      <w:r w:rsidRPr="00F64A84">
        <w:rPr>
          <w:rFonts w:asciiTheme="minorHAnsi" w:hAnsiTheme="minorHAnsi"/>
          <w:sz w:val="22"/>
        </w:rPr>
        <w:t>mobilnost</w:t>
      </w:r>
      <w:r w:rsidR="00BC45B1" w:rsidRPr="00F64A84">
        <w:rPr>
          <w:rFonts w:asciiTheme="minorHAnsi" w:hAnsiTheme="minorHAnsi"/>
          <w:sz w:val="22"/>
        </w:rPr>
        <w:t>i</w:t>
      </w:r>
      <w:r w:rsidRPr="00F64A84">
        <w:rPr>
          <w:rFonts w:asciiTheme="minorHAnsi" w:hAnsiTheme="minorHAnsi"/>
          <w:sz w:val="22"/>
        </w:rPr>
        <w:t xml:space="preserve">, </w:t>
      </w:r>
      <w:r w:rsidR="00BC45B1" w:rsidRPr="00F64A84">
        <w:rPr>
          <w:rFonts w:asciiTheme="minorHAnsi" w:hAnsiTheme="minorHAnsi"/>
          <w:sz w:val="22"/>
        </w:rPr>
        <w:t xml:space="preserve"> bomo s sredstvi drugih skladov Programa EKP 21-27  in III. Stebra Mehanizma za pravični prehod podprli naslednje ukrep</w:t>
      </w:r>
      <w:r w:rsidR="00F64A84">
        <w:rPr>
          <w:rFonts w:asciiTheme="minorHAnsi" w:hAnsiTheme="minorHAnsi"/>
          <w:sz w:val="22"/>
        </w:rPr>
        <w:t>a</w:t>
      </w:r>
      <w:r w:rsidR="00BC45B1" w:rsidRPr="00F64A84">
        <w:rPr>
          <w:rFonts w:asciiTheme="minorHAnsi" w:hAnsiTheme="minorHAnsi"/>
          <w:sz w:val="22"/>
        </w:rPr>
        <w:t>:</w:t>
      </w:r>
    </w:p>
    <w:p w14:paraId="05CA1EB4" w14:textId="6E518B75" w:rsidR="002625F7" w:rsidRPr="00E14BB9" w:rsidRDefault="00E14BB9" w:rsidP="00E14BB9">
      <w:pPr>
        <w:spacing w:before="0" w:line="276" w:lineRule="auto"/>
        <w:rPr>
          <w:rFonts w:asciiTheme="minorHAnsi" w:eastAsia="Times New Roman" w:hAnsiTheme="minorHAnsi" w:cstheme="minorHAnsi"/>
          <w:sz w:val="22"/>
        </w:rPr>
      </w:pPr>
      <w:r w:rsidRPr="00EF10AD">
        <w:rPr>
          <w:rFonts w:asciiTheme="minorHAnsi" w:hAnsiTheme="minorHAnsi"/>
          <w:sz w:val="22"/>
        </w:rPr>
        <w:t>3.1.</w:t>
      </w:r>
      <w:r w:rsidR="00AC035D" w:rsidRPr="00E14BB9">
        <w:rPr>
          <w:rFonts w:asciiTheme="minorHAnsi" w:eastAsia="Times New Roman" w:hAnsiTheme="minorHAnsi" w:cstheme="minorHAnsi"/>
          <w:b/>
          <w:sz w:val="22"/>
        </w:rPr>
        <w:t>Trajnostn</w:t>
      </w:r>
      <w:r w:rsidRPr="00E14BB9">
        <w:rPr>
          <w:rFonts w:asciiTheme="minorHAnsi" w:eastAsia="Times New Roman" w:hAnsiTheme="minorHAnsi" w:cstheme="minorHAnsi"/>
          <w:b/>
          <w:sz w:val="22"/>
        </w:rPr>
        <w:t>a</w:t>
      </w:r>
      <w:r w:rsidR="00F64A84">
        <w:rPr>
          <w:rFonts w:asciiTheme="minorHAnsi" w:eastAsia="Times New Roman" w:hAnsiTheme="minorHAnsi" w:cstheme="minorHAnsi"/>
          <w:b/>
          <w:sz w:val="22"/>
        </w:rPr>
        <w:t xml:space="preserve"> </w:t>
      </w:r>
      <w:r w:rsidR="00AC035D" w:rsidRPr="00E14BB9">
        <w:rPr>
          <w:rFonts w:asciiTheme="minorHAnsi" w:eastAsia="Times New Roman" w:hAnsiTheme="minorHAnsi" w:cstheme="minorHAnsi"/>
          <w:b/>
          <w:sz w:val="22"/>
        </w:rPr>
        <w:t>lokaln</w:t>
      </w:r>
      <w:r w:rsidRPr="00E14BB9">
        <w:rPr>
          <w:rFonts w:asciiTheme="minorHAnsi" w:eastAsia="Times New Roman" w:hAnsiTheme="minorHAnsi" w:cstheme="minorHAnsi"/>
          <w:b/>
          <w:sz w:val="22"/>
        </w:rPr>
        <w:t>a</w:t>
      </w:r>
      <w:r w:rsidR="00AC035D" w:rsidRPr="00E14BB9">
        <w:rPr>
          <w:rFonts w:asciiTheme="minorHAnsi" w:eastAsia="Times New Roman" w:hAnsiTheme="minorHAnsi" w:cstheme="minorHAnsi"/>
          <w:b/>
          <w:sz w:val="22"/>
        </w:rPr>
        <w:t xml:space="preserve"> </w:t>
      </w:r>
      <w:r w:rsidR="00070617" w:rsidRPr="00E14BB9">
        <w:rPr>
          <w:rFonts w:asciiTheme="minorHAnsi" w:hAnsiTheme="minorHAnsi"/>
          <w:b/>
          <w:sz w:val="22"/>
        </w:rPr>
        <w:t>mobilnost s poudarkom na javnem potniškem prometu</w:t>
      </w:r>
      <w:r w:rsidR="00B30810" w:rsidRPr="00E14BB9">
        <w:rPr>
          <w:rFonts w:asciiTheme="minorHAnsi" w:hAnsiTheme="minorHAnsi"/>
          <w:sz w:val="22"/>
        </w:rPr>
        <w:t xml:space="preserve"> </w:t>
      </w:r>
    </w:p>
    <w:p w14:paraId="10F3FE8E" w14:textId="77777777" w:rsidR="00E14BB9" w:rsidRPr="00E14BB9" w:rsidRDefault="00E14BB9" w:rsidP="00BA4CB4">
      <w:pPr>
        <w:pStyle w:val="Odstavekseznama"/>
        <w:ind w:left="1134" w:hanging="414"/>
        <w:jc w:val="both"/>
        <w:rPr>
          <w:rFonts w:eastAsia="Times New Roman" w:cstheme="minorHAnsi"/>
        </w:rPr>
      </w:pPr>
      <w:r w:rsidRPr="00E14BB9">
        <w:rPr>
          <w:rFonts w:eastAsia="Times New Roman" w:cstheme="minorHAnsi"/>
        </w:rPr>
        <w:t>•</w:t>
      </w:r>
      <w:r w:rsidRPr="00E14BB9">
        <w:rPr>
          <w:rFonts w:eastAsia="Times New Roman" w:cstheme="minorHAnsi"/>
        </w:rPr>
        <w:tab/>
        <w:t>Omogočanje varne aktivne mobilnosti (hoja, kolesarjenje) na ravni celotne regije (izgradnja manjkajoče oz. ureditev obstoječe infrastrukture za pešce in kolesarje, prometna signalizacija, urbana oprema in zasaditev za povečanje varnosti, privlačnosti in udobnosti povezav ipd.);</w:t>
      </w:r>
    </w:p>
    <w:p w14:paraId="1D0D17A8" w14:textId="27CF3CAE" w:rsidR="00E14BB9" w:rsidRPr="00EF10AD" w:rsidRDefault="00E14BB9" w:rsidP="00BA4CB4">
      <w:pPr>
        <w:pStyle w:val="Odstavekseznama"/>
        <w:ind w:left="1134" w:hanging="414"/>
        <w:jc w:val="both"/>
        <w:rPr>
          <w:rFonts w:eastAsia="Times New Roman" w:cstheme="minorHAnsi"/>
        </w:rPr>
      </w:pPr>
      <w:r w:rsidRPr="00EF10AD">
        <w:rPr>
          <w:rFonts w:eastAsia="Times New Roman" w:cstheme="minorHAnsi"/>
        </w:rPr>
        <w:t>•</w:t>
      </w:r>
      <w:r w:rsidRPr="00EF10AD">
        <w:rPr>
          <w:rFonts w:eastAsia="Times New Roman" w:cstheme="minorHAnsi"/>
        </w:rPr>
        <w:tab/>
        <w:t>Spodbujanje uporabe JPP in multimodalnosti (izgradnja P+R vozlišč za prestop z uporabe osebnega avtomobila na trajnostne prometne načine, kot sta JPP ali sistema izposoje javnih koles, postavitev oz. obnova avtobusnih postaj ali postajališč, širitev sistema za izposojo javnih koles, vključno z izgradnjo potrebne infrastrukture ter kolesi oz. e-kolesi in polnilno</w:t>
      </w:r>
      <w:r w:rsidR="00BA4CB4">
        <w:rPr>
          <w:rFonts w:eastAsia="Times New Roman" w:cstheme="minorHAnsi"/>
        </w:rPr>
        <w:t xml:space="preserve"> infrastrukturo;</w:t>
      </w:r>
    </w:p>
    <w:p w14:paraId="17B6F087" w14:textId="095E4443" w:rsidR="00E14BB9" w:rsidRDefault="00E14BB9" w:rsidP="00BA4CB4">
      <w:pPr>
        <w:pStyle w:val="Odstavekseznama"/>
        <w:ind w:left="1134" w:hanging="414"/>
        <w:jc w:val="both"/>
      </w:pPr>
      <w:r w:rsidRPr="00EF10AD">
        <w:rPr>
          <w:rFonts w:eastAsia="Times New Roman" w:cstheme="minorHAnsi"/>
        </w:rPr>
        <w:t>•</w:t>
      </w:r>
      <w:r w:rsidRPr="00EF10AD">
        <w:rPr>
          <w:rFonts w:eastAsia="Times New Roman" w:cstheme="minorHAnsi"/>
        </w:rPr>
        <w:tab/>
        <w:t>vzpostavitev brezemisijskega ali nizkoemisijskega javnega potniškega prometa  (posodobitev voznega parka JPP z vozili na alternativni pogon - avtobusi in druge vrste vozil za izvajanje JPP - ter vzpostavitev polnilne oz. oskrbovalne infrastrukture za alter</w:t>
      </w:r>
      <w:r w:rsidRPr="000404D1">
        <w:rPr>
          <w:rFonts w:eastAsia="Times New Roman" w:cstheme="minorHAnsi"/>
        </w:rPr>
        <w:t xml:space="preserve">nativna </w:t>
      </w:r>
      <w:r w:rsidRPr="00335E03">
        <w:t>goriva (vodik in elektrika) za potrebe izvajanja JPP)</w:t>
      </w:r>
      <w:r w:rsidR="00BA4CB4">
        <w:t>.</w:t>
      </w:r>
    </w:p>
    <w:p w14:paraId="5E06B3A1" w14:textId="77777777" w:rsidR="00BA4CB4" w:rsidRPr="00335E03" w:rsidRDefault="00BA4CB4" w:rsidP="00BA4CB4">
      <w:pPr>
        <w:pStyle w:val="Odstavekseznama"/>
        <w:ind w:left="1134" w:hanging="414"/>
        <w:jc w:val="both"/>
      </w:pPr>
    </w:p>
    <w:p w14:paraId="755A75B9" w14:textId="6B5557EA" w:rsidR="00E14BB9" w:rsidRPr="00F64A84" w:rsidRDefault="00E14BB9" w:rsidP="00345003">
      <w:pPr>
        <w:pStyle w:val="Odstavekseznama"/>
        <w:ind w:left="426" w:hanging="426"/>
      </w:pPr>
      <w:r w:rsidRPr="00335E03">
        <w:rPr>
          <w:b/>
        </w:rPr>
        <w:t>3.2.</w:t>
      </w:r>
      <w:r w:rsidR="00345003">
        <w:rPr>
          <w:b/>
        </w:rPr>
        <w:tab/>
      </w:r>
      <w:r w:rsidRPr="00335E03">
        <w:rPr>
          <w:b/>
        </w:rPr>
        <w:t>Zagotavljanje pogojev za izboljšanje povezljivosti regije</w:t>
      </w:r>
      <w:r w:rsidR="00766A01" w:rsidRPr="00335E03">
        <w:rPr>
          <w:rFonts w:eastAsia="Times New Roman" w:cstheme="minorHAnsi"/>
          <w:b/>
        </w:rPr>
        <w:t xml:space="preserve"> na področju cestnih povezav in železnice</w:t>
      </w:r>
      <w:r w:rsidR="00766A01" w:rsidRPr="00335E03">
        <w:rPr>
          <w:rFonts w:eastAsia="Times New Roman" w:cstheme="minorHAnsi"/>
        </w:rPr>
        <w:t xml:space="preserve"> s katerimi bomo ustvarili pogoje za ravoj gospodarstva</w:t>
      </w:r>
      <w:r w:rsidRPr="00335E03">
        <w:t>.</w:t>
      </w:r>
    </w:p>
    <w:p w14:paraId="14B5C0CD" w14:textId="539A7AE5" w:rsidR="00251B85" w:rsidRPr="00335E03" w:rsidRDefault="00AB051B" w:rsidP="00BA4CB4">
      <w:pPr>
        <w:spacing w:before="0" w:line="276" w:lineRule="auto"/>
        <w:rPr>
          <w:rFonts w:asciiTheme="minorHAnsi" w:hAnsiTheme="minorHAnsi"/>
          <w:sz w:val="22"/>
        </w:rPr>
      </w:pPr>
      <w:r w:rsidRPr="00335E03">
        <w:rPr>
          <w:rFonts w:asciiTheme="minorHAnsi" w:hAnsiTheme="minorHAnsi"/>
          <w:sz w:val="22"/>
        </w:rPr>
        <w:lastRenderedPageBreak/>
        <w:t>U</w:t>
      </w:r>
      <w:r w:rsidR="001D3AFA" w:rsidRPr="00335E03">
        <w:rPr>
          <w:rFonts w:asciiTheme="minorHAnsi" w:hAnsiTheme="minorHAnsi"/>
          <w:sz w:val="22"/>
        </w:rPr>
        <w:t xml:space="preserve">krepi za </w:t>
      </w:r>
      <w:r w:rsidR="00251B85" w:rsidRPr="00335E03">
        <w:rPr>
          <w:rFonts w:asciiTheme="minorHAnsi" w:hAnsiTheme="minorHAnsi"/>
          <w:sz w:val="22"/>
        </w:rPr>
        <w:t xml:space="preserve">zmanjšanje odvisnosti od avtomobilov za potrebe migracij </w:t>
      </w:r>
      <w:r w:rsidR="00AC035D" w:rsidRPr="00335E03">
        <w:rPr>
          <w:rFonts w:asciiTheme="minorHAnsi" w:hAnsiTheme="minorHAnsi"/>
          <w:sz w:val="22"/>
        </w:rPr>
        <w:t>z</w:t>
      </w:r>
      <w:r w:rsidR="001D3AFA" w:rsidRPr="00335E03">
        <w:rPr>
          <w:rFonts w:asciiTheme="minorHAnsi" w:hAnsiTheme="minorHAnsi"/>
          <w:sz w:val="22"/>
        </w:rPr>
        <w:t xml:space="preserve"> naložbami v učinkovit, brezemisijski ali nizkoemisijski JPP </w:t>
      </w:r>
      <w:r w:rsidR="00AC035D" w:rsidRPr="00335E03">
        <w:rPr>
          <w:rFonts w:asciiTheme="minorHAnsi" w:hAnsiTheme="minorHAnsi"/>
          <w:sz w:val="22"/>
        </w:rPr>
        <w:t xml:space="preserve">bodo prispevali k pravičnemu prehodu tako, da bodo poleg zagotavljanja kakovostnega življenja prebivalstva znotraj regije omogočili mobilnost s čim manjšim ogljičnim odtisom. Hkrati </w:t>
      </w:r>
      <w:r w:rsidR="001D3AFA" w:rsidRPr="00335E03">
        <w:rPr>
          <w:rFonts w:asciiTheme="minorHAnsi" w:hAnsiTheme="minorHAnsi"/>
          <w:sz w:val="22"/>
        </w:rPr>
        <w:t>se bodo odprle tudi nove poslovne priložnosti in delovna mesta na področju mobilnosti</w:t>
      </w:r>
      <w:r w:rsidRPr="00335E03">
        <w:rPr>
          <w:rFonts w:asciiTheme="minorHAnsi" w:hAnsiTheme="minorHAnsi"/>
          <w:sz w:val="22"/>
        </w:rPr>
        <w:t xml:space="preserve"> in drugih</w:t>
      </w:r>
      <w:r w:rsidR="00AC035D" w:rsidRPr="00335E03">
        <w:rPr>
          <w:rFonts w:asciiTheme="minorHAnsi" w:hAnsiTheme="minorHAnsi"/>
          <w:sz w:val="22"/>
        </w:rPr>
        <w:t xml:space="preserve"> povezanih</w:t>
      </w:r>
      <w:r w:rsidRPr="00335E03">
        <w:rPr>
          <w:rFonts w:asciiTheme="minorHAnsi" w:hAnsiTheme="minorHAnsi"/>
          <w:sz w:val="22"/>
        </w:rPr>
        <w:t xml:space="preserve"> področjih</w:t>
      </w:r>
      <w:r w:rsidR="00251B85" w:rsidRPr="00335E03">
        <w:rPr>
          <w:rFonts w:asciiTheme="minorHAnsi" w:hAnsiTheme="minorHAnsi"/>
          <w:sz w:val="22"/>
        </w:rPr>
        <w:t xml:space="preserve">. </w:t>
      </w:r>
    </w:p>
    <w:p w14:paraId="31BB6769" w14:textId="77777777" w:rsidR="000B05AD" w:rsidRPr="000B05AD" w:rsidRDefault="000B05AD" w:rsidP="0035634E">
      <w:pPr>
        <w:spacing w:before="0" w:after="60" w:line="276" w:lineRule="auto"/>
        <w:rPr>
          <w:rFonts w:asciiTheme="minorHAnsi" w:eastAsia="Times New Roman" w:hAnsiTheme="minorHAnsi" w:cstheme="minorHAnsi"/>
          <w:b/>
          <w:sz w:val="22"/>
        </w:rPr>
      </w:pPr>
    </w:p>
    <w:p w14:paraId="5BD921EA" w14:textId="1E5C61F7" w:rsidR="00DD53D4" w:rsidRPr="008B037E" w:rsidRDefault="00014AD4" w:rsidP="00DD53D4">
      <w:pPr>
        <w:shd w:val="clear" w:color="auto" w:fill="D9E2F3" w:themeFill="accent5" w:themeFillTint="33"/>
        <w:spacing w:before="0" w:after="0" w:line="276" w:lineRule="auto"/>
        <w:rPr>
          <w:rFonts w:asciiTheme="minorHAnsi" w:hAnsiTheme="minorHAnsi"/>
          <w:b/>
          <w:i/>
          <w:sz w:val="22"/>
        </w:rPr>
      </w:pPr>
      <w:r w:rsidRPr="008B037E">
        <w:rPr>
          <w:rFonts w:asciiTheme="minorHAnsi" w:hAnsiTheme="minorHAnsi"/>
          <w:b/>
          <w:i/>
          <w:sz w:val="22"/>
        </w:rPr>
        <w:t>Strateški c</w:t>
      </w:r>
      <w:r w:rsidR="00DD53D4" w:rsidRPr="008B037E">
        <w:rPr>
          <w:rFonts w:asciiTheme="minorHAnsi" w:hAnsiTheme="minorHAnsi"/>
          <w:b/>
          <w:i/>
          <w:sz w:val="22"/>
        </w:rPr>
        <w:t>ilj</w:t>
      </w:r>
      <w:r w:rsidRPr="008B037E">
        <w:rPr>
          <w:rFonts w:asciiTheme="minorHAnsi" w:hAnsiTheme="minorHAnsi"/>
          <w:b/>
          <w:i/>
          <w:sz w:val="22"/>
        </w:rPr>
        <w:t xml:space="preserve"> 4</w:t>
      </w:r>
      <w:r w:rsidR="00DD53D4" w:rsidRPr="008B037E">
        <w:rPr>
          <w:rFonts w:asciiTheme="minorHAnsi" w:hAnsiTheme="minorHAnsi"/>
          <w:b/>
          <w:i/>
          <w:sz w:val="22"/>
        </w:rPr>
        <w:t xml:space="preserve">: Trajnostni, prožni in raznolik </w:t>
      </w:r>
      <w:r w:rsidR="0002085B" w:rsidRPr="008B037E">
        <w:rPr>
          <w:rFonts w:ascii="Calibri" w:hAnsi="Calibri" w:cs="Calibri"/>
          <w:b/>
          <w:i/>
          <w:sz w:val="22"/>
          <w:lang w:eastAsia="sl-SI"/>
        </w:rPr>
        <w:t>gospodarski razvoj</w:t>
      </w:r>
    </w:p>
    <w:p w14:paraId="33F6F2CA" w14:textId="77777777" w:rsidR="00DD53D4" w:rsidRPr="008B037E" w:rsidRDefault="00DD53D4" w:rsidP="00DD53D4">
      <w:pPr>
        <w:spacing w:before="0" w:after="0" w:line="276" w:lineRule="auto"/>
        <w:rPr>
          <w:rFonts w:asciiTheme="minorHAnsi" w:hAnsiTheme="minorHAnsi" w:cstheme="minorHAnsi"/>
          <w:b/>
          <w:i/>
          <w:sz w:val="22"/>
        </w:rPr>
      </w:pPr>
    </w:p>
    <w:p w14:paraId="23CCEEA0" w14:textId="1466E765" w:rsidR="00845CA3" w:rsidRPr="008B037E" w:rsidRDefault="001F1523" w:rsidP="00DD53D4">
      <w:pPr>
        <w:spacing w:before="0" w:after="0" w:line="276" w:lineRule="auto"/>
        <w:rPr>
          <w:rFonts w:ascii="Calibri" w:hAnsi="Calibri"/>
          <w:sz w:val="22"/>
        </w:rPr>
      </w:pPr>
      <w:r w:rsidRPr="008B037E">
        <w:rPr>
          <w:rFonts w:ascii="Calibri" w:hAnsi="Calibri"/>
          <w:sz w:val="22"/>
        </w:rPr>
        <w:t xml:space="preserve">Doseganje strateškega cilja trajnostni, prožni in raznolik gospodarski razvoj predstavlja temelj za uspešno in pravično prestrukturiranje regije v smeri podnebne nevtralnosti in učinkovite rabe surovin. </w:t>
      </w:r>
    </w:p>
    <w:p w14:paraId="07EB2F4B" w14:textId="3BA89885" w:rsidR="00845CA3" w:rsidRPr="008B037E" w:rsidRDefault="00845CA3" w:rsidP="00CD336D">
      <w:pPr>
        <w:spacing w:before="0" w:line="276" w:lineRule="auto"/>
        <w:rPr>
          <w:rFonts w:ascii="Calibri" w:hAnsi="Calibri"/>
          <w:sz w:val="22"/>
        </w:rPr>
      </w:pPr>
      <w:r w:rsidRPr="008B037E">
        <w:rPr>
          <w:rFonts w:ascii="Calibri" w:hAnsi="Calibri"/>
          <w:sz w:val="22"/>
        </w:rPr>
        <w:t>Načrtovana kombinacija ukrepov bo usmerjena v gospodarsko prestrukturiranje regije, skladno z NEPN in Slovensko strategijo pametne specializacije</w:t>
      </w:r>
      <w:r w:rsidR="00685052" w:rsidRPr="008B037E">
        <w:rPr>
          <w:rFonts w:ascii="Calibri" w:hAnsi="Calibri"/>
          <w:sz w:val="22"/>
        </w:rPr>
        <w:t>, Slovensko industrijsko strategijo</w:t>
      </w:r>
      <w:r w:rsidRPr="008B037E">
        <w:rPr>
          <w:rFonts w:ascii="Calibri" w:hAnsi="Calibri"/>
          <w:sz w:val="22"/>
        </w:rPr>
        <w:t xml:space="preserve"> ter območnim razvojnim programom</w:t>
      </w:r>
      <w:r w:rsidRPr="008B037E">
        <w:rPr>
          <w:rFonts w:asciiTheme="minorHAnsi" w:hAnsiTheme="minorHAnsi"/>
          <w:sz w:val="22"/>
        </w:rPr>
        <w:t xml:space="preserve"> SAŠA</w:t>
      </w:r>
      <w:r w:rsidRPr="008B037E">
        <w:rPr>
          <w:rFonts w:ascii="Calibri" w:hAnsi="Calibri"/>
          <w:sz w:val="22"/>
        </w:rPr>
        <w:t xml:space="preserve">, v smeri prehoda v nizkoogljično, krožno, digitalizirano gospodarstvo z izkoriščanjem oziroma preobrazbo obstoječih dejavnosti, vezanih na dosedanjo premogovno intenzivno gospodarsko aktivnost. </w:t>
      </w:r>
    </w:p>
    <w:p w14:paraId="23C49211" w14:textId="77777777" w:rsidR="00CD336D" w:rsidRDefault="00845CA3" w:rsidP="00845CA3">
      <w:pPr>
        <w:spacing w:before="0" w:after="0" w:line="276" w:lineRule="auto"/>
        <w:rPr>
          <w:rFonts w:ascii="Calibri" w:hAnsi="Calibri"/>
          <w:sz w:val="22"/>
        </w:rPr>
      </w:pPr>
      <w:r w:rsidRPr="008B037E">
        <w:rPr>
          <w:rFonts w:ascii="Calibri" w:hAnsi="Calibri"/>
          <w:sz w:val="22"/>
        </w:rPr>
        <w:t xml:space="preserve">Ukrepi so usmerjeni v dveh ključnih smereh: </w:t>
      </w:r>
    </w:p>
    <w:p w14:paraId="3A582C07" w14:textId="22AE39A2" w:rsidR="00CD336D" w:rsidRPr="00CD336D" w:rsidRDefault="00845CA3" w:rsidP="00CD336D">
      <w:pPr>
        <w:pStyle w:val="Odstavekseznama"/>
        <w:numPr>
          <w:ilvl w:val="0"/>
          <w:numId w:val="37"/>
        </w:numPr>
        <w:spacing w:after="0"/>
        <w:ind w:left="567" w:hanging="207"/>
        <w:rPr>
          <w:rFonts w:ascii="Calibri" w:hAnsi="Calibri"/>
        </w:rPr>
      </w:pPr>
      <w:r w:rsidRPr="00CD336D">
        <w:rPr>
          <w:rFonts w:ascii="Calibri" w:hAnsi="Calibri"/>
        </w:rPr>
        <w:t>diverzifikacija</w:t>
      </w:r>
      <w:r w:rsidR="00CC2F14" w:rsidRPr="00CD336D">
        <w:rPr>
          <w:rFonts w:ascii="Calibri" w:hAnsi="Calibri"/>
        </w:rPr>
        <w:t xml:space="preserve"> gospodarstva</w:t>
      </w:r>
      <w:r w:rsidRPr="00CD336D">
        <w:t>,</w:t>
      </w:r>
      <w:r w:rsidRPr="00CD336D">
        <w:rPr>
          <w:rFonts w:ascii="Calibri" w:hAnsi="Calibri"/>
        </w:rPr>
        <w:t xml:space="preserve"> s podporo </w:t>
      </w:r>
      <w:r w:rsidRPr="00CD336D">
        <w:t xml:space="preserve">novim in </w:t>
      </w:r>
      <w:r w:rsidRPr="00CD336D">
        <w:rPr>
          <w:rFonts w:ascii="Calibri" w:hAnsi="Calibri"/>
        </w:rPr>
        <w:t xml:space="preserve">obstoječim </w:t>
      </w:r>
      <w:r w:rsidRPr="00CD336D">
        <w:t>industrijam v smeri prehoda na nizkoogljično gospodarstvo</w:t>
      </w:r>
      <w:r w:rsidRPr="00CD336D">
        <w:rPr>
          <w:rFonts w:ascii="Calibri" w:hAnsi="Calibri"/>
        </w:rPr>
        <w:t xml:space="preserve"> in </w:t>
      </w:r>
    </w:p>
    <w:p w14:paraId="1B2312BC" w14:textId="1F3261C3" w:rsidR="00CD336D" w:rsidRPr="00CD336D" w:rsidRDefault="00845CA3" w:rsidP="00CD336D">
      <w:pPr>
        <w:pStyle w:val="Odstavekseznama"/>
        <w:numPr>
          <w:ilvl w:val="0"/>
          <w:numId w:val="37"/>
        </w:numPr>
        <w:spacing w:after="120"/>
        <w:ind w:left="567" w:hanging="210"/>
        <w:contextualSpacing w:val="0"/>
        <w:rPr>
          <w:rFonts w:ascii="Calibri" w:hAnsi="Calibri"/>
        </w:rPr>
      </w:pPr>
      <w:r w:rsidRPr="00CD336D">
        <w:rPr>
          <w:rFonts w:ascii="Calibri" w:hAnsi="Calibri"/>
        </w:rPr>
        <w:t xml:space="preserve">podporno okolje za zagon podjetij in vlaganja v RRI. </w:t>
      </w:r>
    </w:p>
    <w:p w14:paraId="64820871" w14:textId="3096901A" w:rsidR="00845CA3" w:rsidRPr="008B037E" w:rsidRDefault="00E32896" w:rsidP="00CD336D">
      <w:pPr>
        <w:spacing w:before="0" w:line="276" w:lineRule="auto"/>
        <w:rPr>
          <w:rFonts w:ascii="Calibri" w:hAnsi="Calibri"/>
          <w:sz w:val="22"/>
        </w:rPr>
      </w:pPr>
      <w:r w:rsidRPr="008B037E">
        <w:rPr>
          <w:rFonts w:ascii="Calibri" w:hAnsi="Calibri"/>
          <w:sz w:val="22"/>
        </w:rPr>
        <w:t xml:space="preserve">Za financiranje konkretnih projektov v okviru tega cilja se lahko poleg nepovratnih sredstev Mehanizma za pravični prehod (prvi steber) uporabi tudi možnosti financiranja iz drugega </w:t>
      </w:r>
      <w:r w:rsidR="00BA6C6A" w:rsidRPr="008B037E">
        <w:rPr>
          <w:rFonts w:ascii="Calibri" w:hAnsi="Calibri"/>
          <w:sz w:val="22"/>
        </w:rPr>
        <w:t xml:space="preserve">stebra </w:t>
      </w:r>
      <w:r w:rsidRPr="008B037E">
        <w:rPr>
          <w:rFonts w:ascii="Calibri" w:hAnsi="Calibri"/>
          <w:sz w:val="22"/>
        </w:rPr>
        <w:t>(namenska shema v okviru programa InvestEU za zasebne naložbe).</w:t>
      </w:r>
    </w:p>
    <w:p w14:paraId="68AD79CA" w14:textId="77777777" w:rsidR="00602B48" w:rsidRDefault="001F1523" w:rsidP="00345003">
      <w:pPr>
        <w:ind w:left="567" w:hanging="567"/>
        <w:rPr>
          <w:rFonts w:ascii="Calibri" w:hAnsi="Calibri"/>
          <w:sz w:val="22"/>
        </w:rPr>
      </w:pPr>
      <w:r w:rsidRPr="008B037E">
        <w:rPr>
          <w:rFonts w:ascii="Calibri" w:hAnsi="Calibri"/>
          <w:sz w:val="22"/>
        </w:rPr>
        <w:t xml:space="preserve">Sredstva sklada za pravični prehod bodo zato namenjena podpori naslednjim </w:t>
      </w:r>
      <w:r w:rsidR="001E3012" w:rsidRPr="008B037E">
        <w:rPr>
          <w:rFonts w:ascii="Calibri" w:hAnsi="Calibri"/>
          <w:sz w:val="22"/>
        </w:rPr>
        <w:t xml:space="preserve">(sklopom) </w:t>
      </w:r>
      <w:r w:rsidRPr="008B037E">
        <w:rPr>
          <w:rFonts w:ascii="Calibri" w:hAnsi="Calibri"/>
          <w:sz w:val="22"/>
        </w:rPr>
        <w:t>ukrepo</w:t>
      </w:r>
      <w:r w:rsidR="001E3012" w:rsidRPr="008B037E">
        <w:rPr>
          <w:rFonts w:ascii="Calibri" w:hAnsi="Calibri"/>
          <w:sz w:val="22"/>
        </w:rPr>
        <w:t>v</w:t>
      </w:r>
      <w:r w:rsidRPr="008B037E">
        <w:rPr>
          <w:rFonts w:ascii="Calibri" w:hAnsi="Calibri"/>
          <w:sz w:val="22"/>
        </w:rPr>
        <w:t xml:space="preserve">: </w:t>
      </w:r>
    </w:p>
    <w:p w14:paraId="6CE292FC" w14:textId="048B223F" w:rsidR="00935A55" w:rsidRPr="00602B48" w:rsidRDefault="00374854" w:rsidP="00345003">
      <w:pPr>
        <w:spacing w:before="0" w:after="60" w:line="276" w:lineRule="auto"/>
        <w:ind w:left="425" w:hanging="425"/>
        <w:rPr>
          <w:rFonts w:ascii="Calibri" w:hAnsi="Calibri" w:cs="Calibri"/>
          <w:b/>
          <w:i/>
        </w:rPr>
      </w:pPr>
      <w:r w:rsidRPr="003970AE">
        <w:rPr>
          <w:rFonts w:ascii="Calibri" w:hAnsi="Calibri"/>
          <w:b/>
          <w:i/>
          <w:sz w:val="22"/>
        </w:rPr>
        <w:t>4.1</w:t>
      </w:r>
      <w:r w:rsidR="00A95967" w:rsidRPr="003970AE">
        <w:rPr>
          <w:rFonts w:ascii="Calibri" w:hAnsi="Calibri"/>
          <w:b/>
          <w:i/>
          <w:sz w:val="22"/>
        </w:rPr>
        <w:tab/>
      </w:r>
      <w:r w:rsidR="001E3012" w:rsidRPr="00602B48">
        <w:rPr>
          <w:rFonts w:ascii="Calibri" w:hAnsi="Calibri" w:cs="Calibri"/>
          <w:b/>
          <w:i/>
          <w:sz w:val="22"/>
        </w:rPr>
        <w:t>Naložbe v raziskave, razvoj in inovacije</w:t>
      </w:r>
      <w:r w:rsidR="00685052" w:rsidRPr="00602B48">
        <w:rPr>
          <w:rFonts w:ascii="Calibri" w:hAnsi="Calibri" w:cs="Calibri"/>
          <w:b/>
          <w:i/>
          <w:sz w:val="22"/>
        </w:rPr>
        <w:t>, digitalizacijo</w:t>
      </w:r>
      <w:r w:rsidR="001E3012" w:rsidRPr="00602B48">
        <w:rPr>
          <w:rFonts w:ascii="Calibri" w:hAnsi="Calibri" w:cs="Calibri"/>
          <w:b/>
          <w:i/>
          <w:sz w:val="22"/>
        </w:rPr>
        <w:t xml:space="preserve"> ter proizvodne zmogljivosti v</w:t>
      </w:r>
      <w:r w:rsidR="00833EEF" w:rsidRPr="00602B48">
        <w:rPr>
          <w:rFonts w:ascii="Calibri" w:hAnsi="Calibri" w:cs="Calibri"/>
          <w:b/>
          <w:i/>
          <w:sz w:val="22"/>
        </w:rPr>
        <w:t xml:space="preserve"> </w:t>
      </w:r>
      <w:r w:rsidR="0040373F" w:rsidRPr="00602B48">
        <w:rPr>
          <w:rFonts w:ascii="Calibri" w:hAnsi="Calibri" w:cs="Calibri"/>
          <w:b/>
          <w:i/>
          <w:sz w:val="22"/>
        </w:rPr>
        <w:t>v malih in srednje velikih podjetjih</w:t>
      </w:r>
      <w:r w:rsidR="00082743" w:rsidRPr="00602B48">
        <w:rPr>
          <w:rFonts w:ascii="Calibri" w:hAnsi="Calibri" w:cs="Calibri"/>
          <w:b/>
          <w:i/>
          <w:sz w:val="22"/>
        </w:rPr>
        <w:t xml:space="preserve">: </w:t>
      </w:r>
      <w:r w:rsidR="001E3012" w:rsidRPr="00602B48">
        <w:rPr>
          <w:rFonts w:ascii="Calibri" w:hAnsi="Calibri" w:cs="Calibri"/>
          <w:sz w:val="22"/>
        </w:rPr>
        <w:t xml:space="preserve">v sklopu tega ukrepa bo podpora namenjena </w:t>
      </w:r>
      <w:r w:rsidR="0040373F" w:rsidRPr="00602B48">
        <w:rPr>
          <w:rFonts w:ascii="Calibri" w:hAnsi="Calibri" w:cs="Calibri"/>
          <w:sz w:val="22"/>
        </w:rPr>
        <w:t xml:space="preserve">malim in srednjim podjetjem predvsem na področjih, ki so kot prebojna </w:t>
      </w:r>
      <w:r w:rsidR="00A95967" w:rsidRPr="00602B48">
        <w:rPr>
          <w:rFonts w:ascii="Calibri" w:hAnsi="Calibri" w:cs="Calibri"/>
          <w:sz w:val="22"/>
        </w:rPr>
        <w:t xml:space="preserve">področja </w:t>
      </w:r>
      <w:r w:rsidR="0040373F" w:rsidRPr="00602B48">
        <w:rPr>
          <w:rFonts w:ascii="Calibri" w:hAnsi="Calibri" w:cs="Calibri"/>
          <w:sz w:val="22"/>
        </w:rPr>
        <w:t xml:space="preserve">prepoznana v Strategiji pametne specializacije ter na tistih področjih, ki se bodo izkazala kot odločilna za izvedbo pravičnega prehoda </w:t>
      </w:r>
      <w:r w:rsidR="0040373F" w:rsidRPr="00345003">
        <w:rPr>
          <w:rFonts w:asciiTheme="minorHAnsi" w:eastAsia="Times New Roman" w:hAnsiTheme="minorHAnsi" w:cstheme="minorHAnsi"/>
          <w:bCs/>
          <w:sz w:val="22"/>
          <w:lang w:eastAsia="sl-SI"/>
        </w:rPr>
        <w:t>regije</w:t>
      </w:r>
      <w:r w:rsidR="0040373F" w:rsidRPr="00602B48">
        <w:rPr>
          <w:rFonts w:ascii="Calibri" w:hAnsi="Calibri" w:cs="Calibri"/>
          <w:sz w:val="22"/>
        </w:rPr>
        <w:t xml:space="preserve"> in blaženje posledic in izkoriščanje potenciala nadaljnje preobrazbe v nizkoogljično krožno gospodarstvo. Podpora bo namenjena tudi krepitvi RRI v SME, ki bo temeljil na prenosu znanj med njimi in velikimi podjetji. </w:t>
      </w:r>
    </w:p>
    <w:p w14:paraId="6C382884" w14:textId="43607D35" w:rsidR="00FB7E7D" w:rsidRPr="00602B48" w:rsidRDefault="00082743" w:rsidP="00A406CC">
      <w:pPr>
        <w:spacing w:after="0"/>
        <w:ind w:left="851" w:hanging="567"/>
        <w:rPr>
          <w:rFonts w:ascii="Calibri" w:hAnsi="Calibri" w:cs="Calibri"/>
          <w:sz w:val="22"/>
        </w:rPr>
      </w:pPr>
      <w:r w:rsidRPr="008B037E">
        <w:rPr>
          <w:rFonts w:asciiTheme="minorHAnsi" w:hAnsiTheme="minorHAnsi" w:cstheme="minorHAnsi"/>
          <w:b/>
          <w:sz w:val="22"/>
        </w:rPr>
        <w:t>4.1</w:t>
      </w:r>
      <w:r w:rsidR="00374854" w:rsidRPr="008B037E">
        <w:rPr>
          <w:rFonts w:asciiTheme="minorHAnsi" w:hAnsiTheme="minorHAnsi" w:cstheme="minorHAnsi"/>
          <w:b/>
          <w:sz w:val="22"/>
        </w:rPr>
        <w:t>.1</w:t>
      </w:r>
      <w:r w:rsidR="00A95967">
        <w:rPr>
          <w:rFonts w:asciiTheme="minorHAnsi" w:hAnsiTheme="minorHAnsi" w:cstheme="minorHAnsi"/>
          <w:b/>
          <w:sz w:val="22"/>
        </w:rPr>
        <w:tab/>
      </w:r>
      <w:r w:rsidRPr="00602B48">
        <w:rPr>
          <w:rFonts w:ascii="Calibri" w:hAnsi="Calibri" w:cs="Calibri"/>
          <w:b/>
          <w:sz w:val="22"/>
        </w:rPr>
        <w:t xml:space="preserve">Naložbe v </w:t>
      </w:r>
      <w:r w:rsidR="00771058" w:rsidRPr="00602B48">
        <w:rPr>
          <w:rFonts w:ascii="Calibri" w:hAnsi="Calibri" w:cs="Calibri"/>
          <w:b/>
          <w:sz w:val="22"/>
        </w:rPr>
        <w:t>RRI</w:t>
      </w:r>
      <w:r w:rsidRPr="00602B48">
        <w:rPr>
          <w:rFonts w:ascii="Calibri" w:hAnsi="Calibri" w:cs="Calibri"/>
          <w:sz w:val="22"/>
        </w:rPr>
        <w:t xml:space="preserve"> - </w:t>
      </w:r>
      <w:r w:rsidR="0040373F" w:rsidRPr="00602B48">
        <w:rPr>
          <w:rFonts w:ascii="Calibri" w:hAnsi="Calibri" w:cs="Calibri"/>
          <w:sz w:val="22"/>
        </w:rPr>
        <w:t>Podpora</w:t>
      </w:r>
      <w:r w:rsidR="00DD7F6B" w:rsidRPr="00602B48">
        <w:rPr>
          <w:rFonts w:ascii="Calibri" w:hAnsi="Calibri" w:cs="Calibri"/>
          <w:sz w:val="22"/>
        </w:rPr>
        <w:t xml:space="preserve"> </w:t>
      </w:r>
      <w:r w:rsidR="0040373F" w:rsidRPr="00602B48">
        <w:rPr>
          <w:rFonts w:ascii="Calibri" w:hAnsi="Calibri" w:cs="Calibri"/>
          <w:sz w:val="22"/>
        </w:rPr>
        <w:t xml:space="preserve">naložbam </w:t>
      </w:r>
      <w:r w:rsidR="00DD7F6B" w:rsidRPr="00602B48">
        <w:rPr>
          <w:rFonts w:ascii="Calibri" w:hAnsi="Calibri" w:cs="Calibri"/>
          <w:sz w:val="22"/>
        </w:rPr>
        <w:t xml:space="preserve">v raziskave in razvoj povezane z industrijo 4.0 in s tovarnami prihodnosti v skladu z načeli podnebno nevtralnega in krožnega gospodarstva (npr. digitalizacija; povečanje virtualizacije procesov in delovne sile; simulacije prototipnih rešitev; uvajanja umetne inteligence v proizvodne procese; razvoj pametnih prostorov; robotika; hiperavtomatizacija; rešitve IoT; digitalni dvojčki). </w:t>
      </w:r>
      <w:r w:rsidR="00FB7E7D" w:rsidRPr="00602B48">
        <w:rPr>
          <w:rFonts w:ascii="Calibri" w:hAnsi="Calibri" w:cs="Calibri"/>
          <w:sz w:val="22"/>
        </w:rPr>
        <w:t xml:space="preserve">Spodbujali bomo tudi RRI partnerstva med MSP in velikimi podjetji ter in odprto inoviranje na vseh področjih, ki so skladna s S5 </w:t>
      </w:r>
      <w:r w:rsidR="003D1F72" w:rsidRPr="00602B48">
        <w:rPr>
          <w:rFonts w:ascii="Calibri" w:hAnsi="Calibri" w:cs="Calibri"/>
          <w:sz w:val="22"/>
        </w:rPr>
        <w:t>(npr. Laboratorij za raziskave bio-rafinacije biomase, Kemijski inštitut)</w:t>
      </w:r>
      <w:r w:rsidR="00345003">
        <w:rPr>
          <w:rFonts w:ascii="Calibri" w:hAnsi="Calibri" w:cs="Calibri"/>
          <w:sz w:val="22"/>
        </w:rPr>
        <w:t>.</w:t>
      </w:r>
    </w:p>
    <w:p w14:paraId="44C9BEC9" w14:textId="3EBE25E9" w:rsidR="00257D5E" w:rsidRPr="00602B48" w:rsidRDefault="007E074D" w:rsidP="00A406CC">
      <w:pPr>
        <w:spacing w:after="0"/>
        <w:ind w:left="851" w:hanging="567"/>
        <w:rPr>
          <w:rFonts w:ascii="Calibri" w:hAnsi="Calibri" w:cs="Calibri"/>
          <w:sz w:val="22"/>
        </w:rPr>
      </w:pPr>
      <w:r w:rsidRPr="008B037E">
        <w:rPr>
          <w:rFonts w:asciiTheme="minorHAnsi" w:hAnsiTheme="minorHAnsi" w:cstheme="minorHAnsi"/>
          <w:b/>
          <w:sz w:val="22"/>
        </w:rPr>
        <w:t>4.</w:t>
      </w:r>
      <w:r w:rsidR="00374854" w:rsidRPr="008B037E">
        <w:rPr>
          <w:rFonts w:asciiTheme="minorHAnsi" w:hAnsiTheme="minorHAnsi" w:cstheme="minorHAnsi"/>
          <w:b/>
          <w:sz w:val="22"/>
        </w:rPr>
        <w:t>1.</w:t>
      </w:r>
      <w:r w:rsidR="00687F35" w:rsidRPr="008B037E">
        <w:rPr>
          <w:rFonts w:asciiTheme="minorHAnsi" w:hAnsiTheme="minorHAnsi" w:cstheme="minorHAnsi"/>
          <w:b/>
          <w:sz w:val="22"/>
        </w:rPr>
        <w:t>2</w:t>
      </w:r>
      <w:r w:rsidR="00602B48">
        <w:rPr>
          <w:rFonts w:asciiTheme="minorHAnsi" w:hAnsiTheme="minorHAnsi" w:cstheme="minorHAnsi"/>
          <w:b/>
          <w:sz w:val="22"/>
        </w:rPr>
        <w:tab/>
      </w:r>
      <w:r w:rsidRPr="00602B48">
        <w:rPr>
          <w:rFonts w:ascii="Calibri" w:hAnsi="Calibri" w:cs="Calibri"/>
          <w:b/>
          <w:sz w:val="22"/>
        </w:rPr>
        <w:t>Pilotni in demonstracijski projekti</w:t>
      </w:r>
      <w:r w:rsidRPr="00602B48">
        <w:rPr>
          <w:rFonts w:ascii="Calibri" w:hAnsi="Calibri" w:cs="Calibri"/>
          <w:sz w:val="22"/>
        </w:rPr>
        <w:t xml:space="preserve"> -</w:t>
      </w:r>
      <w:r w:rsidR="00082743" w:rsidRPr="00602B48">
        <w:rPr>
          <w:rFonts w:ascii="Calibri" w:hAnsi="Calibri" w:cs="Calibri"/>
          <w:sz w:val="22"/>
        </w:rPr>
        <w:t xml:space="preserve"> </w:t>
      </w:r>
      <w:r w:rsidR="00257D5E" w:rsidRPr="00602B48">
        <w:rPr>
          <w:rFonts w:ascii="Calibri" w:hAnsi="Calibri" w:cs="Calibri"/>
          <w:sz w:val="22"/>
        </w:rPr>
        <w:t>V okviru tega ukrepa bo mogoče podpreti tudi izvedbo pilotnih/demonstracijskih projektov za izvedbo tehnološki</w:t>
      </w:r>
      <w:r w:rsidR="00353A05" w:rsidRPr="00602B48">
        <w:rPr>
          <w:rFonts w:ascii="Calibri" w:hAnsi="Calibri" w:cs="Calibri"/>
          <w:sz w:val="22"/>
        </w:rPr>
        <w:t>h</w:t>
      </w:r>
      <w:r w:rsidR="00257D5E" w:rsidRPr="00602B48">
        <w:rPr>
          <w:rFonts w:ascii="Calibri" w:hAnsi="Calibri" w:cs="Calibri"/>
          <w:sz w:val="22"/>
        </w:rPr>
        <w:t xml:space="preserve"> in/ali netehnoloških/družbenih inovacij.</w:t>
      </w:r>
      <w:r w:rsidR="00B577A3" w:rsidRPr="00602B48">
        <w:rPr>
          <w:rFonts w:ascii="Calibri" w:hAnsi="Calibri" w:cs="Calibri"/>
          <w:sz w:val="22"/>
        </w:rPr>
        <w:t xml:space="preserve"> </w:t>
      </w:r>
    </w:p>
    <w:p w14:paraId="29A2CB8A" w14:textId="0B5ECEA8" w:rsidR="005D5E13" w:rsidRPr="00A406CC" w:rsidRDefault="00826212" w:rsidP="00A406CC">
      <w:pPr>
        <w:spacing w:after="240"/>
        <w:ind w:left="851" w:hanging="567"/>
        <w:rPr>
          <w:rFonts w:ascii="Calibri" w:hAnsi="Calibri" w:cs="Calibri"/>
          <w:sz w:val="22"/>
        </w:rPr>
      </w:pPr>
      <w:r w:rsidRPr="00A406CC">
        <w:rPr>
          <w:rFonts w:ascii="Calibri" w:hAnsi="Calibri" w:cs="Calibri"/>
          <w:b/>
          <w:sz w:val="22"/>
        </w:rPr>
        <w:t>4.</w:t>
      </w:r>
      <w:r w:rsidR="00374854" w:rsidRPr="00A406CC">
        <w:rPr>
          <w:rFonts w:ascii="Calibri" w:hAnsi="Calibri" w:cs="Calibri"/>
          <w:b/>
          <w:sz w:val="22"/>
        </w:rPr>
        <w:t>1.</w:t>
      </w:r>
      <w:r w:rsidR="00602B48" w:rsidRPr="00A406CC">
        <w:rPr>
          <w:rFonts w:ascii="Calibri" w:hAnsi="Calibri" w:cs="Calibri"/>
          <w:b/>
          <w:sz w:val="22"/>
        </w:rPr>
        <w:t>3</w:t>
      </w:r>
      <w:r w:rsidR="00602B48" w:rsidRPr="00A406CC">
        <w:rPr>
          <w:rFonts w:ascii="Calibri" w:hAnsi="Calibri" w:cs="Calibri"/>
          <w:b/>
          <w:sz w:val="22"/>
        </w:rPr>
        <w:tab/>
      </w:r>
      <w:r w:rsidR="00AE1D09" w:rsidRPr="00A406CC">
        <w:rPr>
          <w:rFonts w:ascii="Calibri" w:hAnsi="Calibri" w:cs="Calibri"/>
          <w:b/>
          <w:sz w:val="22"/>
        </w:rPr>
        <w:t>Podpora produktivnim naložbam za diverzifikacijo</w:t>
      </w:r>
      <w:r w:rsidR="00AE1D09" w:rsidRPr="00A406CC">
        <w:rPr>
          <w:rFonts w:ascii="Calibri" w:hAnsi="Calibri" w:cs="Calibri"/>
          <w:b/>
          <w:i/>
          <w:sz w:val="22"/>
        </w:rPr>
        <w:t xml:space="preserve"> </w:t>
      </w:r>
      <w:r w:rsidR="0062494B" w:rsidRPr="00A406CC">
        <w:rPr>
          <w:rFonts w:ascii="Calibri" w:hAnsi="Calibri" w:cs="Calibri"/>
          <w:b/>
          <w:i/>
          <w:sz w:val="22"/>
        </w:rPr>
        <w:t xml:space="preserve">- </w:t>
      </w:r>
      <w:r w:rsidR="003B2208" w:rsidRPr="00A406CC">
        <w:rPr>
          <w:rFonts w:ascii="Calibri" w:hAnsi="Calibri" w:cs="Calibri"/>
          <w:sz w:val="22"/>
        </w:rPr>
        <w:t xml:space="preserve">v </w:t>
      </w:r>
      <w:r w:rsidR="00AE1D09" w:rsidRPr="00A406CC">
        <w:rPr>
          <w:rFonts w:ascii="Calibri" w:hAnsi="Calibri" w:cs="Calibri"/>
          <w:sz w:val="22"/>
        </w:rPr>
        <w:t xml:space="preserve">MSP, </w:t>
      </w:r>
      <w:r w:rsidR="003B2208" w:rsidRPr="00A406CC">
        <w:rPr>
          <w:rFonts w:ascii="Calibri" w:hAnsi="Calibri" w:cs="Calibri"/>
          <w:sz w:val="22"/>
        </w:rPr>
        <w:t xml:space="preserve">ki </w:t>
      </w:r>
      <w:r w:rsidR="00AE1D09" w:rsidRPr="00A406CC">
        <w:rPr>
          <w:rFonts w:ascii="Calibri" w:hAnsi="Calibri" w:cs="Calibri"/>
          <w:sz w:val="22"/>
        </w:rPr>
        <w:t>bodo na področjih, skladnih s S5</w:t>
      </w:r>
      <w:r w:rsidR="00AE1D09" w:rsidRPr="00A406CC">
        <w:rPr>
          <w:rFonts w:ascii="Calibri" w:hAnsi="Calibri" w:cs="Calibri"/>
          <w:b/>
          <w:sz w:val="22"/>
        </w:rPr>
        <w:t>,</w:t>
      </w:r>
      <w:r w:rsidR="00AE1D09" w:rsidRPr="00A406CC">
        <w:rPr>
          <w:rFonts w:ascii="Calibri" w:hAnsi="Calibri" w:cs="Calibri"/>
          <w:sz w:val="22"/>
        </w:rPr>
        <w:t xml:space="preserve"> krepila proizvodne, storitvene in/ali raziskovalno razvojne dejavnosti z</w:t>
      </w:r>
      <w:r w:rsidR="007D6C4D" w:rsidRPr="00A406CC">
        <w:rPr>
          <w:rFonts w:ascii="Calibri" w:hAnsi="Calibri" w:cs="Calibri"/>
          <w:sz w:val="22"/>
        </w:rPr>
        <w:t xml:space="preserve">a pospeševanje </w:t>
      </w:r>
      <w:r w:rsidR="003B2208" w:rsidRPr="00A406CC">
        <w:rPr>
          <w:rFonts w:ascii="Calibri" w:hAnsi="Calibri" w:cs="Calibri"/>
          <w:sz w:val="22"/>
        </w:rPr>
        <w:t xml:space="preserve">dvojnega </w:t>
      </w:r>
      <w:r w:rsidR="007D6C4D" w:rsidRPr="00A406CC">
        <w:rPr>
          <w:rFonts w:ascii="Calibri" w:hAnsi="Calibri" w:cs="Calibri"/>
          <w:sz w:val="22"/>
        </w:rPr>
        <w:t>prehoda</w:t>
      </w:r>
      <w:r w:rsidR="003B2208" w:rsidRPr="00A406CC">
        <w:rPr>
          <w:rFonts w:ascii="Calibri" w:hAnsi="Calibri" w:cs="Calibri"/>
          <w:sz w:val="22"/>
        </w:rPr>
        <w:t xml:space="preserve">. Za področje prehoda v podnebno nevtralno, krožno gospodarstvo bodo podpore namenjene, med drugim: </w:t>
      </w:r>
      <w:r w:rsidR="007A3994" w:rsidRPr="00A406CC">
        <w:rPr>
          <w:rFonts w:ascii="Calibri" w:hAnsi="Calibri" w:cs="Calibri"/>
          <w:sz w:val="22"/>
        </w:rPr>
        <w:t xml:space="preserve">naložbam </w:t>
      </w:r>
      <w:r w:rsidR="003B2208" w:rsidRPr="00A406CC">
        <w:rPr>
          <w:rFonts w:ascii="Calibri" w:hAnsi="Calibri" w:cs="Calibri"/>
          <w:sz w:val="22"/>
        </w:rPr>
        <w:t>v</w:t>
      </w:r>
      <w:r w:rsidR="007A3994" w:rsidRPr="00A406CC">
        <w:rPr>
          <w:rFonts w:ascii="Calibri" w:hAnsi="Calibri" w:cs="Calibri"/>
          <w:sz w:val="22"/>
        </w:rPr>
        <w:t xml:space="preserve"> učinkovit</w:t>
      </w:r>
      <w:r w:rsidR="003B2208" w:rsidRPr="00A406CC">
        <w:rPr>
          <w:rFonts w:ascii="Calibri" w:hAnsi="Calibri" w:cs="Calibri"/>
          <w:sz w:val="22"/>
        </w:rPr>
        <w:t>o</w:t>
      </w:r>
      <w:r w:rsidR="007A3994" w:rsidRPr="00A406CC">
        <w:rPr>
          <w:rFonts w:ascii="Calibri" w:hAnsi="Calibri" w:cs="Calibri"/>
          <w:sz w:val="22"/>
        </w:rPr>
        <w:t xml:space="preserve"> rab</w:t>
      </w:r>
      <w:r w:rsidR="003B2208" w:rsidRPr="00A406CC">
        <w:rPr>
          <w:rFonts w:ascii="Calibri" w:hAnsi="Calibri" w:cs="Calibri"/>
          <w:sz w:val="22"/>
        </w:rPr>
        <w:t>o</w:t>
      </w:r>
      <w:r w:rsidR="007A3994" w:rsidRPr="00A406CC">
        <w:rPr>
          <w:rFonts w:ascii="Calibri" w:hAnsi="Calibri" w:cs="Calibri"/>
          <w:sz w:val="22"/>
        </w:rPr>
        <w:t xml:space="preserve"> energije; </w:t>
      </w:r>
      <w:r w:rsidR="003B2208" w:rsidRPr="00A406CC">
        <w:rPr>
          <w:rFonts w:ascii="Calibri" w:hAnsi="Calibri" w:cs="Calibri"/>
          <w:sz w:val="22"/>
        </w:rPr>
        <w:t xml:space="preserve">za </w:t>
      </w:r>
      <w:r w:rsidR="007A3994" w:rsidRPr="00A406CC">
        <w:rPr>
          <w:rFonts w:ascii="Calibri" w:hAnsi="Calibri" w:cs="Calibri"/>
          <w:sz w:val="22"/>
        </w:rPr>
        <w:t xml:space="preserve">prehod na rabo OVE; </w:t>
      </w:r>
      <w:r w:rsidR="003B2208" w:rsidRPr="00A406CC">
        <w:rPr>
          <w:rFonts w:ascii="Calibri" w:hAnsi="Calibri" w:cs="Calibri"/>
          <w:sz w:val="22"/>
        </w:rPr>
        <w:t xml:space="preserve">v </w:t>
      </w:r>
      <w:r w:rsidR="007A3994" w:rsidRPr="00A406CC">
        <w:rPr>
          <w:rFonts w:ascii="Calibri" w:hAnsi="Calibri" w:cs="Calibri"/>
          <w:sz w:val="22"/>
        </w:rPr>
        <w:t xml:space="preserve">izboljšave snovne produktivnosti; </w:t>
      </w:r>
      <w:r w:rsidR="003B2208" w:rsidRPr="00A406CC">
        <w:rPr>
          <w:rFonts w:ascii="Calibri" w:hAnsi="Calibri" w:cs="Calibri"/>
          <w:sz w:val="22"/>
        </w:rPr>
        <w:t xml:space="preserve">za uvedbo </w:t>
      </w:r>
      <w:r w:rsidR="007A3994" w:rsidRPr="00A406CC">
        <w:rPr>
          <w:rFonts w:ascii="Calibri" w:hAnsi="Calibri" w:cs="Calibri"/>
          <w:sz w:val="22"/>
        </w:rPr>
        <w:t xml:space="preserve">industrijske simbioze; </w:t>
      </w:r>
      <w:r w:rsidR="003B2208" w:rsidRPr="00A406CC">
        <w:rPr>
          <w:rFonts w:ascii="Calibri" w:hAnsi="Calibri" w:cs="Calibri"/>
          <w:sz w:val="22"/>
        </w:rPr>
        <w:t xml:space="preserve">v </w:t>
      </w:r>
      <w:r w:rsidR="007A3994" w:rsidRPr="00A406CC">
        <w:rPr>
          <w:rFonts w:ascii="Calibri" w:hAnsi="Calibri" w:cs="Calibri"/>
          <w:sz w:val="22"/>
        </w:rPr>
        <w:t xml:space="preserve">razvoj </w:t>
      </w:r>
      <w:r w:rsidR="00EB7D6F" w:rsidRPr="00A406CC">
        <w:rPr>
          <w:rFonts w:ascii="Calibri" w:hAnsi="Calibri" w:cs="Calibri"/>
          <w:sz w:val="22"/>
        </w:rPr>
        <w:t xml:space="preserve">in </w:t>
      </w:r>
      <w:r w:rsidR="00EB7D6F" w:rsidRPr="00A406CC">
        <w:rPr>
          <w:rFonts w:ascii="Calibri" w:hAnsi="Calibri" w:cs="Calibri"/>
          <w:sz w:val="22"/>
        </w:rPr>
        <w:lastRenderedPageBreak/>
        <w:t>komercializacijo</w:t>
      </w:r>
      <w:r w:rsidR="007A3994" w:rsidRPr="00A406CC">
        <w:rPr>
          <w:rFonts w:ascii="Calibri" w:hAnsi="Calibri" w:cs="Calibri"/>
          <w:sz w:val="22"/>
        </w:rPr>
        <w:t xml:space="preserve"> materialov, izdelkov, storitev, poslovnih modelov</w:t>
      </w:r>
      <w:r w:rsidR="003B2208" w:rsidRPr="00A406CC">
        <w:rPr>
          <w:rFonts w:ascii="Calibri" w:hAnsi="Calibri" w:cs="Calibri"/>
          <w:sz w:val="22"/>
        </w:rPr>
        <w:t xml:space="preserve"> skladnih z načeli podnebne nevtralnosti in krožnega gospodarstva; itd. Ob naložbah za zeleni prehod bodo podjetja lahko pridobila sredstva za preobrazbo v industrijo 4.0, digitalizacijo, itd. </w:t>
      </w:r>
    </w:p>
    <w:p w14:paraId="65433F04" w14:textId="314CB641" w:rsidR="001423A0" w:rsidRDefault="00A406CC" w:rsidP="00CB42C8">
      <w:pPr>
        <w:spacing w:before="0" w:after="60" w:line="276" w:lineRule="auto"/>
        <w:ind w:left="425" w:hanging="425"/>
        <w:rPr>
          <w:rFonts w:asciiTheme="minorHAnsi" w:hAnsiTheme="minorHAnsi" w:cstheme="minorHAnsi"/>
          <w:sz w:val="22"/>
        </w:rPr>
      </w:pPr>
      <w:r>
        <w:rPr>
          <w:rFonts w:asciiTheme="minorHAnsi" w:hAnsiTheme="minorHAnsi" w:cstheme="minorHAnsi"/>
          <w:b/>
          <w:i/>
          <w:sz w:val="22"/>
        </w:rPr>
        <w:t>4.2</w:t>
      </w:r>
      <w:r>
        <w:rPr>
          <w:rFonts w:asciiTheme="minorHAnsi" w:hAnsiTheme="minorHAnsi" w:cstheme="minorHAnsi"/>
          <w:b/>
          <w:i/>
          <w:sz w:val="22"/>
        </w:rPr>
        <w:tab/>
      </w:r>
      <w:r w:rsidR="003F427B">
        <w:rPr>
          <w:rFonts w:ascii="Calibri" w:hAnsi="Calibri" w:cs="Calibri"/>
          <w:b/>
          <w:i/>
          <w:sz w:val="22"/>
        </w:rPr>
        <w:t>N</w:t>
      </w:r>
      <w:r w:rsidR="00A4789E">
        <w:rPr>
          <w:rFonts w:ascii="Calibri" w:hAnsi="Calibri" w:cs="Calibri"/>
          <w:b/>
          <w:i/>
          <w:sz w:val="22"/>
        </w:rPr>
        <w:t>ad</w:t>
      </w:r>
      <w:r w:rsidR="003F427B">
        <w:rPr>
          <w:rFonts w:ascii="Calibri" w:hAnsi="Calibri" w:cs="Calibri"/>
          <w:b/>
          <w:i/>
          <w:sz w:val="22"/>
        </w:rPr>
        <w:t>gradnja</w:t>
      </w:r>
      <w:r w:rsidR="003F427B" w:rsidRPr="008B037E">
        <w:rPr>
          <w:rFonts w:asciiTheme="minorHAnsi" w:hAnsiTheme="minorHAnsi" w:cstheme="minorHAnsi"/>
          <w:b/>
          <w:i/>
          <w:sz w:val="22"/>
        </w:rPr>
        <w:t xml:space="preserve"> </w:t>
      </w:r>
      <w:r w:rsidR="005D5E13" w:rsidRPr="00CB42C8">
        <w:rPr>
          <w:rFonts w:ascii="Calibri" w:hAnsi="Calibri" w:cs="Calibri"/>
          <w:b/>
          <w:i/>
          <w:sz w:val="22"/>
        </w:rPr>
        <w:t>start</w:t>
      </w:r>
      <w:r w:rsidR="005D5E13" w:rsidRPr="008B037E">
        <w:rPr>
          <w:rFonts w:asciiTheme="minorHAnsi" w:hAnsiTheme="minorHAnsi" w:cstheme="minorHAnsi"/>
          <w:b/>
          <w:i/>
          <w:sz w:val="22"/>
        </w:rPr>
        <w:t>-up ekosistema ter spodbujanje podjetij s potencialom hitre rasti, vključno z ekonomsko poslovno infrastrukturo</w:t>
      </w:r>
      <w:r>
        <w:rPr>
          <w:rFonts w:asciiTheme="minorHAnsi" w:hAnsiTheme="minorHAnsi" w:cstheme="minorHAnsi"/>
          <w:b/>
          <w:i/>
          <w:sz w:val="22"/>
        </w:rPr>
        <w:t xml:space="preserve">: </w:t>
      </w:r>
      <w:r>
        <w:rPr>
          <w:rFonts w:asciiTheme="minorHAnsi" w:hAnsiTheme="minorHAnsi" w:cstheme="minorHAnsi"/>
          <w:sz w:val="22"/>
        </w:rPr>
        <w:t>s</w:t>
      </w:r>
      <w:r w:rsidR="007E701B" w:rsidRPr="008B037E">
        <w:rPr>
          <w:rFonts w:asciiTheme="minorHAnsi" w:hAnsiTheme="minorHAnsi" w:cstheme="minorHAnsi"/>
          <w:sz w:val="22"/>
        </w:rPr>
        <w:t xml:space="preserve">kladno z drugimi strateškimi cilji bo podpora namenjena projektom in pobudam, ki bodo bodisi izkoristile ali izboljšale obstoječe potenciale in zmogljivosti regije, ki so neposredno </w:t>
      </w:r>
      <w:r w:rsidR="003F427B" w:rsidRPr="008B037E">
        <w:rPr>
          <w:rFonts w:asciiTheme="minorHAnsi" w:hAnsiTheme="minorHAnsi" w:cstheme="minorHAnsi"/>
          <w:sz w:val="22"/>
        </w:rPr>
        <w:t>povezan</w:t>
      </w:r>
      <w:r w:rsidR="003F427B">
        <w:rPr>
          <w:rFonts w:asciiTheme="minorHAnsi" w:hAnsiTheme="minorHAnsi" w:cstheme="minorHAnsi"/>
          <w:sz w:val="22"/>
        </w:rPr>
        <w:t>e</w:t>
      </w:r>
      <w:r w:rsidR="003F427B" w:rsidRPr="008B037E">
        <w:rPr>
          <w:rFonts w:asciiTheme="minorHAnsi" w:hAnsiTheme="minorHAnsi" w:cstheme="minorHAnsi"/>
          <w:sz w:val="22"/>
        </w:rPr>
        <w:t xml:space="preserve"> </w:t>
      </w:r>
      <w:r w:rsidR="007E701B" w:rsidRPr="008B037E">
        <w:rPr>
          <w:rFonts w:asciiTheme="minorHAnsi" w:hAnsiTheme="minorHAnsi" w:cstheme="minorHAnsi"/>
          <w:sz w:val="22"/>
        </w:rPr>
        <w:t>s pravičnejšim prehodom.</w:t>
      </w:r>
      <w:r w:rsidR="002A593E">
        <w:rPr>
          <w:rFonts w:asciiTheme="minorHAnsi" w:hAnsiTheme="minorHAnsi" w:cstheme="minorHAnsi"/>
          <w:sz w:val="22"/>
        </w:rPr>
        <w:t xml:space="preserve"> </w:t>
      </w:r>
      <w:r w:rsidR="00082326" w:rsidRPr="008B037E">
        <w:rPr>
          <w:rFonts w:asciiTheme="minorHAnsi" w:hAnsiTheme="minorHAnsi" w:cstheme="minorHAnsi"/>
          <w:sz w:val="22"/>
        </w:rPr>
        <w:t>Sredstva bodo namenjena področjem</w:t>
      </w:r>
      <w:r w:rsidR="005E53D6" w:rsidRPr="008B037E">
        <w:rPr>
          <w:rFonts w:asciiTheme="minorHAnsi" w:hAnsiTheme="minorHAnsi" w:cstheme="minorHAnsi"/>
          <w:sz w:val="22"/>
        </w:rPr>
        <w:t xml:space="preserve"> kot </w:t>
      </w:r>
      <w:r w:rsidR="00F6335F" w:rsidRPr="008B037E">
        <w:rPr>
          <w:rFonts w:asciiTheme="minorHAnsi" w:hAnsiTheme="minorHAnsi" w:cstheme="minorHAnsi"/>
          <w:sz w:val="22"/>
        </w:rPr>
        <w:t xml:space="preserve">sledi </w:t>
      </w:r>
      <w:r w:rsidR="005E53D6" w:rsidRPr="008B037E">
        <w:rPr>
          <w:rFonts w:asciiTheme="minorHAnsi" w:hAnsiTheme="minorHAnsi" w:cstheme="minorHAnsi"/>
          <w:sz w:val="22"/>
        </w:rPr>
        <w:t>v nadaljevanju.</w:t>
      </w:r>
    </w:p>
    <w:p w14:paraId="0B7FEA6D" w14:textId="4F2ACBF0" w:rsidR="00F25967" w:rsidRDefault="007E074D" w:rsidP="00A4789E">
      <w:pPr>
        <w:spacing w:after="240"/>
        <w:ind w:left="851" w:hanging="567"/>
        <w:rPr>
          <w:rFonts w:asciiTheme="minorHAnsi" w:hAnsiTheme="minorHAnsi" w:cstheme="minorHAnsi"/>
          <w:sz w:val="22"/>
        </w:rPr>
      </w:pPr>
      <w:r w:rsidRPr="00105C87">
        <w:rPr>
          <w:rFonts w:ascii="Calibri" w:hAnsi="Calibri" w:cs="Calibri"/>
          <w:b/>
          <w:sz w:val="22"/>
        </w:rPr>
        <w:t>4</w:t>
      </w:r>
      <w:r w:rsidR="0062494B" w:rsidRPr="00105C87">
        <w:rPr>
          <w:rFonts w:ascii="Calibri" w:hAnsi="Calibri" w:cs="Calibri"/>
          <w:b/>
          <w:sz w:val="22"/>
        </w:rPr>
        <w:t>.</w:t>
      </w:r>
      <w:r w:rsidR="00105C87" w:rsidRPr="00105C87">
        <w:rPr>
          <w:rFonts w:ascii="Calibri" w:hAnsi="Calibri" w:cs="Calibri"/>
          <w:b/>
          <w:sz w:val="22"/>
        </w:rPr>
        <w:t>2.1</w:t>
      </w:r>
      <w:r w:rsidR="00105C87" w:rsidRPr="00105C87">
        <w:rPr>
          <w:rFonts w:ascii="Calibri" w:hAnsi="Calibri" w:cs="Calibri"/>
          <w:b/>
          <w:sz w:val="22"/>
        </w:rPr>
        <w:tab/>
      </w:r>
      <w:r w:rsidR="005A7A28">
        <w:rPr>
          <w:rFonts w:ascii="Calibri" w:hAnsi="Calibri" w:cs="Calibri"/>
          <w:b/>
          <w:sz w:val="22"/>
        </w:rPr>
        <w:t xml:space="preserve">Za </w:t>
      </w:r>
      <w:r w:rsidR="00CB42C8">
        <w:rPr>
          <w:rFonts w:ascii="Calibri" w:hAnsi="Calibri" w:cs="Calibri"/>
          <w:b/>
          <w:sz w:val="22"/>
        </w:rPr>
        <w:t>i</w:t>
      </w:r>
      <w:r w:rsidRPr="00CB42C8">
        <w:rPr>
          <w:rFonts w:ascii="Calibri" w:hAnsi="Calibri" w:cs="Calibri"/>
          <w:b/>
          <w:sz w:val="22"/>
        </w:rPr>
        <w:t>zboljševanje</w:t>
      </w:r>
      <w:r w:rsidRPr="00105C87">
        <w:rPr>
          <w:rFonts w:ascii="Calibri" w:hAnsi="Calibri" w:cs="Calibri"/>
          <w:b/>
          <w:sz w:val="22"/>
        </w:rPr>
        <w:t xml:space="preserve"> kakovosti in pestrosti ponudbe storitev podpornega okolja</w:t>
      </w:r>
      <w:r w:rsidRPr="00105C87">
        <w:rPr>
          <w:rFonts w:ascii="Calibri" w:hAnsi="Calibri" w:cs="Calibri"/>
          <w:sz w:val="22"/>
        </w:rPr>
        <w:t xml:space="preserve"> -</w:t>
      </w:r>
      <w:r w:rsidR="005A7A28" w:rsidRPr="005A7A28">
        <w:rPr>
          <w:rFonts w:asciiTheme="minorHAnsi" w:hAnsiTheme="minorHAnsi"/>
          <w:sz w:val="22"/>
        </w:rPr>
        <w:t xml:space="preserve"> </w:t>
      </w:r>
      <w:r w:rsidR="005A7A28" w:rsidRPr="00CC2DC7">
        <w:rPr>
          <w:rFonts w:asciiTheme="minorHAnsi" w:hAnsiTheme="minorHAnsi"/>
          <w:sz w:val="22"/>
        </w:rPr>
        <w:t xml:space="preserve">se </w:t>
      </w:r>
      <w:r w:rsidR="007C1F93" w:rsidRPr="00CC2DC7">
        <w:rPr>
          <w:rFonts w:asciiTheme="minorHAnsi" w:hAnsiTheme="minorHAnsi"/>
          <w:sz w:val="22"/>
        </w:rPr>
        <w:t xml:space="preserve">predvidoma </w:t>
      </w:r>
      <w:r w:rsidR="005A7A28" w:rsidRPr="00CC2DC7">
        <w:rPr>
          <w:rFonts w:asciiTheme="minorHAnsi" w:hAnsiTheme="minorHAnsi"/>
          <w:sz w:val="22"/>
        </w:rPr>
        <w:t>ne namenja sredstev SPP, pač pa drugih skladov Programa EKP 21-27 in drugih virov;</w:t>
      </w:r>
      <w:r w:rsidR="0062494B" w:rsidRPr="00CC2DC7">
        <w:rPr>
          <w:rFonts w:ascii="Calibri" w:hAnsi="Calibri" w:cs="Calibri"/>
          <w:b/>
          <w:sz w:val="22"/>
        </w:rPr>
        <w:t>4.</w:t>
      </w:r>
      <w:r w:rsidR="005152F7" w:rsidRPr="00CC2DC7">
        <w:rPr>
          <w:rFonts w:ascii="Calibri" w:hAnsi="Calibri" w:cs="Calibri"/>
          <w:b/>
          <w:sz w:val="22"/>
        </w:rPr>
        <w:t>2.</w:t>
      </w:r>
      <w:r w:rsidR="00A4789E" w:rsidRPr="00CC2DC7">
        <w:rPr>
          <w:rFonts w:ascii="Calibri" w:hAnsi="Calibri" w:cs="Calibri"/>
          <w:b/>
          <w:sz w:val="22"/>
        </w:rPr>
        <w:t>2</w:t>
      </w:r>
      <w:r w:rsidR="005152F7" w:rsidRPr="00CC2DC7">
        <w:rPr>
          <w:b/>
        </w:rPr>
        <w:tab/>
      </w:r>
      <w:r w:rsidR="003F427B" w:rsidRPr="00CC2DC7">
        <w:rPr>
          <w:rFonts w:asciiTheme="minorHAnsi" w:hAnsiTheme="minorHAnsi" w:cstheme="minorHAnsi"/>
          <w:sz w:val="22"/>
        </w:rPr>
        <w:t xml:space="preserve">Za povečanje </w:t>
      </w:r>
      <w:r w:rsidRPr="00CC2DC7">
        <w:rPr>
          <w:rFonts w:asciiTheme="minorHAnsi" w:hAnsiTheme="minorHAnsi" w:cstheme="minorHAnsi"/>
          <w:sz w:val="22"/>
        </w:rPr>
        <w:t xml:space="preserve">privlačnosti regije za neposredne domače in tuje naložbe z </w:t>
      </w:r>
      <w:r w:rsidRPr="00CC2DC7">
        <w:rPr>
          <w:rFonts w:ascii="Calibri" w:hAnsi="Calibri" w:cs="Calibri"/>
          <w:b/>
          <w:sz w:val="22"/>
        </w:rPr>
        <w:t>naložbami</w:t>
      </w:r>
      <w:r w:rsidRPr="00CC2DC7">
        <w:rPr>
          <w:rFonts w:asciiTheme="minorHAnsi" w:hAnsiTheme="minorHAnsi" w:cstheme="minorHAnsi"/>
          <w:b/>
          <w:sz w:val="22"/>
        </w:rPr>
        <w:t xml:space="preserve"> v</w:t>
      </w:r>
      <w:r w:rsidRPr="00CC2DC7">
        <w:rPr>
          <w:rFonts w:asciiTheme="minorHAnsi" w:hAnsiTheme="minorHAnsi" w:cstheme="minorHAnsi"/>
          <w:sz w:val="22"/>
        </w:rPr>
        <w:t xml:space="preserve"> </w:t>
      </w:r>
      <w:r w:rsidR="00B02CBF" w:rsidRPr="00CC2DC7">
        <w:rPr>
          <w:rFonts w:asciiTheme="minorHAnsi" w:hAnsiTheme="minorHAnsi" w:cstheme="minorHAnsi"/>
          <w:b/>
          <w:sz w:val="22"/>
        </w:rPr>
        <w:t>funkcionalni razvoj saniranih prostorsko in okoljsko degradiranih območij</w:t>
      </w:r>
      <w:r w:rsidRPr="00CC2DC7">
        <w:rPr>
          <w:rFonts w:asciiTheme="minorHAnsi" w:hAnsiTheme="minorHAnsi" w:cstheme="minorHAnsi"/>
          <w:sz w:val="22"/>
        </w:rPr>
        <w:t xml:space="preserve"> in</w:t>
      </w:r>
      <w:r w:rsidR="00B02CBF" w:rsidRPr="00CC2DC7">
        <w:rPr>
          <w:rFonts w:asciiTheme="minorHAnsi" w:hAnsiTheme="minorHAnsi" w:cstheme="minorHAnsi"/>
          <w:sz w:val="22"/>
        </w:rPr>
        <w:t xml:space="preserve"> v</w:t>
      </w:r>
      <w:r w:rsidRPr="00CC2DC7">
        <w:rPr>
          <w:rFonts w:asciiTheme="minorHAnsi" w:hAnsiTheme="minorHAnsi" w:cstheme="minorHAnsi"/>
          <w:sz w:val="22"/>
        </w:rPr>
        <w:t xml:space="preserve"> bolj</w:t>
      </w:r>
      <w:r w:rsidR="00A4789E" w:rsidRPr="00CC2DC7">
        <w:rPr>
          <w:rFonts w:asciiTheme="minorHAnsi" w:hAnsiTheme="minorHAnsi" w:cstheme="minorHAnsi"/>
          <w:sz w:val="22"/>
        </w:rPr>
        <w:t xml:space="preserve"> </w:t>
      </w:r>
      <w:r w:rsidRPr="00CC2DC7">
        <w:rPr>
          <w:rFonts w:asciiTheme="minorHAnsi" w:hAnsiTheme="minorHAnsi" w:cstheme="minorHAnsi"/>
          <w:sz w:val="22"/>
        </w:rPr>
        <w:t>profesionalno okolje za podporo podjetjem</w:t>
      </w:r>
      <w:r w:rsidR="00A4789E" w:rsidRPr="00CC2DC7">
        <w:rPr>
          <w:rFonts w:asciiTheme="minorHAnsi" w:hAnsiTheme="minorHAnsi" w:cstheme="minorHAnsi"/>
          <w:sz w:val="22"/>
        </w:rPr>
        <w:t>, tudi start-upom</w:t>
      </w:r>
      <w:r w:rsidRPr="00CC2DC7">
        <w:rPr>
          <w:rFonts w:asciiTheme="minorHAnsi" w:hAnsiTheme="minorHAnsi" w:cstheme="minorHAnsi"/>
          <w:sz w:val="22"/>
        </w:rPr>
        <w:t xml:space="preserve"> (</w:t>
      </w:r>
      <w:r w:rsidR="00A4789E" w:rsidRPr="00CC2DC7">
        <w:rPr>
          <w:rFonts w:asciiTheme="minorHAnsi" w:hAnsiTheme="minorHAnsi" w:cstheme="minorHAnsi"/>
          <w:sz w:val="22"/>
        </w:rPr>
        <w:t xml:space="preserve">vključno </w:t>
      </w:r>
      <w:r w:rsidRPr="00CC2DC7">
        <w:rPr>
          <w:rFonts w:asciiTheme="minorHAnsi" w:hAnsiTheme="minorHAnsi" w:cstheme="minorHAnsi"/>
          <w:sz w:val="22"/>
        </w:rPr>
        <w:t>s krepitvijo poslovnih zavezništev</w:t>
      </w:r>
      <w:r w:rsidR="003F427B" w:rsidRPr="00CC2DC7">
        <w:rPr>
          <w:rFonts w:asciiTheme="minorHAnsi" w:hAnsiTheme="minorHAnsi" w:cstheme="minorHAnsi"/>
          <w:sz w:val="22"/>
        </w:rPr>
        <w:t xml:space="preserve">). </w:t>
      </w:r>
      <w:r w:rsidR="003970AE" w:rsidRPr="00CC2DC7">
        <w:rPr>
          <w:rFonts w:asciiTheme="minorHAnsi" w:hAnsiTheme="minorHAnsi" w:cstheme="minorHAnsi"/>
          <w:sz w:val="22"/>
        </w:rPr>
        <w:t>Zapiranje rudnika namreč zahteva</w:t>
      </w:r>
      <w:r w:rsidR="003F427B" w:rsidRPr="00CC2DC7">
        <w:rPr>
          <w:rFonts w:asciiTheme="minorHAnsi" w:hAnsiTheme="minorHAnsi" w:cstheme="minorHAnsi"/>
          <w:sz w:val="22"/>
        </w:rPr>
        <w:t xml:space="preserve"> poleg</w:t>
      </w:r>
      <w:r w:rsidR="003970AE" w:rsidRPr="00CC2DC7">
        <w:rPr>
          <w:rFonts w:asciiTheme="minorHAnsi" w:hAnsiTheme="minorHAnsi" w:cstheme="minorHAnsi"/>
          <w:sz w:val="22"/>
        </w:rPr>
        <w:t xml:space="preserve"> prekvalifikacij</w:t>
      </w:r>
      <w:r w:rsidR="003F427B" w:rsidRPr="00CC2DC7">
        <w:rPr>
          <w:rFonts w:asciiTheme="minorHAnsi" w:hAnsiTheme="minorHAnsi" w:cstheme="minorHAnsi"/>
          <w:sz w:val="22"/>
        </w:rPr>
        <w:t>e</w:t>
      </w:r>
      <w:r w:rsidR="003970AE" w:rsidRPr="00CC2DC7">
        <w:rPr>
          <w:rFonts w:asciiTheme="minorHAnsi" w:hAnsiTheme="minorHAnsi" w:cstheme="minorHAnsi"/>
          <w:sz w:val="22"/>
        </w:rPr>
        <w:t xml:space="preserve"> delovnih mest </w:t>
      </w:r>
      <w:r w:rsidR="003F427B" w:rsidRPr="00CC2DC7">
        <w:rPr>
          <w:rFonts w:asciiTheme="minorHAnsi" w:hAnsiTheme="minorHAnsi" w:cstheme="minorHAnsi"/>
          <w:sz w:val="22"/>
        </w:rPr>
        <w:t>tudi</w:t>
      </w:r>
      <w:r w:rsidR="003970AE" w:rsidRPr="00CC2DC7">
        <w:rPr>
          <w:rFonts w:asciiTheme="minorHAnsi" w:hAnsiTheme="minorHAnsi" w:cstheme="minorHAnsi"/>
          <w:sz w:val="22"/>
        </w:rPr>
        <w:t xml:space="preserve"> okrepitev zelenega gospodarstva</w:t>
      </w:r>
      <w:r w:rsidR="00B02CBF" w:rsidRPr="00CC2DC7">
        <w:rPr>
          <w:rFonts w:asciiTheme="minorHAnsi" w:hAnsiTheme="minorHAnsi" w:cstheme="minorHAnsi"/>
          <w:sz w:val="22"/>
        </w:rPr>
        <w:t xml:space="preserve">, prehod na čisto energijo, uporabo novih inovativnih tehnologij, za kar je potrebno </w:t>
      </w:r>
      <w:r w:rsidR="003970AE" w:rsidRPr="00CC2DC7">
        <w:rPr>
          <w:rFonts w:asciiTheme="minorHAnsi" w:hAnsiTheme="minorHAnsi" w:cstheme="minorHAnsi"/>
          <w:sz w:val="22"/>
        </w:rPr>
        <w:t>zago</w:t>
      </w:r>
      <w:r w:rsidR="00B02CBF" w:rsidRPr="00CC2DC7">
        <w:rPr>
          <w:rFonts w:asciiTheme="minorHAnsi" w:hAnsiTheme="minorHAnsi" w:cstheme="minorHAnsi"/>
          <w:sz w:val="22"/>
        </w:rPr>
        <w:t>toviti</w:t>
      </w:r>
      <w:r w:rsidR="003970AE" w:rsidRPr="00CC2DC7">
        <w:rPr>
          <w:rFonts w:asciiTheme="minorHAnsi" w:hAnsiTheme="minorHAnsi" w:cstheme="minorHAnsi"/>
          <w:sz w:val="22"/>
        </w:rPr>
        <w:t xml:space="preserve"> infrastrukturn</w:t>
      </w:r>
      <w:r w:rsidR="00B02CBF" w:rsidRPr="00CC2DC7">
        <w:rPr>
          <w:rFonts w:asciiTheme="minorHAnsi" w:hAnsiTheme="minorHAnsi" w:cstheme="minorHAnsi"/>
          <w:sz w:val="22"/>
        </w:rPr>
        <w:t>e</w:t>
      </w:r>
      <w:r w:rsidR="003970AE" w:rsidRPr="00CC2DC7">
        <w:rPr>
          <w:rFonts w:asciiTheme="minorHAnsi" w:hAnsiTheme="minorHAnsi" w:cstheme="minorHAnsi"/>
          <w:sz w:val="22"/>
        </w:rPr>
        <w:t xml:space="preserve"> pogoje </w:t>
      </w:r>
      <w:r w:rsidR="00A4789E" w:rsidRPr="00CC2DC7">
        <w:rPr>
          <w:rFonts w:asciiTheme="minorHAnsi" w:hAnsiTheme="minorHAnsi" w:cstheme="minorHAnsi"/>
          <w:sz w:val="22"/>
        </w:rPr>
        <w:t xml:space="preserve">(poslovne cone, podjetniški inkubatorji, razvojni laboratoriji) </w:t>
      </w:r>
      <w:r w:rsidR="003970AE" w:rsidRPr="00CC2DC7">
        <w:rPr>
          <w:rFonts w:asciiTheme="minorHAnsi" w:hAnsiTheme="minorHAnsi" w:cstheme="minorHAnsi"/>
          <w:sz w:val="22"/>
        </w:rPr>
        <w:t>in ustrezn</w:t>
      </w:r>
      <w:r w:rsidR="00B02CBF" w:rsidRPr="00CC2DC7">
        <w:rPr>
          <w:rFonts w:asciiTheme="minorHAnsi" w:hAnsiTheme="minorHAnsi" w:cstheme="minorHAnsi"/>
          <w:sz w:val="22"/>
        </w:rPr>
        <w:t>o</w:t>
      </w:r>
      <w:r w:rsidR="003970AE" w:rsidRPr="00CC2DC7">
        <w:rPr>
          <w:rFonts w:asciiTheme="minorHAnsi" w:hAnsiTheme="minorHAnsi" w:cstheme="minorHAnsi"/>
          <w:sz w:val="22"/>
        </w:rPr>
        <w:t xml:space="preserve"> podpor</w:t>
      </w:r>
      <w:r w:rsidR="00B02CBF" w:rsidRPr="00CC2DC7">
        <w:rPr>
          <w:rFonts w:asciiTheme="minorHAnsi" w:hAnsiTheme="minorHAnsi" w:cstheme="minorHAnsi"/>
          <w:sz w:val="22"/>
        </w:rPr>
        <w:t>o</w:t>
      </w:r>
      <w:r w:rsidR="003970AE" w:rsidRPr="00CC2DC7">
        <w:rPr>
          <w:rFonts w:asciiTheme="minorHAnsi" w:hAnsiTheme="minorHAnsi" w:cstheme="minorHAnsi"/>
          <w:sz w:val="22"/>
        </w:rPr>
        <w:t xml:space="preserve"> </w:t>
      </w:r>
      <w:r w:rsidR="00B02CBF" w:rsidRPr="00CC2DC7">
        <w:rPr>
          <w:rFonts w:asciiTheme="minorHAnsi" w:hAnsiTheme="minorHAnsi" w:cstheme="minorHAnsi"/>
          <w:sz w:val="22"/>
        </w:rPr>
        <w:t>za</w:t>
      </w:r>
      <w:r w:rsidR="003970AE" w:rsidRPr="00CC2DC7">
        <w:rPr>
          <w:rFonts w:asciiTheme="minorHAnsi" w:hAnsiTheme="minorHAnsi" w:cstheme="minorHAnsi"/>
          <w:sz w:val="22"/>
        </w:rPr>
        <w:t xml:space="preserve"> ustvarjanj</w:t>
      </w:r>
      <w:r w:rsidR="00B02CBF" w:rsidRPr="00CC2DC7">
        <w:rPr>
          <w:rFonts w:asciiTheme="minorHAnsi" w:hAnsiTheme="minorHAnsi" w:cstheme="minorHAnsi"/>
          <w:sz w:val="22"/>
        </w:rPr>
        <w:t>e</w:t>
      </w:r>
      <w:r w:rsidR="003970AE" w:rsidRPr="00CC2DC7">
        <w:rPr>
          <w:rFonts w:asciiTheme="minorHAnsi" w:hAnsiTheme="minorHAnsi" w:cstheme="minorHAnsi"/>
          <w:sz w:val="22"/>
        </w:rPr>
        <w:t xml:space="preserve"> zelenih delovnih mest. </w:t>
      </w:r>
      <w:r w:rsidR="00B02CBF" w:rsidRPr="00CC2DC7">
        <w:rPr>
          <w:rFonts w:asciiTheme="minorHAnsi" w:hAnsiTheme="minorHAnsi" w:cstheme="minorHAnsi"/>
          <w:sz w:val="22"/>
        </w:rPr>
        <w:t xml:space="preserve">Pri tem so pomembne tudi naložbe v </w:t>
      </w:r>
      <w:r w:rsidR="00A4789E" w:rsidRPr="00CC2DC7">
        <w:rPr>
          <w:rFonts w:asciiTheme="minorHAnsi" w:hAnsiTheme="minorHAnsi" w:cstheme="minorHAnsi"/>
          <w:sz w:val="22"/>
        </w:rPr>
        <w:t xml:space="preserve">tisto </w:t>
      </w:r>
      <w:r w:rsidR="00B02CBF" w:rsidRPr="00CC2DC7">
        <w:rPr>
          <w:rFonts w:asciiTheme="minorHAnsi" w:hAnsiTheme="minorHAnsi" w:cstheme="minorHAnsi"/>
          <w:sz w:val="22"/>
        </w:rPr>
        <w:t xml:space="preserve">ekonomsko-poslovno infrastrukturo, </w:t>
      </w:r>
      <w:r w:rsidR="00A4789E" w:rsidRPr="00CC2DC7">
        <w:rPr>
          <w:rFonts w:asciiTheme="minorHAnsi" w:hAnsiTheme="minorHAnsi" w:cstheme="minorHAnsi"/>
          <w:sz w:val="22"/>
        </w:rPr>
        <w:t xml:space="preserve">ki je </w:t>
      </w:r>
      <w:r w:rsidR="00B02CBF" w:rsidRPr="00CC2DC7">
        <w:rPr>
          <w:rFonts w:asciiTheme="minorHAnsi" w:hAnsiTheme="minorHAnsi" w:cstheme="minorHAnsi"/>
          <w:sz w:val="22"/>
        </w:rPr>
        <w:t>potr</w:t>
      </w:r>
      <w:r w:rsidR="00A4789E" w:rsidRPr="00CC2DC7">
        <w:rPr>
          <w:rFonts w:asciiTheme="minorHAnsi" w:hAnsiTheme="minorHAnsi" w:cstheme="minorHAnsi"/>
          <w:sz w:val="22"/>
        </w:rPr>
        <w:t>ebna</w:t>
      </w:r>
      <w:r w:rsidR="00B02CBF" w:rsidRPr="00CC2DC7">
        <w:rPr>
          <w:rFonts w:asciiTheme="minorHAnsi" w:hAnsiTheme="minorHAnsi" w:cstheme="minorHAnsi"/>
          <w:sz w:val="22"/>
        </w:rPr>
        <w:t xml:space="preserve"> za izvedbo produktivnih naložb in diverzifikacijo gospodarstva, tako MSP kot velikih podjetij</w:t>
      </w:r>
      <w:r w:rsidR="00B02CBF" w:rsidRPr="005152F7">
        <w:rPr>
          <w:rFonts w:asciiTheme="minorHAnsi" w:hAnsiTheme="minorHAnsi" w:cstheme="minorHAnsi"/>
          <w:sz w:val="22"/>
        </w:rPr>
        <w:t xml:space="preserve"> (PC Pesje, PC Šoštanj, PC Šmartno ob Paki</w:t>
      </w:r>
      <w:r w:rsidR="00B02CBF">
        <w:rPr>
          <w:rFonts w:asciiTheme="minorHAnsi" w:hAnsiTheme="minorHAnsi" w:cstheme="minorHAnsi"/>
          <w:sz w:val="22"/>
        </w:rPr>
        <w:t>)</w:t>
      </w:r>
      <w:r w:rsidR="00B02CBF" w:rsidRPr="005152F7">
        <w:rPr>
          <w:rFonts w:asciiTheme="minorHAnsi" w:hAnsiTheme="minorHAnsi" w:cstheme="minorHAnsi"/>
          <w:sz w:val="22"/>
        </w:rPr>
        <w:t>.</w:t>
      </w:r>
    </w:p>
    <w:p w14:paraId="1C16FE3E" w14:textId="18EB0E1F" w:rsidR="00F6335F" w:rsidRPr="008B037E" w:rsidRDefault="007E074D" w:rsidP="004B2D00">
      <w:pPr>
        <w:spacing w:after="240"/>
        <w:ind w:left="851" w:hanging="567"/>
      </w:pPr>
      <w:r w:rsidRPr="005152F7">
        <w:rPr>
          <w:rFonts w:asciiTheme="minorHAnsi" w:hAnsiTheme="minorHAnsi" w:cstheme="minorHAnsi"/>
          <w:sz w:val="22"/>
        </w:rPr>
        <w:t xml:space="preserve"> </w:t>
      </w:r>
    </w:p>
    <w:p w14:paraId="22723493" w14:textId="4296FDFA" w:rsidR="00F57026" w:rsidRPr="008B037E" w:rsidRDefault="0086302D" w:rsidP="0002085B">
      <w:pPr>
        <w:shd w:val="clear" w:color="auto" w:fill="D9E2F3" w:themeFill="accent5" w:themeFillTint="33"/>
        <w:spacing w:before="0" w:after="0" w:line="276" w:lineRule="auto"/>
        <w:contextualSpacing/>
        <w:rPr>
          <w:rFonts w:asciiTheme="minorHAnsi" w:eastAsia="Times New Roman" w:hAnsiTheme="minorHAnsi" w:cstheme="minorHAnsi"/>
          <w:i/>
          <w:sz w:val="22"/>
        </w:rPr>
      </w:pPr>
      <w:r w:rsidRPr="008B037E">
        <w:rPr>
          <w:rFonts w:asciiTheme="minorHAnsi" w:eastAsia="Times New Roman" w:hAnsiTheme="minorHAnsi" w:cstheme="minorHAnsi"/>
          <w:b/>
          <w:i/>
          <w:sz w:val="22"/>
        </w:rPr>
        <w:t>Strateški c</w:t>
      </w:r>
      <w:r w:rsidR="00A14D18" w:rsidRPr="008B037E">
        <w:rPr>
          <w:rFonts w:asciiTheme="minorHAnsi" w:eastAsia="Times New Roman" w:hAnsiTheme="minorHAnsi" w:cstheme="minorHAnsi"/>
          <w:b/>
          <w:i/>
          <w:sz w:val="22"/>
        </w:rPr>
        <w:t>ilj</w:t>
      </w:r>
      <w:r w:rsidRPr="008B037E">
        <w:rPr>
          <w:rFonts w:asciiTheme="minorHAnsi" w:eastAsia="Times New Roman" w:hAnsiTheme="minorHAnsi" w:cstheme="minorHAnsi"/>
          <w:b/>
          <w:i/>
          <w:sz w:val="22"/>
        </w:rPr>
        <w:t xml:space="preserve"> 5</w:t>
      </w:r>
      <w:r w:rsidR="00A14D18" w:rsidRPr="008B037E">
        <w:rPr>
          <w:rFonts w:asciiTheme="minorHAnsi" w:eastAsia="Times New Roman" w:hAnsiTheme="minorHAnsi" w:cstheme="minorHAnsi"/>
          <w:b/>
          <w:i/>
          <w:sz w:val="22"/>
        </w:rPr>
        <w:t>:</w:t>
      </w:r>
      <w:r w:rsidR="00A14D18" w:rsidRPr="008B037E">
        <w:rPr>
          <w:rFonts w:asciiTheme="minorHAnsi" w:eastAsia="Times New Roman" w:hAnsiTheme="minorHAnsi" w:cstheme="minorHAnsi"/>
          <w:i/>
          <w:sz w:val="22"/>
        </w:rPr>
        <w:t xml:space="preserve">  </w:t>
      </w:r>
      <w:r w:rsidR="00A14D18" w:rsidRPr="008B037E">
        <w:rPr>
          <w:rFonts w:asciiTheme="minorHAnsi" w:hAnsiTheme="minorHAnsi" w:cstheme="minorHAnsi"/>
          <w:b/>
          <w:i/>
          <w:sz w:val="22"/>
        </w:rPr>
        <w:t xml:space="preserve">Postopna sanacija in revitalizacija prostorsko in okoljsko </w:t>
      </w:r>
      <w:r w:rsidR="006766E5" w:rsidRPr="008B037E">
        <w:rPr>
          <w:rFonts w:asciiTheme="minorHAnsi" w:hAnsiTheme="minorHAnsi" w:cstheme="minorHAnsi"/>
          <w:b/>
          <w:i/>
          <w:sz w:val="22"/>
        </w:rPr>
        <w:t xml:space="preserve">degradiranih </w:t>
      </w:r>
      <w:r w:rsidR="0002085B" w:rsidRPr="008B037E">
        <w:rPr>
          <w:rFonts w:asciiTheme="minorHAnsi" w:hAnsiTheme="minorHAnsi" w:cstheme="minorHAnsi"/>
          <w:b/>
          <w:i/>
          <w:sz w:val="22"/>
        </w:rPr>
        <w:t>območij</w:t>
      </w:r>
    </w:p>
    <w:p w14:paraId="1257BEA7" w14:textId="73A50C6C" w:rsidR="00A14D18" w:rsidRPr="008B037E" w:rsidRDefault="00A14D18" w:rsidP="00720E72">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t xml:space="preserve">Za </w:t>
      </w:r>
      <w:r w:rsidR="00A0313C" w:rsidRPr="008B037E">
        <w:rPr>
          <w:rFonts w:asciiTheme="minorHAnsi" w:eastAsia="Times New Roman" w:hAnsiTheme="minorHAnsi" w:cstheme="minorHAnsi"/>
          <w:sz w:val="22"/>
        </w:rPr>
        <w:t xml:space="preserve">celovito </w:t>
      </w:r>
      <w:r w:rsidRPr="008B037E">
        <w:rPr>
          <w:rFonts w:asciiTheme="minorHAnsi" w:eastAsia="Times New Roman" w:hAnsiTheme="minorHAnsi" w:cstheme="minorHAnsi"/>
          <w:sz w:val="22"/>
        </w:rPr>
        <w:t>sanacij</w:t>
      </w:r>
      <w:r w:rsidR="00A0313C" w:rsidRPr="008B037E">
        <w:rPr>
          <w:rFonts w:asciiTheme="minorHAnsi" w:eastAsia="Times New Roman" w:hAnsiTheme="minorHAnsi" w:cstheme="minorHAnsi"/>
          <w:sz w:val="22"/>
        </w:rPr>
        <w:t>o</w:t>
      </w:r>
      <w:r w:rsidR="00FC526F" w:rsidRPr="008B037E">
        <w:rPr>
          <w:rFonts w:asciiTheme="minorHAnsi" w:eastAsia="Times New Roman" w:hAnsiTheme="minorHAnsi" w:cstheme="minorHAnsi"/>
          <w:sz w:val="22"/>
        </w:rPr>
        <w:t xml:space="preserve"> in revitalizacij</w:t>
      </w:r>
      <w:r w:rsidR="00A0313C" w:rsidRPr="008B037E">
        <w:rPr>
          <w:rFonts w:asciiTheme="minorHAnsi" w:eastAsia="Times New Roman" w:hAnsiTheme="minorHAnsi" w:cstheme="minorHAnsi"/>
          <w:sz w:val="22"/>
        </w:rPr>
        <w:t>o</w:t>
      </w:r>
      <w:r w:rsidR="006766E5" w:rsidRPr="008B037E">
        <w:rPr>
          <w:rFonts w:asciiTheme="minorHAnsi" w:eastAsia="Times New Roman" w:hAnsiTheme="minorHAnsi" w:cstheme="minorHAnsi"/>
          <w:sz w:val="22"/>
        </w:rPr>
        <w:t xml:space="preserve"> prostorsko in okoljsko degradiranih </w:t>
      </w:r>
      <w:r w:rsidRPr="008B037E">
        <w:rPr>
          <w:rFonts w:asciiTheme="minorHAnsi" w:eastAsia="Times New Roman" w:hAnsiTheme="minorHAnsi" w:cstheme="minorHAnsi"/>
          <w:sz w:val="22"/>
        </w:rPr>
        <w:t>območ</w:t>
      </w:r>
      <w:r w:rsidR="006766E5" w:rsidRPr="008B037E">
        <w:rPr>
          <w:rFonts w:asciiTheme="minorHAnsi" w:eastAsia="Times New Roman" w:hAnsiTheme="minorHAnsi" w:cstheme="minorHAnsi"/>
          <w:sz w:val="22"/>
        </w:rPr>
        <w:t>i</w:t>
      </w:r>
      <w:r w:rsidRPr="008B037E">
        <w:rPr>
          <w:rFonts w:asciiTheme="minorHAnsi" w:eastAsia="Times New Roman" w:hAnsiTheme="minorHAnsi" w:cstheme="minorHAnsi"/>
          <w:sz w:val="22"/>
        </w:rPr>
        <w:t xml:space="preserve">j, ki so povezana s premogovništvom in rabo premoga, </w:t>
      </w:r>
      <w:r w:rsidR="00996823" w:rsidRPr="008B037E">
        <w:rPr>
          <w:rFonts w:asciiTheme="minorHAnsi" w:eastAsia="Times New Roman" w:hAnsiTheme="minorHAnsi" w:cstheme="minorHAnsi"/>
          <w:sz w:val="22"/>
        </w:rPr>
        <w:t>ob spoštovanju načela »onesnaževalec plača«</w:t>
      </w:r>
      <w:r w:rsidR="00891CED" w:rsidRPr="008B037E">
        <w:rPr>
          <w:rFonts w:asciiTheme="minorHAnsi" w:eastAsia="Times New Roman" w:hAnsiTheme="minorHAnsi" w:cstheme="minorHAnsi"/>
          <w:sz w:val="22"/>
        </w:rPr>
        <w:t xml:space="preserve"> </w:t>
      </w:r>
      <w:r w:rsidR="000C3B20">
        <w:rPr>
          <w:rFonts w:asciiTheme="minorHAnsi" w:eastAsia="Times New Roman" w:hAnsiTheme="minorHAnsi" w:cstheme="minorHAnsi"/>
          <w:sz w:val="22"/>
        </w:rPr>
        <w:t>(</w:t>
      </w:r>
      <w:r w:rsidR="000C3B20" w:rsidRPr="004B2D00">
        <w:rPr>
          <w:rFonts w:asciiTheme="minorHAnsi" w:eastAsia="Times New Roman" w:hAnsiTheme="minorHAnsi" w:cstheme="minorHAnsi"/>
          <w:sz w:val="22"/>
        </w:rPr>
        <w:t>tudi z izvedbo rudarskih sanacijskih del v okviru zakonodaje s področja rudarstva, ki bodo izvedena skladno s zakonom/programom o zapiranju rudnika)</w:t>
      </w:r>
      <w:r w:rsidR="00891CED" w:rsidRPr="008B037E">
        <w:rPr>
          <w:rFonts w:asciiTheme="minorHAnsi" w:eastAsia="Times New Roman" w:hAnsiTheme="minorHAnsi" w:cstheme="minorHAnsi"/>
          <w:sz w:val="22"/>
        </w:rPr>
        <w:t xml:space="preserve"> ter načela zagotavljanja pravičnega in pravočasnega prehoda v nizkoogljično družbo</w:t>
      </w:r>
      <w:r w:rsidR="00F74DA9" w:rsidRPr="008B037E">
        <w:rPr>
          <w:rFonts w:asciiTheme="minorHAnsi" w:eastAsia="Times New Roman" w:hAnsiTheme="minorHAnsi" w:cstheme="minorHAnsi"/>
          <w:sz w:val="22"/>
        </w:rPr>
        <w:t>,</w:t>
      </w:r>
      <w:r w:rsidR="00996823" w:rsidRPr="008B037E">
        <w:rPr>
          <w:rFonts w:asciiTheme="minorHAnsi" w:eastAsia="Times New Roman" w:hAnsiTheme="minorHAnsi" w:cstheme="minorHAnsi"/>
          <w:sz w:val="22"/>
        </w:rPr>
        <w:t xml:space="preserve"> bodo s sredstvi</w:t>
      </w:r>
      <w:r w:rsidR="00A0313C" w:rsidRPr="008B037E">
        <w:rPr>
          <w:rFonts w:asciiTheme="minorHAnsi" w:eastAsia="Times New Roman" w:hAnsiTheme="minorHAnsi" w:cstheme="minorHAnsi"/>
          <w:sz w:val="22"/>
        </w:rPr>
        <w:t xml:space="preserve"> SPP </w:t>
      </w:r>
      <w:r w:rsidR="00996823" w:rsidRPr="008B037E">
        <w:rPr>
          <w:rFonts w:asciiTheme="minorHAnsi" w:eastAsia="Times New Roman" w:hAnsiTheme="minorHAnsi" w:cstheme="minorHAnsi"/>
          <w:sz w:val="22"/>
        </w:rPr>
        <w:t xml:space="preserve">podprti </w:t>
      </w:r>
      <w:r w:rsidRPr="008B037E">
        <w:rPr>
          <w:rFonts w:asciiTheme="minorHAnsi" w:eastAsia="Times New Roman" w:hAnsiTheme="minorHAnsi" w:cstheme="minorHAnsi"/>
          <w:sz w:val="22"/>
        </w:rPr>
        <w:t>naslednji ukrepi</w:t>
      </w:r>
      <w:r w:rsidR="00D6369B" w:rsidRPr="008B037E">
        <w:rPr>
          <w:rFonts w:asciiTheme="minorHAnsi" w:eastAsia="Times New Roman" w:hAnsiTheme="minorHAnsi" w:cstheme="minorHAnsi"/>
          <w:sz w:val="22"/>
        </w:rPr>
        <w:t>:</w:t>
      </w:r>
    </w:p>
    <w:p w14:paraId="006ACA2E" w14:textId="45D2C2E7" w:rsidR="00FC7D45" w:rsidRPr="008B037E" w:rsidRDefault="00E5759F" w:rsidP="00E5759F">
      <w:pPr>
        <w:ind w:left="567" w:hanging="567"/>
        <w:rPr>
          <w:rFonts w:asciiTheme="minorHAnsi" w:eastAsia="Times New Roman" w:hAnsiTheme="minorHAnsi" w:cstheme="minorHAnsi"/>
          <w:sz w:val="22"/>
        </w:rPr>
      </w:pPr>
      <w:r>
        <w:rPr>
          <w:rFonts w:asciiTheme="minorHAnsi" w:eastAsia="Times New Roman" w:hAnsiTheme="minorHAnsi" w:cstheme="minorHAnsi"/>
          <w:b/>
          <w:sz w:val="22"/>
        </w:rPr>
        <w:t>5.</w:t>
      </w:r>
      <w:r w:rsidR="00374854" w:rsidRPr="00E5759F">
        <w:rPr>
          <w:rFonts w:asciiTheme="minorHAnsi" w:eastAsia="Times New Roman" w:hAnsiTheme="minorHAnsi" w:cstheme="minorHAnsi"/>
          <w:b/>
          <w:sz w:val="22"/>
        </w:rPr>
        <w:t>1</w:t>
      </w:r>
      <w:r>
        <w:rPr>
          <w:rFonts w:asciiTheme="minorHAnsi" w:eastAsia="Times New Roman" w:hAnsiTheme="minorHAnsi" w:cstheme="minorHAnsi"/>
          <w:b/>
          <w:sz w:val="22"/>
        </w:rPr>
        <w:tab/>
      </w:r>
      <w:r w:rsidR="00A14D18" w:rsidRPr="00E5759F">
        <w:rPr>
          <w:rFonts w:asciiTheme="minorHAnsi" w:hAnsiTheme="minorHAnsi"/>
          <w:b/>
          <w:sz w:val="22"/>
        </w:rPr>
        <w:t>Razgradnja in sprememba namena objektov</w:t>
      </w:r>
      <w:r w:rsidR="00FC7D45" w:rsidRPr="00E5759F">
        <w:rPr>
          <w:rFonts w:asciiTheme="minorHAnsi" w:hAnsiTheme="minorHAnsi"/>
          <w:b/>
          <w:sz w:val="22"/>
        </w:rPr>
        <w:t xml:space="preserve">, povezanih </w:t>
      </w:r>
      <w:r w:rsidR="00F74DA9" w:rsidRPr="00E5759F">
        <w:rPr>
          <w:rFonts w:asciiTheme="minorHAnsi" w:hAnsiTheme="minorHAnsi"/>
          <w:b/>
          <w:sz w:val="22"/>
        </w:rPr>
        <w:t xml:space="preserve">z </w:t>
      </w:r>
      <w:r w:rsidR="00FC7D45" w:rsidRPr="00E5759F">
        <w:rPr>
          <w:rFonts w:asciiTheme="minorHAnsi" w:hAnsiTheme="minorHAnsi"/>
          <w:b/>
          <w:sz w:val="22"/>
        </w:rPr>
        <w:t>rabo premoga</w:t>
      </w:r>
      <w:r w:rsidR="00FC7D45" w:rsidRPr="008B037E">
        <w:rPr>
          <w:rFonts w:asciiTheme="minorHAnsi" w:eastAsia="Times New Roman" w:hAnsiTheme="minorHAnsi" w:cstheme="minorHAnsi"/>
          <w:sz w:val="22"/>
        </w:rPr>
        <w:t>,</w:t>
      </w:r>
      <w:r w:rsidR="00C473AD" w:rsidRPr="008B037E">
        <w:rPr>
          <w:rFonts w:asciiTheme="minorHAnsi" w:eastAsia="Times New Roman" w:hAnsiTheme="minorHAnsi" w:cstheme="minorHAnsi"/>
          <w:sz w:val="22"/>
        </w:rPr>
        <w:t xml:space="preserve"> potrebna za </w:t>
      </w:r>
      <w:r w:rsidR="00C473AD" w:rsidRPr="00E5759F">
        <w:rPr>
          <w:rFonts w:asciiTheme="minorHAnsi" w:hAnsiTheme="minorHAnsi" w:cstheme="minorHAnsi"/>
          <w:sz w:val="22"/>
        </w:rPr>
        <w:t>izvedbo</w:t>
      </w:r>
      <w:r w:rsidR="00C473AD" w:rsidRPr="008B037E">
        <w:rPr>
          <w:rFonts w:asciiTheme="minorHAnsi" w:eastAsia="Times New Roman" w:hAnsiTheme="minorHAnsi" w:cstheme="minorHAnsi"/>
          <w:sz w:val="22"/>
        </w:rPr>
        <w:t xml:space="preserve"> </w:t>
      </w:r>
      <w:r w:rsidR="009C1DFF" w:rsidRPr="008B037E">
        <w:rPr>
          <w:rFonts w:asciiTheme="minorHAnsi" w:eastAsia="Times New Roman" w:hAnsiTheme="minorHAnsi" w:cstheme="minorHAnsi"/>
          <w:sz w:val="22"/>
        </w:rPr>
        <w:t>naložb v dvig proizvodnih zmoglivosti iz OVE</w:t>
      </w:r>
      <w:r w:rsidR="007627D5">
        <w:rPr>
          <w:rFonts w:asciiTheme="minorHAnsi" w:eastAsia="Times New Roman" w:hAnsiTheme="minorHAnsi" w:cstheme="minorHAnsi"/>
          <w:sz w:val="22"/>
        </w:rPr>
        <w:t xml:space="preserve"> in za dvig konkurenčnosti gospodarstva</w:t>
      </w:r>
      <w:r w:rsidR="009C1DFF" w:rsidRPr="008B037E">
        <w:rPr>
          <w:rFonts w:asciiTheme="minorHAnsi" w:eastAsia="Times New Roman" w:hAnsiTheme="minorHAnsi" w:cstheme="minorHAnsi"/>
          <w:sz w:val="22"/>
        </w:rPr>
        <w:t xml:space="preserve"> </w:t>
      </w:r>
      <w:r w:rsidR="0009211F" w:rsidRPr="008B037E">
        <w:rPr>
          <w:rFonts w:asciiTheme="minorHAnsi" w:eastAsia="Times New Roman" w:hAnsiTheme="minorHAnsi" w:cstheme="minorHAnsi"/>
          <w:sz w:val="22"/>
        </w:rPr>
        <w:t>(Stara elektrarna</w:t>
      </w:r>
      <w:r w:rsidR="00087E1A" w:rsidRPr="008B037E">
        <w:rPr>
          <w:rFonts w:asciiTheme="minorHAnsi" w:eastAsia="Times New Roman" w:hAnsiTheme="minorHAnsi" w:cstheme="minorHAnsi"/>
          <w:sz w:val="22"/>
        </w:rPr>
        <w:t xml:space="preserve"> - </w:t>
      </w:r>
      <w:r w:rsidR="0009211F" w:rsidRPr="008B037E">
        <w:rPr>
          <w:rFonts w:asciiTheme="minorHAnsi" w:eastAsia="Times New Roman" w:hAnsiTheme="minorHAnsi" w:cstheme="minorHAnsi"/>
          <w:sz w:val="22"/>
        </w:rPr>
        <w:t>Velenje</w:t>
      </w:r>
      <w:r w:rsidR="00087E1A" w:rsidRPr="008B037E">
        <w:rPr>
          <w:rFonts w:asciiTheme="minorHAnsi" w:eastAsia="Times New Roman" w:hAnsiTheme="minorHAnsi" w:cstheme="minorHAnsi"/>
          <w:sz w:val="22"/>
        </w:rPr>
        <w:t xml:space="preserve">, Blok 1-3 - </w:t>
      </w:r>
      <w:r w:rsidR="0009211F" w:rsidRPr="008B037E">
        <w:rPr>
          <w:rFonts w:asciiTheme="minorHAnsi" w:eastAsia="Times New Roman" w:hAnsiTheme="minorHAnsi" w:cstheme="minorHAnsi"/>
          <w:sz w:val="22"/>
        </w:rPr>
        <w:t xml:space="preserve">Šoštanj, </w:t>
      </w:r>
      <w:r w:rsidR="00DD7F6B" w:rsidRPr="008B037E">
        <w:rPr>
          <w:rFonts w:asciiTheme="minorHAnsi" w:eastAsia="Times New Roman" w:hAnsiTheme="minorHAnsi" w:cstheme="minorHAnsi"/>
          <w:sz w:val="22"/>
        </w:rPr>
        <w:t>B</w:t>
      </w:r>
      <w:r w:rsidR="00087E1A" w:rsidRPr="008B037E">
        <w:rPr>
          <w:rFonts w:asciiTheme="minorHAnsi" w:eastAsia="Times New Roman" w:hAnsiTheme="minorHAnsi" w:cstheme="minorHAnsi"/>
          <w:sz w:val="22"/>
        </w:rPr>
        <w:t>lok 4 – Šoštan</w:t>
      </w:r>
      <w:r w:rsidR="00F74DA9" w:rsidRPr="008B037E">
        <w:rPr>
          <w:rFonts w:asciiTheme="minorHAnsi" w:eastAsia="Times New Roman" w:hAnsiTheme="minorHAnsi" w:cstheme="minorHAnsi"/>
          <w:sz w:val="22"/>
        </w:rPr>
        <w:t>j</w:t>
      </w:r>
      <w:r w:rsidR="00DD7F6B" w:rsidRPr="008B037E">
        <w:rPr>
          <w:rFonts w:asciiTheme="minorHAnsi" w:eastAsia="Times New Roman" w:hAnsiTheme="minorHAnsi" w:cstheme="minorHAnsi"/>
          <w:sz w:val="22"/>
        </w:rPr>
        <w:t>, Hladilni stolp 4 - Šoštanj</w:t>
      </w:r>
      <w:r w:rsidR="00771B8D" w:rsidRPr="008B037E">
        <w:rPr>
          <w:rFonts w:asciiTheme="minorHAnsi" w:eastAsia="Times New Roman" w:hAnsiTheme="minorHAnsi" w:cstheme="minorHAnsi"/>
          <w:sz w:val="22"/>
        </w:rPr>
        <w:t>)</w:t>
      </w:r>
      <w:r>
        <w:rPr>
          <w:rFonts w:asciiTheme="minorHAnsi" w:eastAsia="Times New Roman" w:hAnsiTheme="minorHAnsi" w:cstheme="minorHAnsi"/>
          <w:sz w:val="22"/>
        </w:rPr>
        <w:t>.</w:t>
      </w:r>
      <w:r w:rsidR="009908CE">
        <w:rPr>
          <w:rFonts w:asciiTheme="minorHAnsi" w:eastAsia="Times New Roman" w:hAnsiTheme="minorHAnsi" w:cstheme="minorHAnsi"/>
          <w:sz w:val="22"/>
        </w:rPr>
        <w:t xml:space="preserve"> </w:t>
      </w:r>
      <w:r w:rsidR="009908CE" w:rsidRPr="003251A6">
        <w:rPr>
          <w:rFonts w:asciiTheme="minorHAnsi" w:eastAsia="Times New Roman" w:hAnsiTheme="minorHAnsi" w:cstheme="minorHAnsi"/>
          <w:sz w:val="22"/>
        </w:rPr>
        <w:t>Objekt Stara elektrarna bo celovito prenovljen. V njem bo deloval Center prihodnosti, ki bo industrijsko-izobraževalni tehnološki park. Na lokacijah, kjer se nahajajo Bloki 1-4 ter hladilni stolp 4 bo izvedena celovita sanacija z rušenjem objektov in dekontaminacijo, čemur bo sledila izgradnja</w:t>
      </w:r>
      <w:r w:rsidR="009908CE">
        <w:rPr>
          <w:rFonts w:asciiTheme="minorHAnsi" w:eastAsia="Times New Roman" w:hAnsiTheme="minorHAnsi" w:cstheme="minorHAnsi"/>
          <w:sz w:val="22"/>
        </w:rPr>
        <w:t xml:space="preserve"> objektov za proizvodnjo in shranjevanje vodika in sintetičnega metana.</w:t>
      </w:r>
    </w:p>
    <w:p w14:paraId="39CE3FD8" w14:textId="59D9670A" w:rsidR="00A14D18" w:rsidRPr="00E5759F" w:rsidRDefault="00E5759F" w:rsidP="00E5759F">
      <w:pPr>
        <w:ind w:left="567" w:hanging="567"/>
        <w:rPr>
          <w:rFonts w:asciiTheme="minorHAnsi" w:eastAsia="Times New Roman" w:hAnsiTheme="minorHAnsi" w:cstheme="minorHAnsi"/>
          <w:sz w:val="22"/>
        </w:rPr>
      </w:pPr>
      <w:r>
        <w:rPr>
          <w:rFonts w:asciiTheme="minorHAnsi" w:eastAsia="Times New Roman" w:hAnsiTheme="minorHAnsi" w:cstheme="minorHAnsi"/>
          <w:b/>
          <w:sz w:val="22"/>
        </w:rPr>
        <w:t>5.2</w:t>
      </w:r>
      <w:r>
        <w:rPr>
          <w:rFonts w:asciiTheme="minorHAnsi" w:eastAsia="Times New Roman" w:hAnsiTheme="minorHAnsi" w:cstheme="minorHAnsi"/>
          <w:b/>
          <w:sz w:val="22"/>
        </w:rPr>
        <w:tab/>
      </w:r>
      <w:r w:rsidR="00A4523F" w:rsidRPr="009B0010">
        <w:rPr>
          <w:rFonts w:asciiTheme="minorHAnsi" w:hAnsiTheme="minorHAnsi"/>
          <w:sz w:val="22"/>
        </w:rPr>
        <w:t>Za ukrep</w:t>
      </w:r>
      <w:r w:rsidR="00A4523F">
        <w:rPr>
          <w:rFonts w:asciiTheme="minorHAnsi" w:eastAsia="Times New Roman" w:hAnsiTheme="minorHAnsi" w:cstheme="minorHAnsi"/>
          <w:b/>
          <w:sz w:val="22"/>
        </w:rPr>
        <w:t xml:space="preserve"> </w:t>
      </w:r>
      <w:r>
        <w:rPr>
          <w:rFonts w:asciiTheme="minorHAnsi" w:hAnsiTheme="minorHAnsi" w:cstheme="minorHAnsi"/>
          <w:b/>
          <w:sz w:val="22"/>
        </w:rPr>
        <w:t>S</w:t>
      </w:r>
      <w:r w:rsidR="00771B8D" w:rsidRPr="00E5759F">
        <w:rPr>
          <w:rFonts w:asciiTheme="minorHAnsi" w:hAnsiTheme="minorHAnsi" w:cstheme="minorHAnsi"/>
          <w:b/>
          <w:sz w:val="22"/>
        </w:rPr>
        <w:t>anacija</w:t>
      </w:r>
      <w:r w:rsidR="0009211F" w:rsidRPr="00E5759F">
        <w:rPr>
          <w:rFonts w:asciiTheme="minorHAnsi" w:hAnsiTheme="minorHAnsi" w:cstheme="minorHAnsi"/>
          <w:b/>
          <w:sz w:val="22"/>
        </w:rPr>
        <w:t xml:space="preserve"> p</w:t>
      </w:r>
      <w:r w:rsidR="00D6369B" w:rsidRPr="00E5759F">
        <w:rPr>
          <w:rFonts w:asciiTheme="minorHAnsi" w:hAnsiTheme="minorHAnsi" w:cstheme="minorHAnsi"/>
          <w:b/>
          <w:sz w:val="22"/>
        </w:rPr>
        <w:t>regrade oziroma n</w:t>
      </w:r>
      <w:r w:rsidR="00087E1A" w:rsidRPr="00E5759F">
        <w:rPr>
          <w:rFonts w:asciiTheme="minorHAnsi" w:hAnsiTheme="minorHAnsi" w:cstheme="minorHAnsi"/>
          <w:b/>
          <w:sz w:val="22"/>
        </w:rPr>
        <w:t>a</w:t>
      </w:r>
      <w:r w:rsidR="00D6369B" w:rsidRPr="00E5759F">
        <w:rPr>
          <w:rFonts w:asciiTheme="minorHAnsi" w:hAnsiTheme="minorHAnsi" w:cstheme="minorHAnsi"/>
          <w:b/>
          <w:sz w:val="22"/>
        </w:rPr>
        <w:t>sipa</w:t>
      </w:r>
      <w:r w:rsidR="00D6369B" w:rsidRPr="00E5759F">
        <w:rPr>
          <w:rFonts w:asciiTheme="minorHAnsi" w:eastAsia="Times New Roman" w:hAnsiTheme="minorHAnsi" w:cstheme="minorHAnsi"/>
          <w:sz w:val="22"/>
        </w:rPr>
        <w:t xml:space="preserve"> med Velenjskim in Družmirskim jezerom</w:t>
      </w:r>
      <w:r w:rsidR="0009211F" w:rsidRPr="00E5759F">
        <w:rPr>
          <w:rFonts w:asciiTheme="minorHAnsi" w:eastAsia="Times New Roman" w:hAnsiTheme="minorHAnsi" w:cstheme="minorHAnsi"/>
          <w:sz w:val="22"/>
        </w:rPr>
        <w:t>, ki se nahaja nad odkopno jamo</w:t>
      </w:r>
      <w:r w:rsidR="00087E1A" w:rsidRPr="00E5759F">
        <w:rPr>
          <w:rFonts w:asciiTheme="minorHAnsi" w:eastAsia="Times New Roman" w:hAnsiTheme="minorHAnsi" w:cstheme="minorHAnsi"/>
          <w:sz w:val="22"/>
        </w:rPr>
        <w:t xml:space="preserve"> </w:t>
      </w:r>
      <w:r w:rsidR="0009211F" w:rsidRPr="00E5759F">
        <w:rPr>
          <w:rFonts w:asciiTheme="minorHAnsi" w:eastAsia="Times New Roman" w:hAnsiTheme="minorHAnsi" w:cstheme="minorHAnsi"/>
          <w:sz w:val="22"/>
        </w:rPr>
        <w:t>Preloge, ki bo postopno zaprta do leta 2025</w:t>
      </w:r>
      <w:r w:rsidR="00087E1A" w:rsidRPr="00E5759F">
        <w:rPr>
          <w:rFonts w:asciiTheme="minorHAnsi" w:eastAsia="Times New Roman" w:hAnsiTheme="minorHAnsi" w:cstheme="minorHAnsi"/>
          <w:sz w:val="22"/>
        </w:rPr>
        <w:t>,</w:t>
      </w:r>
      <w:r w:rsidR="00087E1A" w:rsidRPr="00E5759F">
        <w:rPr>
          <w:rFonts w:asciiTheme="minorHAnsi" w:hAnsiTheme="minorHAnsi" w:cstheme="minorHAnsi"/>
          <w:sz w:val="22"/>
        </w:rPr>
        <w:t xml:space="preserve"> s čimer se bo</w:t>
      </w:r>
      <w:r w:rsidR="00087E1A" w:rsidRPr="00E5759F">
        <w:rPr>
          <w:rFonts w:asciiTheme="minorHAnsi" w:eastAsia="Times New Roman" w:hAnsiTheme="minorHAnsi" w:cstheme="minorHAnsi"/>
          <w:sz w:val="22"/>
        </w:rPr>
        <w:t xml:space="preserve"> zagotavljla poplavna varnost</w:t>
      </w:r>
      <w:r w:rsidR="00771B8D" w:rsidRPr="00E5759F">
        <w:rPr>
          <w:rFonts w:asciiTheme="minorHAnsi" w:eastAsia="Times New Roman" w:hAnsiTheme="minorHAnsi" w:cstheme="minorHAnsi"/>
          <w:sz w:val="22"/>
        </w:rPr>
        <w:t xml:space="preserve"> območja Šoštanja</w:t>
      </w:r>
      <w:r w:rsidR="00A4523F">
        <w:rPr>
          <w:rFonts w:asciiTheme="minorHAnsi" w:eastAsia="Times New Roman" w:hAnsiTheme="minorHAnsi" w:cstheme="minorHAnsi"/>
          <w:sz w:val="22"/>
        </w:rPr>
        <w:t>, se predvidoma ne bo namenjalo sredstev SPP</w:t>
      </w:r>
      <w:r w:rsidR="00771B8D" w:rsidRPr="00E5759F">
        <w:rPr>
          <w:rFonts w:asciiTheme="minorHAnsi" w:eastAsia="Times New Roman" w:hAnsiTheme="minorHAnsi" w:cstheme="minorHAnsi"/>
          <w:sz w:val="22"/>
        </w:rPr>
        <w:t>.</w:t>
      </w:r>
      <w:r w:rsidR="00AC5335">
        <w:rPr>
          <w:rFonts w:asciiTheme="minorHAnsi" w:eastAsia="Times New Roman" w:hAnsiTheme="minorHAnsi" w:cstheme="minorHAnsi"/>
          <w:sz w:val="22"/>
        </w:rPr>
        <w:t xml:space="preserve"> </w:t>
      </w:r>
    </w:p>
    <w:p w14:paraId="5A74D9D1" w14:textId="77777777" w:rsidR="00A14D18" w:rsidRPr="008B037E" w:rsidRDefault="00447545" w:rsidP="000D71A0">
      <w:pPr>
        <w:spacing w:before="0" w:after="0" w:line="276" w:lineRule="auto"/>
        <w:contextualSpacing/>
        <w:rPr>
          <w:rFonts w:asciiTheme="minorHAnsi" w:eastAsia="Times New Roman" w:hAnsiTheme="minorHAnsi" w:cstheme="minorHAnsi"/>
          <w:sz w:val="22"/>
        </w:rPr>
      </w:pPr>
      <w:r w:rsidRPr="008B037E">
        <w:rPr>
          <w:rFonts w:asciiTheme="minorHAnsi" w:eastAsia="Times New Roman" w:hAnsiTheme="minorHAnsi" w:cstheme="minorHAnsi"/>
          <w:sz w:val="22"/>
        </w:rPr>
        <w:t xml:space="preserve">Izvajanje ukrepov </w:t>
      </w:r>
      <w:r w:rsidR="008A47BA" w:rsidRPr="008B037E">
        <w:rPr>
          <w:rFonts w:asciiTheme="minorHAnsi" w:eastAsia="Times New Roman" w:hAnsiTheme="minorHAnsi" w:cstheme="minorHAnsi"/>
          <w:sz w:val="22"/>
        </w:rPr>
        <w:t>bo komplementarno</w:t>
      </w:r>
      <w:r w:rsidRPr="008B037E">
        <w:rPr>
          <w:rFonts w:asciiTheme="minorHAnsi" w:eastAsia="Times New Roman" w:hAnsiTheme="minorHAnsi" w:cstheme="minorHAnsi"/>
          <w:sz w:val="22"/>
        </w:rPr>
        <w:t xml:space="preserve"> izvajanj</w:t>
      </w:r>
      <w:r w:rsidR="008A47BA" w:rsidRPr="008B037E">
        <w:rPr>
          <w:rFonts w:asciiTheme="minorHAnsi" w:eastAsia="Times New Roman" w:hAnsiTheme="minorHAnsi" w:cstheme="minorHAnsi"/>
          <w:sz w:val="22"/>
        </w:rPr>
        <w:t>u</w:t>
      </w:r>
      <w:r w:rsidRPr="008B037E">
        <w:rPr>
          <w:rFonts w:asciiTheme="minorHAnsi" w:eastAsia="Times New Roman" w:hAnsiTheme="minorHAnsi" w:cstheme="minorHAnsi"/>
          <w:sz w:val="22"/>
        </w:rPr>
        <w:t xml:space="preserve"> ukrepov </w:t>
      </w:r>
      <w:r w:rsidR="008A47BA" w:rsidRPr="008B037E">
        <w:rPr>
          <w:rFonts w:asciiTheme="minorHAnsi" w:eastAsia="Times New Roman" w:hAnsiTheme="minorHAnsi" w:cstheme="minorHAnsi"/>
          <w:sz w:val="22"/>
        </w:rPr>
        <w:t xml:space="preserve">v </w:t>
      </w:r>
      <w:r w:rsidRPr="008B037E">
        <w:rPr>
          <w:rFonts w:asciiTheme="minorHAnsi" w:eastAsia="Times New Roman" w:hAnsiTheme="minorHAnsi" w:cstheme="minorHAnsi"/>
          <w:sz w:val="22"/>
        </w:rPr>
        <w:t xml:space="preserve">okviru zakona o zapiranju </w:t>
      </w:r>
      <w:r w:rsidR="00F756A6" w:rsidRPr="008B037E">
        <w:rPr>
          <w:rFonts w:asciiTheme="minorHAnsi" w:eastAsia="Times New Roman" w:hAnsiTheme="minorHAnsi" w:cstheme="minorHAnsi"/>
          <w:sz w:val="22"/>
        </w:rPr>
        <w:t>P</w:t>
      </w:r>
      <w:r w:rsidRPr="008B037E">
        <w:rPr>
          <w:rFonts w:asciiTheme="minorHAnsi" w:eastAsia="Times New Roman" w:hAnsiTheme="minorHAnsi" w:cstheme="minorHAnsi"/>
          <w:sz w:val="22"/>
        </w:rPr>
        <w:t>V:</w:t>
      </w:r>
    </w:p>
    <w:p w14:paraId="4FD51A8A" w14:textId="20941D0E" w:rsidR="00447545" w:rsidRPr="00F87A8A" w:rsidRDefault="00447545" w:rsidP="007627D5">
      <w:pPr>
        <w:pStyle w:val="Odstavekseznama"/>
        <w:numPr>
          <w:ilvl w:val="0"/>
          <w:numId w:val="12"/>
        </w:numPr>
        <w:spacing w:after="0"/>
        <w:jc w:val="both"/>
        <w:rPr>
          <w:rFonts w:eastAsia="Times New Roman" w:cstheme="minorHAnsi"/>
        </w:rPr>
      </w:pPr>
      <w:r w:rsidRPr="008B037E">
        <w:rPr>
          <w:rFonts w:eastAsia="Times New Roman" w:cstheme="minorHAnsi"/>
        </w:rPr>
        <w:t xml:space="preserve">Postopno in učinkovito zapiranje rudnika na podlagi celostnega programa zapiranja ter zagotovitev ustrezne, okoljsko </w:t>
      </w:r>
      <w:r w:rsidRPr="00F87A8A">
        <w:rPr>
          <w:rFonts w:eastAsia="Times New Roman" w:cstheme="minorHAnsi"/>
        </w:rPr>
        <w:t>sprejemljive rešitve za presežno proizvodnjo, ki bo posledica izvajanja zapiralnih del (tj. izkop, ki je posledica izvajanja zapiralnih del).</w:t>
      </w:r>
      <w:r w:rsidR="000F49F2" w:rsidRPr="00F87A8A">
        <w:rPr>
          <w:rFonts w:eastAsia="Times New Roman" w:cstheme="minorHAnsi"/>
        </w:rPr>
        <w:t xml:space="preserve"> Izstop iz premoga, najpozneje v letu 2033 bo podprt s pripravo zakonskega okvira za zapiranje premogovnika</w:t>
      </w:r>
      <w:r w:rsidR="007627D5" w:rsidRPr="007627D5">
        <w:t xml:space="preserve"> </w:t>
      </w:r>
      <w:r w:rsidR="007627D5" w:rsidRPr="007627D5">
        <w:rPr>
          <w:rFonts w:eastAsia="Times New Roman" w:cstheme="minorHAnsi"/>
        </w:rPr>
        <w:t>in prestrukturiranja regije</w:t>
      </w:r>
      <w:r w:rsidR="000F49F2" w:rsidRPr="00F87A8A">
        <w:rPr>
          <w:rFonts w:eastAsia="Times New Roman" w:cstheme="minorHAnsi"/>
        </w:rPr>
        <w:t xml:space="preserve">, ki bo usklajen s socialnimi partnerji in </w:t>
      </w:r>
      <w:r w:rsidR="007627D5">
        <w:rPr>
          <w:rFonts w:eastAsia="Times New Roman" w:cstheme="minorHAnsi"/>
        </w:rPr>
        <w:t xml:space="preserve">ključnimi deležniki v regiji in </w:t>
      </w:r>
      <w:r w:rsidR="000F49F2" w:rsidRPr="00F87A8A">
        <w:rPr>
          <w:rFonts w:eastAsia="Times New Roman" w:cstheme="minorHAnsi"/>
        </w:rPr>
        <w:t>predložen v javno obravnavo najkasneje 6 mesecev po sprejemu Nacionalne strategije za izstop iz premoga in prestrukturiranje premogovnih regij v skladu z načeli pravičnega prehoda.</w:t>
      </w:r>
    </w:p>
    <w:p w14:paraId="6A4CBD3C" w14:textId="557E94BF" w:rsidR="00323197" w:rsidRPr="00BA3433" w:rsidRDefault="00447545" w:rsidP="00F87A8A">
      <w:pPr>
        <w:pStyle w:val="Odstavekseznama"/>
        <w:numPr>
          <w:ilvl w:val="0"/>
          <w:numId w:val="12"/>
        </w:numPr>
        <w:spacing w:after="0"/>
        <w:rPr>
          <w:rFonts w:eastAsia="Times New Roman" w:cstheme="minorHAnsi"/>
          <w:i/>
        </w:rPr>
      </w:pPr>
      <w:r w:rsidRPr="00F87A8A">
        <w:rPr>
          <w:rFonts w:eastAsia="Times New Roman" w:cstheme="minorHAnsi"/>
        </w:rPr>
        <w:lastRenderedPageBreak/>
        <w:t>zagotavljanje dolgoročne odgovornosti za celovito sanacijo in revitalizacijo rudarskih območij  ter dolgoročno spremljanje in upravljanje rudarskega območja po prenehanju rudarjenja</w:t>
      </w:r>
      <w:r w:rsidR="008A47BA" w:rsidRPr="00F87A8A">
        <w:rPr>
          <w:rFonts w:eastAsia="Times New Roman" w:cstheme="minorHAnsi"/>
        </w:rPr>
        <w:t>.</w:t>
      </w:r>
    </w:p>
    <w:p w14:paraId="741D458A" w14:textId="77777777" w:rsidR="00BA3433" w:rsidRPr="00BA3433" w:rsidRDefault="00BA3433" w:rsidP="00BA3433">
      <w:pPr>
        <w:spacing w:after="0"/>
        <w:ind w:left="360"/>
        <w:rPr>
          <w:rFonts w:eastAsia="Times New Roman" w:cstheme="minorHAnsi"/>
          <w:i/>
        </w:rPr>
      </w:pPr>
    </w:p>
    <w:p w14:paraId="1D0491E9" w14:textId="77777777" w:rsidR="00323197" w:rsidRPr="00BA3433" w:rsidRDefault="00323197" w:rsidP="00BA3433">
      <w:pPr>
        <w:spacing w:after="0"/>
        <w:ind w:left="360"/>
        <w:rPr>
          <w:rFonts w:cstheme="minorHAnsi"/>
          <w:i/>
        </w:rPr>
      </w:pPr>
      <w:r w:rsidRPr="00BA3433">
        <w:rPr>
          <w:rFonts w:cstheme="minorHAnsi"/>
          <w:i/>
        </w:rPr>
        <w:t>Sklic: člen 11(2)(h)</w:t>
      </w:r>
    </w:p>
    <w:p w14:paraId="535E510A" w14:textId="77777777" w:rsidR="00323197" w:rsidRPr="008B037E" w:rsidRDefault="00323197" w:rsidP="00323197">
      <w:pPr>
        <w:pStyle w:val="Odstavekseznama"/>
        <w:numPr>
          <w:ilvl w:val="0"/>
          <w:numId w:val="12"/>
        </w:numPr>
        <w:pBdr>
          <w:top w:val="single" w:sz="4" w:space="1" w:color="auto"/>
          <w:left w:val="single" w:sz="4" w:space="4" w:color="auto"/>
          <w:bottom w:val="single" w:sz="4" w:space="1" w:color="auto"/>
          <w:right w:val="single" w:sz="4" w:space="4" w:color="auto"/>
        </w:pBdr>
        <w:spacing w:after="0"/>
        <w:rPr>
          <w:rFonts w:eastAsia="Times New Roman" w:cstheme="minorHAnsi"/>
          <w:i/>
        </w:rPr>
      </w:pPr>
      <w:r w:rsidRPr="008B037E">
        <w:rPr>
          <w:rFonts w:cstheme="minorHAnsi"/>
          <w:i/>
        </w:rPr>
        <w:t xml:space="preserve">Izpolnite le, če se podpora namenja produktivnim naložbam, ki niso naložbe v MSP: </w:t>
      </w:r>
    </w:p>
    <w:p w14:paraId="6457CBB7" w14:textId="77777777" w:rsidR="00323197" w:rsidRPr="008B037E" w:rsidRDefault="00323197" w:rsidP="00323197">
      <w:pPr>
        <w:pStyle w:val="Odstavekseznama"/>
        <w:numPr>
          <w:ilvl w:val="0"/>
          <w:numId w:val="12"/>
        </w:numPr>
        <w:pBdr>
          <w:top w:val="single" w:sz="4" w:space="1" w:color="auto"/>
          <w:left w:val="single" w:sz="4" w:space="4" w:color="auto"/>
          <w:bottom w:val="single" w:sz="4" w:space="1" w:color="auto"/>
          <w:right w:val="single" w:sz="4" w:space="4" w:color="auto"/>
        </w:pBdr>
        <w:spacing w:after="0"/>
        <w:rPr>
          <w:rFonts w:cstheme="minorHAnsi"/>
          <w:i/>
        </w:rPr>
      </w:pPr>
      <w:r w:rsidRPr="008B037E">
        <w:rPr>
          <w:rFonts w:cstheme="minorHAnsi"/>
          <w:i/>
        </w:rPr>
        <w:t>– izčrpen seznam takih operacij in podjetij ter za vsako izmed njih utemeljitev potrebe po takšni podpori z analizo vrzeli, ki dokazuje, da bi pričakovana izguba delovnih mest brez takih naložb presegla pričakovano število novih delovnih mest.</w:t>
      </w:r>
    </w:p>
    <w:p w14:paraId="32CB819F" w14:textId="6CB37E60" w:rsidR="00680AEB" w:rsidRPr="008B037E" w:rsidRDefault="00680AEB" w:rsidP="00680AEB">
      <w:pPr>
        <w:spacing w:after="0"/>
        <w:ind w:left="360"/>
        <w:rPr>
          <w:rFonts w:asciiTheme="minorHAnsi" w:hAnsiTheme="minorHAnsi" w:cstheme="minorHAnsi"/>
          <w:sz w:val="22"/>
        </w:rPr>
      </w:pPr>
      <w:r w:rsidRPr="008B037E">
        <w:rPr>
          <w:rFonts w:asciiTheme="minorHAnsi" w:hAnsiTheme="minorHAnsi" w:cstheme="minorHAnsi"/>
          <w:sz w:val="22"/>
        </w:rPr>
        <w:t>Analiza vrzeli, ki je bila izdelana za regijo pokaže</w:t>
      </w:r>
      <w:r w:rsidR="00E5759F">
        <w:rPr>
          <w:rFonts w:asciiTheme="minorHAnsi" w:hAnsiTheme="minorHAnsi" w:cstheme="minorHAnsi"/>
          <w:sz w:val="22"/>
        </w:rPr>
        <w:t xml:space="preserve">, da </w:t>
      </w:r>
      <w:r w:rsidRPr="008B037E">
        <w:rPr>
          <w:rFonts w:asciiTheme="minorHAnsi" w:hAnsiTheme="minorHAnsi" w:cstheme="minorHAnsi"/>
          <w:sz w:val="22"/>
        </w:rPr>
        <w:t xml:space="preserve">so velika podjetja izven sektorja energetike pomemben dejavnik gospodarskega razvoja regije. Ta podjetja so pomemben deležnik pri zagotavljanju pravičnega prehoda tako zaradi potenciala, ki ga imajo pri ohranjanju delovnih mest in pri razvoju potenciala za nove zaposlitve. </w:t>
      </w:r>
      <w:r w:rsidR="00102E8A" w:rsidRPr="008B037E">
        <w:rPr>
          <w:rFonts w:ascii="Calibri" w:hAnsi="Calibri"/>
          <w:sz w:val="22"/>
        </w:rPr>
        <w:t>Imajo pa tudi pomembno vlogo pri razvoju in delovanju z</w:t>
      </w:r>
      <w:r w:rsidRPr="008B037E">
        <w:rPr>
          <w:rFonts w:ascii="Calibri" w:hAnsi="Calibri"/>
          <w:sz w:val="22"/>
        </w:rPr>
        <w:t>agonskih in MSP</w:t>
      </w:r>
      <w:r w:rsidR="00102E8A" w:rsidRPr="008B037E">
        <w:rPr>
          <w:rFonts w:ascii="Calibri" w:hAnsi="Calibri"/>
          <w:sz w:val="22"/>
        </w:rPr>
        <w:t>, saj se</w:t>
      </w:r>
      <w:r w:rsidRPr="008B037E">
        <w:rPr>
          <w:rFonts w:ascii="Calibri" w:hAnsi="Calibri"/>
          <w:sz w:val="22"/>
        </w:rPr>
        <w:t xml:space="preserve"> </w:t>
      </w:r>
      <w:r w:rsidR="00102E8A" w:rsidRPr="008B037E">
        <w:rPr>
          <w:rFonts w:ascii="Calibri" w:hAnsi="Calibri"/>
          <w:sz w:val="22"/>
        </w:rPr>
        <w:t xml:space="preserve">z njimi </w:t>
      </w:r>
      <w:r w:rsidRPr="008B037E">
        <w:rPr>
          <w:rFonts w:ascii="Calibri" w:hAnsi="Calibri"/>
          <w:sz w:val="22"/>
        </w:rPr>
        <w:t xml:space="preserve">povezujejo v različne ekosisteme. To </w:t>
      </w:r>
      <w:r w:rsidRPr="008B037E">
        <w:rPr>
          <w:rFonts w:asciiTheme="minorHAnsi" w:hAnsiTheme="minorHAnsi" w:cstheme="minorHAnsi"/>
          <w:sz w:val="22"/>
        </w:rPr>
        <w:t>vlogo</w:t>
      </w:r>
      <w:r w:rsidRPr="008B037E">
        <w:rPr>
          <w:rFonts w:ascii="Calibri" w:hAnsi="Calibri"/>
          <w:sz w:val="22"/>
        </w:rPr>
        <w:t xml:space="preserve"> bodo igrala</w:t>
      </w:r>
      <w:r w:rsidR="00102E8A" w:rsidRPr="008B037E">
        <w:rPr>
          <w:rFonts w:ascii="Calibri" w:hAnsi="Calibri"/>
          <w:sz w:val="22"/>
        </w:rPr>
        <w:t xml:space="preserve"> in nadgradila</w:t>
      </w:r>
      <w:r w:rsidRPr="008B037E">
        <w:rPr>
          <w:rFonts w:ascii="Calibri" w:hAnsi="Calibri"/>
          <w:sz w:val="22"/>
        </w:rPr>
        <w:t xml:space="preserve"> tudi v prihodnje.</w:t>
      </w:r>
    </w:p>
    <w:p w14:paraId="0B6B13F2" w14:textId="13DA4717" w:rsidR="0040373F" w:rsidRDefault="00102E8A" w:rsidP="00FF7DC7">
      <w:pPr>
        <w:spacing w:after="240"/>
        <w:ind w:left="357"/>
        <w:rPr>
          <w:rFonts w:asciiTheme="minorHAnsi" w:hAnsiTheme="minorHAnsi" w:cstheme="minorHAnsi"/>
          <w:sz w:val="22"/>
        </w:rPr>
      </w:pPr>
      <w:r w:rsidRPr="008B037E">
        <w:rPr>
          <w:rFonts w:asciiTheme="minorHAnsi" w:hAnsiTheme="minorHAnsi" w:cstheme="minorHAnsi"/>
          <w:sz w:val="22"/>
        </w:rPr>
        <w:t xml:space="preserve">Velika podjetja bodo tako lahko, v sodelovanju z raziskovalni organizacijami in drugimi relevantnimi deležniki iz regije, upravičena do sredstev za raziskovalno razvojne dejavnosti na področjih, ki bodo skladna s Slovensko strategijo pametne specializacije (S4/S5). To podporo bo mogoče kombinirati z ukrepi na </w:t>
      </w:r>
      <w:r w:rsidRPr="008B037E">
        <w:rPr>
          <w:rFonts w:ascii="Calibri" w:hAnsi="Calibri"/>
          <w:sz w:val="22"/>
        </w:rPr>
        <w:t>področju</w:t>
      </w:r>
      <w:r w:rsidRPr="008B037E">
        <w:rPr>
          <w:rFonts w:asciiTheme="minorHAnsi" w:hAnsiTheme="minorHAnsi" w:cstheme="minorHAnsi"/>
          <w:sz w:val="22"/>
        </w:rPr>
        <w:t xml:space="preserve"> izobraževanja in usposabljanja</w:t>
      </w:r>
      <w:r w:rsidRPr="008B037E">
        <w:rPr>
          <w:rFonts w:cstheme="minorHAnsi"/>
        </w:rPr>
        <w:t>.</w:t>
      </w:r>
      <w:r w:rsidR="00FF7DC7">
        <w:rPr>
          <w:rFonts w:asciiTheme="minorHAnsi" w:hAnsiTheme="minorHAnsi" w:cstheme="minorHAnsi"/>
          <w:sz w:val="22"/>
        </w:rPr>
        <w:t xml:space="preserve"> </w:t>
      </w:r>
      <w:r w:rsidR="00DE541F" w:rsidRPr="00DE541F">
        <w:rPr>
          <w:rFonts w:asciiTheme="minorHAnsi" w:hAnsiTheme="minorHAnsi" w:cstheme="minorHAnsi"/>
          <w:sz w:val="22"/>
        </w:rPr>
        <w:t>V regiji se načrtuje ukrepe RRI, vključujoč raziskovalno infrastrukturo, v sodelovanju z obstoječimi raziskovalnimi organizacijami, npr. KIS in IJS</w:t>
      </w:r>
      <w:r w:rsidR="00372A1B">
        <w:rPr>
          <w:rFonts w:asciiTheme="minorHAnsi" w:hAnsiTheme="minorHAnsi" w:cstheme="minorHAnsi"/>
          <w:sz w:val="22"/>
        </w:rPr>
        <w:t xml:space="preserve"> ter načrtovanim Laboratorijem za raziskave bio-rafinacije biomase</w:t>
      </w:r>
      <w:r w:rsidR="00DE541F" w:rsidRPr="00DE541F">
        <w:rPr>
          <w:rFonts w:asciiTheme="minorHAnsi" w:hAnsiTheme="minorHAnsi" w:cstheme="minorHAnsi"/>
          <w:sz w:val="22"/>
        </w:rPr>
        <w:t>. Prav tako bo vzpostavitev Centra prihodnosti nudila prostor za demonstracijo in vzpostavitev najboljših tehnologij.</w:t>
      </w:r>
      <w:r w:rsidR="00120DA4">
        <w:rPr>
          <w:rFonts w:asciiTheme="minorHAnsi" w:hAnsiTheme="minorHAnsi" w:cstheme="minorHAnsi"/>
          <w:sz w:val="22"/>
        </w:rPr>
        <w:t xml:space="preserve"> </w:t>
      </w:r>
      <w:r w:rsidR="0040373F" w:rsidRPr="008B037E">
        <w:rPr>
          <w:rFonts w:asciiTheme="minorHAnsi" w:hAnsiTheme="minorHAnsi" w:cstheme="minorHAnsi"/>
          <w:sz w:val="22"/>
        </w:rPr>
        <w:t xml:space="preserve">Na ta način bodo partnerji, ob podpori vrhunske raziskovalne infrastrukture, oblikovali in razvili skupne prebojne rešitve in tako prispevali k hitrejšemu uvajanju novih tehnologij v podjetja. Rešitve bodo zasledovale dvig produktivnosti in cilje dvojnega prehoda. Tako bo podpora med drugim namenjena naložbam s področij energetske in snovne učinkovitosti; večanja deleža rabe OVE; uvajanje materialov, storitev, poslovnih modelov, itd. ki so skladni z načeli krožnega gospodarstva; uvajanju pametnih in digitalnih rešitev v proizvodne procese; krmiljenju naprav in sistemov ter optimiziranih proizvodnih procesov vključno z digitalnimi dvojčki. </w:t>
      </w:r>
    </w:p>
    <w:p w14:paraId="74AD65F3" w14:textId="7D52EB7D" w:rsidR="00D01CF1" w:rsidRDefault="00D01CF1">
      <w:pPr>
        <w:spacing w:before="0" w:after="160" w:line="259" w:lineRule="auto"/>
        <w:jc w:val="left"/>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br w:type="page"/>
      </w:r>
    </w:p>
    <w:p w14:paraId="04D28A3E" w14:textId="77777777" w:rsidR="00473CDE" w:rsidRDefault="00473CDE" w:rsidP="00102E8A">
      <w:pPr>
        <w:spacing w:after="0"/>
        <w:rPr>
          <w:rFonts w:asciiTheme="minorHAnsi" w:hAnsiTheme="minorHAnsi" w:cstheme="minorHAnsi"/>
          <w:color w:val="000000"/>
          <w:sz w:val="22"/>
          <w:shd w:val="clear" w:color="auto" w:fill="FFFFFF"/>
        </w:rPr>
        <w:sectPr w:rsidR="00473CDE" w:rsidSect="002970DA">
          <w:headerReference w:type="default" r:id="rId9"/>
          <w:footerReference w:type="default" r:id="rId10"/>
          <w:pgSz w:w="11906" w:h="16838" w:code="9"/>
          <w:pgMar w:top="1417" w:right="1417" w:bottom="1134" w:left="1417" w:header="708" w:footer="708" w:gutter="0"/>
          <w:pgNumType w:start="1"/>
          <w:cols w:space="708"/>
          <w:docGrid w:linePitch="360"/>
        </w:sectPr>
      </w:pPr>
    </w:p>
    <w:p w14:paraId="7121167D" w14:textId="5EC348F3" w:rsidR="00D01CF1" w:rsidRDefault="00D01CF1" w:rsidP="00102E8A">
      <w:pPr>
        <w:spacing w:after="0"/>
        <w:rPr>
          <w:rFonts w:asciiTheme="minorHAnsi" w:hAnsiTheme="minorHAnsi" w:cstheme="minorHAnsi"/>
          <w:color w:val="000000"/>
          <w:sz w:val="22"/>
          <w:shd w:val="clear" w:color="auto" w:fill="FFFFFF"/>
        </w:rPr>
      </w:pPr>
    </w:p>
    <w:p w14:paraId="2B24BD31" w14:textId="77777777" w:rsidR="00102E8A" w:rsidRPr="008B037E" w:rsidRDefault="00102E8A" w:rsidP="00102E8A">
      <w:pPr>
        <w:spacing w:after="0"/>
        <w:rPr>
          <w:rFonts w:asciiTheme="minorHAnsi" w:hAnsiTheme="minorHAnsi" w:cstheme="minorHAnsi"/>
          <w:color w:val="000000"/>
          <w:sz w:val="22"/>
          <w:shd w:val="clear" w:color="auto" w:fill="FFFFFF"/>
        </w:rPr>
      </w:pPr>
      <w:r w:rsidRPr="008B037E">
        <w:rPr>
          <w:rFonts w:asciiTheme="minorHAnsi" w:hAnsiTheme="minorHAnsi" w:cstheme="minorHAnsi"/>
          <w:color w:val="000000"/>
          <w:sz w:val="22"/>
          <w:shd w:val="clear" w:color="auto" w:fill="FFFFFF"/>
        </w:rPr>
        <w:t xml:space="preserve">Okvirni seznam operacij in podjetij, ki niso MSP </w:t>
      </w:r>
    </w:p>
    <w:p w14:paraId="3C23A16B" w14:textId="6205C47C" w:rsidR="00372A1B" w:rsidRDefault="00372A1B">
      <w:pPr>
        <w:spacing w:before="0" w:after="160" w:line="259" w:lineRule="auto"/>
        <w:jc w:val="left"/>
        <w:rPr>
          <w:rFonts w:cstheme="minorHAnsi"/>
        </w:rPr>
      </w:pPr>
    </w:p>
    <w:p w14:paraId="1B76A6ED" w14:textId="77777777" w:rsidR="00372A1B" w:rsidRPr="00BB78D5" w:rsidRDefault="00372A1B" w:rsidP="00372A1B">
      <w:pPr>
        <w:pStyle w:val="Odstavekseznama"/>
        <w:spacing w:after="0"/>
        <w:rPr>
          <w:rFonts w:cstheme="minorHAnsi"/>
        </w:rPr>
      </w:pPr>
    </w:p>
    <w:tbl>
      <w:tblPr>
        <w:tblStyle w:val="Tabelamrea"/>
        <w:tblW w:w="14317" w:type="dxa"/>
        <w:tblInd w:w="-5" w:type="dxa"/>
        <w:tblLook w:val="04A0" w:firstRow="1" w:lastRow="0" w:firstColumn="1" w:lastColumn="0" w:noHBand="0" w:noVBand="1"/>
      </w:tblPr>
      <w:tblGrid>
        <w:gridCol w:w="2977"/>
        <w:gridCol w:w="2896"/>
        <w:gridCol w:w="4687"/>
        <w:gridCol w:w="2126"/>
        <w:gridCol w:w="1631"/>
      </w:tblGrid>
      <w:tr w:rsidR="00372A1B" w:rsidRPr="00D01CF1" w14:paraId="513AD726" w14:textId="77777777" w:rsidTr="00AE5CC9">
        <w:tc>
          <w:tcPr>
            <w:tcW w:w="2977" w:type="dxa"/>
          </w:tcPr>
          <w:p w14:paraId="31EE9B27" w14:textId="77777777" w:rsidR="00372A1B" w:rsidRPr="00D01CF1" w:rsidRDefault="00372A1B" w:rsidP="00B94D57">
            <w:pPr>
              <w:spacing w:before="0" w:after="0" w:line="276" w:lineRule="auto"/>
              <w:contextualSpacing/>
              <w:jc w:val="center"/>
              <w:rPr>
                <w:rFonts w:asciiTheme="minorHAnsi" w:hAnsiTheme="minorHAnsi" w:cstheme="minorHAnsi"/>
                <w:color w:val="000000"/>
                <w:sz w:val="20"/>
                <w:szCs w:val="20"/>
                <w:shd w:val="clear" w:color="auto" w:fill="FFFFFF"/>
              </w:rPr>
            </w:pPr>
            <w:r w:rsidRPr="00D01CF1">
              <w:rPr>
                <w:rFonts w:asciiTheme="minorHAnsi" w:hAnsiTheme="minorHAnsi" w:cstheme="minorHAnsi"/>
                <w:color w:val="000000"/>
                <w:sz w:val="20"/>
                <w:szCs w:val="20"/>
                <w:shd w:val="clear" w:color="auto" w:fill="FFFFFF"/>
              </w:rPr>
              <w:t>Operacija</w:t>
            </w:r>
          </w:p>
        </w:tc>
        <w:tc>
          <w:tcPr>
            <w:tcW w:w="2896" w:type="dxa"/>
          </w:tcPr>
          <w:p w14:paraId="29C304D4" w14:textId="77777777" w:rsidR="00372A1B" w:rsidRPr="00D01CF1" w:rsidRDefault="00372A1B" w:rsidP="00B94D57">
            <w:pPr>
              <w:spacing w:before="0" w:after="0" w:line="276" w:lineRule="auto"/>
              <w:contextualSpacing/>
              <w:jc w:val="center"/>
              <w:rPr>
                <w:rFonts w:asciiTheme="minorHAnsi" w:hAnsiTheme="minorHAnsi" w:cstheme="minorHAnsi"/>
                <w:color w:val="000000"/>
                <w:sz w:val="20"/>
                <w:szCs w:val="20"/>
                <w:shd w:val="clear" w:color="auto" w:fill="FFFFFF"/>
              </w:rPr>
            </w:pPr>
            <w:r w:rsidRPr="00D01CF1">
              <w:rPr>
                <w:rFonts w:asciiTheme="minorHAnsi" w:hAnsiTheme="minorHAnsi" w:cstheme="minorHAnsi"/>
                <w:color w:val="000000"/>
                <w:sz w:val="20"/>
                <w:szCs w:val="20"/>
                <w:shd w:val="clear" w:color="auto" w:fill="FFFFFF"/>
              </w:rPr>
              <w:t>Podjetje</w:t>
            </w:r>
          </w:p>
        </w:tc>
        <w:tc>
          <w:tcPr>
            <w:tcW w:w="4687" w:type="dxa"/>
          </w:tcPr>
          <w:p w14:paraId="399D14CE" w14:textId="77777777" w:rsidR="00372A1B" w:rsidRPr="00D01CF1" w:rsidRDefault="00372A1B" w:rsidP="00B94D57">
            <w:pPr>
              <w:spacing w:before="0" w:after="0" w:line="276" w:lineRule="auto"/>
              <w:contextualSpacing/>
              <w:jc w:val="center"/>
              <w:rPr>
                <w:rFonts w:asciiTheme="minorHAnsi" w:hAnsiTheme="minorHAnsi" w:cstheme="minorHAnsi"/>
                <w:color w:val="000000"/>
                <w:sz w:val="20"/>
                <w:szCs w:val="20"/>
                <w:shd w:val="clear" w:color="auto" w:fill="FFFFFF"/>
              </w:rPr>
            </w:pPr>
            <w:r w:rsidRPr="00D01CF1">
              <w:rPr>
                <w:rFonts w:asciiTheme="minorHAnsi" w:hAnsiTheme="minorHAnsi" w:cstheme="minorHAnsi"/>
                <w:color w:val="000000"/>
                <w:sz w:val="20"/>
                <w:szCs w:val="20"/>
                <w:shd w:val="clear" w:color="auto" w:fill="FFFFFF"/>
              </w:rPr>
              <w:t>Opis projektov</w:t>
            </w:r>
          </w:p>
        </w:tc>
        <w:tc>
          <w:tcPr>
            <w:tcW w:w="2126" w:type="dxa"/>
          </w:tcPr>
          <w:p w14:paraId="5A33E9DE" w14:textId="77777777" w:rsidR="00372A1B" w:rsidRPr="00D01CF1" w:rsidRDefault="00372A1B" w:rsidP="00B94D57">
            <w:pPr>
              <w:spacing w:before="0" w:after="0" w:line="276" w:lineRule="auto"/>
              <w:contextualSpacing/>
              <w:jc w:val="center"/>
              <w:rPr>
                <w:rFonts w:asciiTheme="minorHAnsi" w:hAnsiTheme="minorHAnsi" w:cstheme="minorHAnsi"/>
                <w:color w:val="000000"/>
                <w:sz w:val="20"/>
                <w:szCs w:val="20"/>
                <w:shd w:val="clear" w:color="auto" w:fill="FFFFFF"/>
              </w:rPr>
            </w:pPr>
            <w:r w:rsidRPr="00D01CF1">
              <w:rPr>
                <w:rFonts w:asciiTheme="minorHAnsi" w:hAnsiTheme="minorHAnsi" w:cstheme="minorHAnsi"/>
                <w:color w:val="000000"/>
                <w:sz w:val="20"/>
                <w:szCs w:val="20"/>
                <w:shd w:val="clear" w:color="auto" w:fill="FFFFFF"/>
              </w:rPr>
              <w:t>Vrednost operacije</w:t>
            </w:r>
          </w:p>
        </w:tc>
        <w:tc>
          <w:tcPr>
            <w:tcW w:w="1631" w:type="dxa"/>
          </w:tcPr>
          <w:p w14:paraId="149FCAFC" w14:textId="77777777" w:rsidR="00372A1B" w:rsidRPr="00D01CF1" w:rsidRDefault="00372A1B" w:rsidP="00B94D57">
            <w:pPr>
              <w:spacing w:before="0" w:after="0" w:line="276" w:lineRule="auto"/>
              <w:contextualSpacing/>
              <w:jc w:val="center"/>
              <w:rPr>
                <w:rFonts w:asciiTheme="minorHAnsi" w:hAnsiTheme="minorHAnsi" w:cstheme="minorHAnsi"/>
                <w:color w:val="000000"/>
                <w:sz w:val="20"/>
                <w:szCs w:val="20"/>
                <w:shd w:val="clear" w:color="auto" w:fill="FFFFFF"/>
              </w:rPr>
            </w:pPr>
            <w:r w:rsidRPr="00D01CF1">
              <w:rPr>
                <w:rFonts w:asciiTheme="minorHAnsi" w:hAnsiTheme="minorHAnsi" w:cstheme="minorHAnsi"/>
                <w:color w:val="000000"/>
                <w:sz w:val="20"/>
                <w:szCs w:val="20"/>
                <w:shd w:val="clear" w:color="auto" w:fill="FFFFFF"/>
              </w:rPr>
              <w:t>Št. delovnih mest</w:t>
            </w:r>
          </w:p>
        </w:tc>
      </w:tr>
      <w:tr w:rsidR="00372A1B" w:rsidRPr="000B0D63" w14:paraId="2962223B" w14:textId="77777777" w:rsidTr="00AE5CC9">
        <w:tc>
          <w:tcPr>
            <w:tcW w:w="2977" w:type="dxa"/>
          </w:tcPr>
          <w:p w14:paraId="595CB015" w14:textId="77777777" w:rsidR="00372A1B" w:rsidRDefault="00372A1B" w:rsidP="00B94D57">
            <w:pPr>
              <w:pStyle w:val="Odstavekseznama"/>
              <w:numPr>
                <w:ilvl w:val="0"/>
                <w:numId w:val="42"/>
              </w:numPr>
              <w:spacing w:after="0"/>
              <w:rPr>
                <w:rFonts w:cstheme="minorHAnsi"/>
                <w:color w:val="000000"/>
                <w:sz w:val="20"/>
                <w:szCs w:val="20"/>
                <w:shd w:val="clear" w:color="auto" w:fill="FFFFFF"/>
              </w:rPr>
            </w:pPr>
            <w:r w:rsidRPr="008B037E">
              <w:rPr>
                <w:rFonts w:cstheme="minorHAnsi"/>
                <w:color w:val="000000"/>
                <w:sz w:val="20"/>
                <w:szCs w:val="20"/>
                <w:shd w:val="clear" w:color="auto" w:fill="FFFFFF"/>
              </w:rPr>
              <w:t>Razvoj novih gene</w:t>
            </w:r>
            <w:r>
              <w:rPr>
                <w:rFonts w:cstheme="minorHAnsi"/>
                <w:color w:val="000000"/>
                <w:sz w:val="20"/>
                <w:szCs w:val="20"/>
                <w:shd w:val="clear" w:color="auto" w:fill="FFFFFF"/>
              </w:rPr>
              <w:t xml:space="preserve">racij gospodinjskih aparatov,  </w:t>
            </w:r>
          </w:p>
          <w:p w14:paraId="53DC0951" w14:textId="77777777" w:rsidR="00372A1B" w:rsidRDefault="00372A1B" w:rsidP="00B94D57">
            <w:pPr>
              <w:pStyle w:val="Odstavekseznama"/>
              <w:numPr>
                <w:ilvl w:val="0"/>
                <w:numId w:val="42"/>
              </w:numPr>
              <w:spacing w:after="0"/>
              <w:rPr>
                <w:rFonts w:cstheme="minorHAnsi"/>
                <w:color w:val="000000"/>
                <w:sz w:val="20"/>
                <w:szCs w:val="20"/>
                <w:shd w:val="clear" w:color="auto" w:fill="FFFFFF"/>
              </w:rPr>
            </w:pPr>
            <w:r w:rsidRPr="008B037E">
              <w:rPr>
                <w:rFonts w:cstheme="minorHAnsi"/>
                <w:color w:val="000000"/>
                <w:sz w:val="20"/>
                <w:szCs w:val="20"/>
                <w:shd w:val="clear" w:color="auto" w:fill="FFFFFF"/>
              </w:rPr>
              <w:t xml:space="preserve">povečanje proizvodnih zmogljivosti tovarn gospodinjskih aparatov </w:t>
            </w:r>
          </w:p>
          <w:p w14:paraId="3B5E53A6" w14:textId="77777777" w:rsidR="00372A1B" w:rsidRPr="008B037E" w:rsidRDefault="00372A1B" w:rsidP="00B94D57">
            <w:pPr>
              <w:pStyle w:val="Odstavekseznama"/>
              <w:numPr>
                <w:ilvl w:val="0"/>
                <w:numId w:val="42"/>
              </w:numPr>
              <w:spacing w:after="0"/>
              <w:rPr>
                <w:rFonts w:cstheme="minorHAnsi"/>
                <w:color w:val="000000"/>
                <w:sz w:val="20"/>
                <w:szCs w:val="20"/>
                <w:shd w:val="clear" w:color="auto" w:fill="FFFFFF"/>
              </w:rPr>
            </w:pPr>
            <w:r>
              <w:rPr>
                <w:rFonts w:cstheme="minorHAnsi"/>
                <w:color w:val="000000"/>
                <w:sz w:val="20"/>
                <w:szCs w:val="20"/>
                <w:shd w:val="clear" w:color="auto" w:fill="FFFFFF"/>
              </w:rPr>
              <w:t>povečanje proizvodnih zmogljivosti tovarne</w:t>
            </w:r>
            <w:r w:rsidRPr="008B037E">
              <w:rPr>
                <w:rFonts w:cstheme="minorHAnsi"/>
                <w:color w:val="000000"/>
                <w:sz w:val="20"/>
                <w:szCs w:val="20"/>
                <w:shd w:val="clear" w:color="auto" w:fill="FFFFFF"/>
              </w:rPr>
              <w:t xml:space="preserve"> </w:t>
            </w:r>
            <w:r>
              <w:rPr>
                <w:rFonts w:cstheme="minorHAnsi"/>
                <w:color w:val="000000"/>
                <w:sz w:val="20"/>
                <w:szCs w:val="20"/>
                <w:shd w:val="clear" w:color="auto" w:fill="FFFFFF"/>
              </w:rPr>
              <w:t>televizorjev</w:t>
            </w:r>
          </w:p>
        </w:tc>
        <w:tc>
          <w:tcPr>
            <w:tcW w:w="2896" w:type="dxa"/>
          </w:tcPr>
          <w:p w14:paraId="2CBBDE5F" w14:textId="3BDBCFB4" w:rsidR="00372A1B" w:rsidRPr="008B037E" w:rsidRDefault="00372A1B" w:rsidP="00B94D57">
            <w:pPr>
              <w:pStyle w:val="Odstavekseznama"/>
              <w:spacing w:after="0"/>
              <w:ind w:left="0"/>
              <w:rPr>
                <w:rFonts w:cstheme="minorHAnsi"/>
                <w:color w:val="000000"/>
                <w:sz w:val="20"/>
                <w:szCs w:val="20"/>
                <w:shd w:val="clear" w:color="auto" w:fill="FFFFFF"/>
              </w:rPr>
            </w:pPr>
            <w:r w:rsidRPr="008B037E">
              <w:rPr>
                <w:rFonts w:cstheme="minorHAnsi"/>
                <w:color w:val="000000"/>
                <w:sz w:val="20"/>
                <w:szCs w:val="20"/>
                <w:shd w:val="clear" w:color="auto" w:fill="FFFFFF"/>
              </w:rPr>
              <w:t>Gorenje gospodinjski aparati d.o.o. Velenje</w:t>
            </w:r>
          </w:p>
        </w:tc>
        <w:tc>
          <w:tcPr>
            <w:tcW w:w="4687" w:type="dxa"/>
          </w:tcPr>
          <w:p w14:paraId="3E4EBEE6" w14:textId="77777777" w:rsidR="00372A1B" w:rsidRDefault="00372A1B" w:rsidP="00B94D57">
            <w:pPr>
              <w:pStyle w:val="Odstavekseznama"/>
              <w:numPr>
                <w:ilvl w:val="0"/>
                <w:numId w:val="43"/>
              </w:numPr>
              <w:spacing w:after="0"/>
              <w:jc w:val="both"/>
              <w:rPr>
                <w:rFonts w:cstheme="minorHAnsi"/>
                <w:color w:val="000000"/>
                <w:sz w:val="20"/>
                <w:szCs w:val="20"/>
                <w:shd w:val="clear" w:color="auto" w:fill="FFFFFF"/>
              </w:rPr>
            </w:pPr>
            <w:r>
              <w:rPr>
                <w:rFonts w:cstheme="minorHAnsi"/>
                <w:color w:val="000000"/>
                <w:sz w:val="20"/>
                <w:szCs w:val="20"/>
                <w:shd w:val="clear" w:color="auto" w:fill="FFFFFF"/>
              </w:rPr>
              <w:t>Razvoj novih generacij gospodinjskih aparatov (tudi z razvojem alternativnih tehnologij za gretje, sušenje, pomivanje, hlajenje ipd.), ki bodo bolj energijsko učinkoviti, manj hrupni, z manjšo porabo vode z uvajanjem senzorike povezanost naprav z uporabniki;</w:t>
            </w:r>
          </w:p>
          <w:p w14:paraId="6DFE55F8" w14:textId="77777777" w:rsidR="00372A1B" w:rsidRDefault="00372A1B" w:rsidP="00B94D57">
            <w:pPr>
              <w:pStyle w:val="Odstavekseznama"/>
              <w:numPr>
                <w:ilvl w:val="0"/>
                <w:numId w:val="43"/>
              </w:numPr>
              <w:spacing w:after="0"/>
              <w:jc w:val="both"/>
              <w:rPr>
                <w:rFonts w:cstheme="minorHAnsi"/>
                <w:color w:val="000000"/>
                <w:sz w:val="20"/>
                <w:szCs w:val="20"/>
                <w:shd w:val="clear" w:color="auto" w:fill="FFFFFF"/>
              </w:rPr>
            </w:pPr>
            <w:r>
              <w:rPr>
                <w:rFonts w:cstheme="minorHAnsi"/>
                <w:color w:val="000000"/>
                <w:sz w:val="20"/>
                <w:szCs w:val="20"/>
                <w:shd w:val="clear" w:color="auto" w:fill="FFFFFF"/>
              </w:rPr>
              <w:t>Povečanje proizvodnih zmogljivosti (nove proizvodne linije) za nove gospodinjske aparate;</w:t>
            </w:r>
          </w:p>
          <w:p w14:paraId="5134F1D2" w14:textId="77777777" w:rsidR="00372A1B" w:rsidRPr="004A3D1B" w:rsidRDefault="00372A1B" w:rsidP="00B94D57">
            <w:pPr>
              <w:pStyle w:val="Odstavekseznama"/>
              <w:numPr>
                <w:ilvl w:val="0"/>
                <w:numId w:val="43"/>
              </w:numPr>
              <w:spacing w:after="0"/>
              <w:jc w:val="both"/>
              <w:rPr>
                <w:rFonts w:cstheme="minorHAnsi"/>
                <w:color w:val="000000"/>
                <w:sz w:val="20"/>
                <w:szCs w:val="20"/>
                <w:shd w:val="clear" w:color="auto" w:fill="FFFFFF"/>
              </w:rPr>
            </w:pPr>
            <w:r>
              <w:rPr>
                <w:rFonts w:cstheme="minorHAnsi"/>
                <w:color w:val="000000"/>
                <w:sz w:val="20"/>
                <w:szCs w:val="20"/>
                <w:shd w:val="clear" w:color="auto" w:fill="FFFFFF"/>
              </w:rPr>
              <w:t>Povečanje proizvodnih zmogljivosti tovarne televizorjev na obstoječi lokaciji PC Stara vas</w:t>
            </w:r>
          </w:p>
        </w:tc>
        <w:tc>
          <w:tcPr>
            <w:tcW w:w="2126" w:type="dxa"/>
          </w:tcPr>
          <w:p w14:paraId="772DE053" w14:textId="77777777" w:rsidR="00372A1B" w:rsidRDefault="00372A1B" w:rsidP="00B94D57">
            <w:pPr>
              <w:pStyle w:val="Odstavekseznama"/>
              <w:spacing w:after="0"/>
              <w:ind w:left="0"/>
              <w:jc w:val="center"/>
              <w:rPr>
                <w:rFonts w:cstheme="minorHAnsi"/>
                <w:color w:val="000000"/>
                <w:sz w:val="20"/>
                <w:szCs w:val="20"/>
                <w:shd w:val="clear" w:color="auto" w:fill="FFFFFF"/>
              </w:rPr>
            </w:pPr>
            <w:r w:rsidRPr="008B037E">
              <w:rPr>
                <w:rFonts w:cstheme="minorHAnsi"/>
                <w:color w:val="000000"/>
                <w:sz w:val="20"/>
                <w:szCs w:val="20"/>
                <w:shd w:val="clear" w:color="auto" w:fill="FFFFFF"/>
              </w:rPr>
              <w:t>206</w:t>
            </w:r>
            <w:r>
              <w:rPr>
                <w:rFonts w:cstheme="minorHAnsi"/>
                <w:color w:val="000000"/>
                <w:sz w:val="20"/>
                <w:szCs w:val="20"/>
                <w:shd w:val="clear" w:color="auto" w:fill="FFFFFF"/>
              </w:rPr>
              <w:t xml:space="preserve"> mio EUR,</w:t>
            </w:r>
          </w:p>
          <w:p w14:paraId="15935F97" w14:textId="77777777" w:rsidR="00EF427A" w:rsidRPr="00EF427A" w:rsidRDefault="00EF427A" w:rsidP="00A638F5">
            <w:pPr>
              <w:pStyle w:val="Odstavekseznama"/>
              <w:spacing w:after="0"/>
              <w:ind w:left="0"/>
              <w:rPr>
                <w:rFonts w:cstheme="minorHAnsi"/>
                <w:color w:val="000000"/>
                <w:sz w:val="20"/>
                <w:szCs w:val="20"/>
                <w:shd w:val="clear" w:color="auto" w:fill="FFFFFF"/>
              </w:rPr>
            </w:pPr>
            <w:r w:rsidRPr="00EF427A">
              <w:rPr>
                <w:rFonts w:cstheme="minorHAnsi"/>
                <w:color w:val="000000"/>
                <w:sz w:val="20"/>
                <w:szCs w:val="20"/>
                <w:shd w:val="clear" w:color="auto" w:fill="FFFFFF"/>
              </w:rPr>
              <w:t>1.</w:t>
            </w:r>
            <w:r w:rsidRPr="00EF427A">
              <w:rPr>
                <w:rFonts w:cstheme="minorHAnsi"/>
                <w:color w:val="000000"/>
                <w:sz w:val="20"/>
                <w:szCs w:val="20"/>
                <w:shd w:val="clear" w:color="auto" w:fill="FFFFFF"/>
              </w:rPr>
              <w:tab/>
              <w:t>150 mio EUR</w:t>
            </w:r>
          </w:p>
          <w:p w14:paraId="51C6EE1C" w14:textId="77783A16" w:rsidR="00EF427A" w:rsidRPr="00EF427A" w:rsidRDefault="00EF427A" w:rsidP="00A638F5">
            <w:pPr>
              <w:pStyle w:val="Odstavekseznama"/>
              <w:spacing w:after="0"/>
              <w:ind w:left="0"/>
              <w:rPr>
                <w:rFonts w:cstheme="minorHAnsi"/>
                <w:color w:val="000000"/>
                <w:sz w:val="20"/>
                <w:szCs w:val="20"/>
                <w:shd w:val="clear" w:color="auto" w:fill="FFFFFF"/>
              </w:rPr>
            </w:pPr>
            <w:r w:rsidRPr="00EF427A">
              <w:rPr>
                <w:rFonts w:cstheme="minorHAnsi"/>
                <w:color w:val="000000"/>
                <w:sz w:val="20"/>
                <w:szCs w:val="20"/>
                <w:shd w:val="clear" w:color="auto" w:fill="FFFFFF"/>
              </w:rPr>
              <w:t>2.</w:t>
            </w:r>
            <w:r w:rsidRPr="00EF427A">
              <w:rPr>
                <w:rFonts w:cstheme="minorHAnsi"/>
                <w:color w:val="000000"/>
                <w:sz w:val="20"/>
                <w:szCs w:val="20"/>
                <w:shd w:val="clear" w:color="auto" w:fill="FFFFFF"/>
              </w:rPr>
              <w:tab/>
              <w:t>50 mio EUR</w:t>
            </w:r>
          </w:p>
          <w:p w14:paraId="3603C498" w14:textId="5FDE59F1" w:rsidR="00372A1B" w:rsidRPr="008B037E" w:rsidRDefault="00EF427A" w:rsidP="00A638F5">
            <w:pPr>
              <w:pStyle w:val="Odstavekseznama"/>
              <w:spacing w:after="0"/>
              <w:ind w:left="0"/>
              <w:rPr>
                <w:rFonts w:cstheme="minorHAnsi"/>
                <w:color w:val="000000"/>
                <w:sz w:val="20"/>
                <w:szCs w:val="20"/>
                <w:shd w:val="clear" w:color="auto" w:fill="FFFFFF"/>
              </w:rPr>
            </w:pPr>
            <w:r w:rsidRPr="00EF427A">
              <w:rPr>
                <w:rFonts w:cstheme="minorHAnsi"/>
                <w:color w:val="000000"/>
                <w:sz w:val="20"/>
                <w:szCs w:val="20"/>
                <w:shd w:val="clear" w:color="auto" w:fill="FFFFFF"/>
              </w:rPr>
              <w:t>3.</w:t>
            </w:r>
            <w:r w:rsidRPr="00EF427A">
              <w:rPr>
                <w:rFonts w:cstheme="minorHAnsi"/>
                <w:color w:val="000000"/>
                <w:sz w:val="20"/>
                <w:szCs w:val="20"/>
                <w:shd w:val="clear" w:color="auto" w:fill="FFFFFF"/>
              </w:rPr>
              <w:tab/>
              <w:t>6 mio EUR</w:t>
            </w:r>
          </w:p>
        </w:tc>
        <w:tc>
          <w:tcPr>
            <w:tcW w:w="1631" w:type="dxa"/>
          </w:tcPr>
          <w:p w14:paraId="2C0214CB" w14:textId="77777777" w:rsidR="00372A1B" w:rsidRDefault="00372A1B" w:rsidP="00B94D57">
            <w:pPr>
              <w:pStyle w:val="Odstavekseznama"/>
              <w:spacing w:after="0"/>
              <w:ind w:left="0"/>
              <w:jc w:val="center"/>
              <w:rPr>
                <w:rFonts w:cstheme="minorHAnsi"/>
                <w:color w:val="000000"/>
                <w:sz w:val="20"/>
                <w:szCs w:val="20"/>
                <w:shd w:val="clear" w:color="auto" w:fill="FFFFFF"/>
              </w:rPr>
            </w:pPr>
            <w:r w:rsidRPr="008B037E">
              <w:rPr>
                <w:rFonts w:cstheme="minorHAnsi"/>
                <w:color w:val="000000"/>
                <w:sz w:val="20"/>
                <w:szCs w:val="20"/>
                <w:shd w:val="clear" w:color="auto" w:fill="FFFFFF"/>
              </w:rPr>
              <w:t>500</w:t>
            </w:r>
          </w:p>
          <w:p w14:paraId="09397D1D" w14:textId="77777777" w:rsidR="00EF427A" w:rsidRDefault="00EF427A" w:rsidP="00F25967">
            <w:pPr>
              <w:pStyle w:val="Odstavekseznama"/>
              <w:numPr>
                <w:ilvl w:val="0"/>
                <w:numId w:val="53"/>
              </w:numPr>
              <w:spacing w:after="0"/>
              <w:rPr>
                <w:rFonts w:cstheme="minorHAnsi"/>
                <w:color w:val="000000"/>
                <w:sz w:val="20"/>
                <w:szCs w:val="20"/>
                <w:shd w:val="clear" w:color="auto" w:fill="FFFFFF"/>
              </w:rPr>
            </w:pPr>
            <w:r>
              <w:rPr>
                <w:rFonts w:cstheme="minorHAnsi"/>
                <w:color w:val="000000"/>
                <w:sz w:val="20"/>
                <w:szCs w:val="20"/>
                <w:shd w:val="clear" w:color="auto" w:fill="FFFFFF"/>
              </w:rPr>
              <w:t>250 DM</w:t>
            </w:r>
          </w:p>
          <w:p w14:paraId="219B12E6" w14:textId="77777777" w:rsidR="00EF427A" w:rsidRDefault="00EF427A" w:rsidP="00F25967">
            <w:pPr>
              <w:pStyle w:val="Odstavekseznama"/>
              <w:numPr>
                <w:ilvl w:val="0"/>
                <w:numId w:val="53"/>
              </w:numPr>
              <w:spacing w:after="0"/>
              <w:rPr>
                <w:rFonts w:cstheme="minorHAnsi"/>
                <w:color w:val="000000"/>
                <w:sz w:val="20"/>
                <w:szCs w:val="20"/>
                <w:shd w:val="clear" w:color="auto" w:fill="FFFFFF"/>
              </w:rPr>
            </w:pPr>
            <w:r>
              <w:rPr>
                <w:rFonts w:cstheme="minorHAnsi"/>
                <w:color w:val="000000"/>
                <w:sz w:val="20"/>
                <w:szCs w:val="20"/>
                <w:shd w:val="clear" w:color="auto" w:fill="FFFFFF"/>
              </w:rPr>
              <w:t>200 DM</w:t>
            </w:r>
          </w:p>
          <w:p w14:paraId="4999B92F" w14:textId="2C4AD696" w:rsidR="00EF427A" w:rsidRPr="008B037E" w:rsidRDefault="00EF427A" w:rsidP="00F25967">
            <w:pPr>
              <w:pStyle w:val="Odstavekseznama"/>
              <w:numPr>
                <w:ilvl w:val="0"/>
                <w:numId w:val="53"/>
              </w:numPr>
              <w:spacing w:after="0"/>
              <w:rPr>
                <w:rFonts w:cstheme="minorHAnsi"/>
                <w:color w:val="000000"/>
                <w:sz w:val="20"/>
                <w:szCs w:val="20"/>
                <w:shd w:val="clear" w:color="auto" w:fill="FFFFFF"/>
              </w:rPr>
            </w:pPr>
            <w:r>
              <w:rPr>
                <w:rFonts w:cstheme="minorHAnsi"/>
                <w:color w:val="000000"/>
                <w:sz w:val="20"/>
                <w:szCs w:val="20"/>
                <w:shd w:val="clear" w:color="auto" w:fill="FFFFFF"/>
              </w:rPr>
              <w:t>50 DM</w:t>
            </w:r>
          </w:p>
        </w:tc>
      </w:tr>
      <w:tr w:rsidR="00372A1B" w:rsidRPr="000B0D63" w14:paraId="6887A716" w14:textId="77777777" w:rsidTr="00AE5CC9">
        <w:tc>
          <w:tcPr>
            <w:tcW w:w="2977" w:type="dxa"/>
          </w:tcPr>
          <w:p w14:paraId="0313CE46" w14:textId="77777777" w:rsidR="00372A1B" w:rsidRDefault="00372A1B" w:rsidP="00B94D57">
            <w:pPr>
              <w:pStyle w:val="Odstavekseznama"/>
              <w:numPr>
                <w:ilvl w:val="0"/>
                <w:numId w:val="44"/>
              </w:numPr>
              <w:spacing w:after="0"/>
              <w:rPr>
                <w:rFonts w:cstheme="minorHAnsi"/>
                <w:color w:val="000000"/>
                <w:sz w:val="20"/>
                <w:szCs w:val="20"/>
                <w:shd w:val="clear" w:color="auto" w:fill="FFFFFF"/>
              </w:rPr>
            </w:pPr>
            <w:r w:rsidRPr="008B037E">
              <w:rPr>
                <w:rFonts w:cstheme="minorHAnsi"/>
                <w:color w:val="000000"/>
                <w:sz w:val="20"/>
                <w:szCs w:val="20"/>
                <w:shd w:val="clear" w:color="auto" w:fill="FFFFFF"/>
              </w:rPr>
              <w:t>B</w:t>
            </w:r>
            <w:r>
              <w:rPr>
                <w:rFonts w:cstheme="minorHAnsi"/>
                <w:color w:val="000000"/>
                <w:sz w:val="20"/>
                <w:szCs w:val="20"/>
                <w:shd w:val="clear" w:color="auto" w:fill="FFFFFF"/>
              </w:rPr>
              <w:t>ioodpadki krožno gospodarstvo</w:t>
            </w:r>
          </w:p>
          <w:p w14:paraId="29DCFB85" w14:textId="77777777" w:rsidR="00372A1B" w:rsidRPr="0036372B" w:rsidRDefault="00372A1B" w:rsidP="00B94D57">
            <w:pPr>
              <w:pStyle w:val="Odstavekseznama"/>
              <w:numPr>
                <w:ilvl w:val="0"/>
                <w:numId w:val="44"/>
              </w:numPr>
              <w:spacing w:after="0"/>
              <w:rPr>
                <w:rFonts w:cstheme="minorHAnsi"/>
                <w:color w:val="000000"/>
                <w:sz w:val="20"/>
                <w:szCs w:val="20"/>
                <w:shd w:val="clear" w:color="auto" w:fill="FFFFFF"/>
              </w:rPr>
            </w:pPr>
            <w:r w:rsidRPr="008B037E">
              <w:rPr>
                <w:rFonts w:cstheme="minorHAnsi"/>
                <w:color w:val="000000"/>
                <w:sz w:val="20"/>
                <w:szCs w:val="20"/>
                <w:shd w:val="clear" w:color="auto" w:fill="FFFFFF"/>
              </w:rPr>
              <w:t>Tovarna EMS</w:t>
            </w:r>
            <w:r>
              <w:rPr>
                <w:rFonts w:cstheme="minorHAnsi"/>
                <w:color w:val="000000"/>
                <w:sz w:val="20"/>
                <w:szCs w:val="20"/>
                <w:shd w:val="clear" w:color="auto" w:fill="FFFFFF"/>
              </w:rPr>
              <w:t xml:space="preserve"> (Electronic Manufacturing Services)</w:t>
            </w:r>
          </w:p>
        </w:tc>
        <w:tc>
          <w:tcPr>
            <w:tcW w:w="2896" w:type="dxa"/>
          </w:tcPr>
          <w:p w14:paraId="1DA9D79E" w14:textId="5492EF2C" w:rsidR="00372A1B" w:rsidRPr="008B037E" w:rsidRDefault="00372A1B" w:rsidP="00B94D57">
            <w:pPr>
              <w:rPr>
                <w:rFonts w:cstheme="minorHAnsi"/>
                <w:color w:val="000000"/>
                <w:sz w:val="20"/>
                <w:szCs w:val="20"/>
                <w:shd w:val="clear" w:color="auto" w:fill="FFFFFF"/>
              </w:rPr>
            </w:pPr>
            <w:r w:rsidRPr="008B037E">
              <w:rPr>
                <w:rFonts w:cstheme="minorHAnsi"/>
                <w:color w:val="000000"/>
                <w:sz w:val="20"/>
                <w:szCs w:val="20"/>
                <w:shd w:val="clear" w:color="auto" w:fill="FFFFFF"/>
              </w:rPr>
              <w:t>Plastika Skaza d.o.o. Velenje</w:t>
            </w:r>
          </w:p>
        </w:tc>
        <w:tc>
          <w:tcPr>
            <w:tcW w:w="4687" w:type="dxa"/>
          </w:tcPr>
          <w:p w14:paraId="17C178A8" w14:textId="77777777" w:rsidR="00372A1B" w:rsidRPr="0036372B" w:rsidRDefault="00372A1B" w:rsidP="00B94D57">
            <w:pPr>
              <w:pStyle w:val="Odstavekseznama"/>
              <w:numPr>
                <w:ilvl w:val="0"/>
                <w:numId w:val="47"/>
              </w:numPr>
              <w:spacing w:after="0"/>
              <w:jc w:val="both"/>
              <w:rPr>
                <w:rFonts w:cstheme="minorHAnsi"/>
                <w:color w:val="000000"/>
                <w:sz w:val="20"/>
                <w:szCs w:val="20"/>
                <w:shd w:val="clear" w:color="auto" w:fill="FFFFFF"/>
              </w:rPr>
            </w:pPr>
            <w:r w:rsidRPr="0036372B">
              <w:rPr>
                <w:rFonts w:cstheme="minorHAnsi"/>
                <w:color w:val="000000"/>
                <w:sz w:val="20"/>
                <w:szCs w:val="20"/>
                <w:shd w:val="clear" w:color="auto" w:fill="FFFFFF"/>
              </w:rPr>
              <w:t>V okviru projekta se bo vzpostavilo partnerstvo z namenom zbiranja bioloških odpadkov (odpadna hrana), predelave le teh in uporabe v kmetijske namene. Ob procesu fermentacije se pridobiva tudi toplota, bioplin in fermentacijska tekočina.</w:t>
            </w:r>
          </w:p>
          <w:p w14:paraId="743E779B" w14:textId="77777777" w:rsidR="00372A1B" w:rsidRPr="0036372B" w:rsidRDefault="00372A1B" w:rsidP="00B94D57">
            <w:pPr>
              <w:pStyle w:val="Odstavekseznama"/>
              <w:numPr>
                <w:ilvl w:val="0"/>
                <w:numId w:val="47"/>
              </w:numPr>
              <w:spacing w:after="0"/>
              <w:jc w:val="both"/>
              <w:rPr>
                <w:rFonts w:cstheme="minorHAnsi"/>
                <w:color w:val="000000"/>
                <w:sz w:val="20"/>
                <w:szCs w:val="20"/>
                <w:shd w:val="clear" w:color="auto" w:fill="FFFFFF"/>
              </w:rPr>
            </w:pPr>
            <w:r w:rsidRPr="0036372B">
              <w:rPr>
                <w:rFonts w:cstheme="minorHAnsi"/>
                <w:color w:val="000000"/>
                <w:sz w:val="20"/>
                <w:szCs w:val="20"/>
                <w:shd w:val="clear" w:color="auto" w:fill="FFFFFF"/>
              </w:rPr>
              <w:t xml:space="preserve">Tovarna EMS bi podjetje Plastika Skaza uvrstilo na seznam EMS dobaviteljev za velike prodajne koncerne v elektro industriji, kjer bi poleg obstoječega brizganja plastičnih ohišij prevzeli tudi vgradnjo, sestavo in preverjanje ostalih vgradnih komponent elektronskih naprav. S tem bi se podjetje pozicioniralo kot </w:t>
            </w:r>
            <w:r w:rsidRPr="0036372B">
              <w:rPr>
                <w:rFonts w:cstheme="minorHAnsi"/>
                <w:color w:val="000000"/>
                <w:sz w:val="20"/>
                <w:szCs w:val="20"/>
                <w:shd w:val="clear" w:color="auto" w:fill="FFFFFF"/>
              </w:rPr>
              <w:lastRenderedPageBreak/>
              <w:t xml:space="preserve">zaključni člen dobavne/oskrbovalne verige elektronskih naprav. </w:t>
            </w:r>
          </w:p>
        </w:tc>
        <w:tc>
          <w:tcPr>
            <w:tcW w:w="2126" w:type="dxa"/>
          </w:tcPr>
          <w:p w14:paraId="1B7F6674" w14:textId="77777777" w:rsidR="00372A1B" w:rsidRDefault="00372A1B" w:rsidP="00B94D57">
            <w:pPr>
              <w:pStyle w:val="Odstavekseznama"/>
              <w:spacing w:after="0"/>
              <w:ind w:left="0"/>
              <w:jc w:val="center"/>
              <w:rPr>
                <w:rFonts w:cstheme="minorHAnsi"/>
                <w:color w:val="000000"/>
                <w:sz w:val="20"/>
                <w:szCs w:val="20"/>
                <w:shd w:val="clear" w:color="auto" w:fill="FFFFFF"/>
              </w:rPr>
            </w:pPr>
            <w:r>
              <w:rPr>
                <w:rFonts w:cstheme="minorHAnsi"/>
                <w:color w:val="000000"/>
                <w:sz w:val="20"/>
                <w:szCs w:val="20"/>
                <w:shd w:val="clear" w:color="auto" w:fill="FFFFFF"/>
              </w:rPr>
              <w:lastRenderedPageBreak/>
              <w:t>5,6 mio EUR</w:t>
            </w:r>
          </w:p>
          <w:p w14:paraId="018A2E69" w14:textId="77777777" w:rsidR="00372A1B" w:rsidRPr="00C04059" w:rsidRDefault="00372A1B" w:rsidP="00852520">
            <w:pPr>
              <w:pStyle w:val="Odstavekseznama"/>
              <w:numPr>
                <w:ilvl w:val="0"/>
                <w:numId w:val="46"/>
              </w:numPr>
              <w:spacing w:after="0"/>
              <w:jc w:val="both"/>
              <w:rPr>
                <w:rFonts w:cstheme="minorHAnsi"/>
                <w:color w:val="000000"/>
                <w:sz w:val="20"/>
                <w:szCs w:val="20"/>
                <w:shd w:val="clear" w:color="auto" w:fill="FFFFFF"/>
              </w:rPr>
            </w:pPr>
            <w:r w:rsidRPr="00C04059">
              <w:rPr>
                <w:rFonts w:cstheme="minorHAnsi"/>
                <w:sz w:val="20"/>
                <w:szCs w:val="20"/>
                <w:shd w:val="clear" w:color="auto" w:fill="FFFFFF"/>
              </w:rPr>
              <w:t>2,</w:t>
            </w:r>
            <w:r>
              <w:rPr>
                <w:rFonts w:cstheme="minorHAnsi"/>
                <w:sz w:val="20"/>
                <w:szCs w:val="20"/>
                <w:shd w:val="clear" w:color="auto" w:fill="FFFFFF"/>
              </w:rPr>
              <w:t>1</w:t>
            </w:r>
            <w:r w:rsidRPr="00C04059">
              <w:rPr>
                <w:rFonts w:cstheme="minorHAnsi"/>
                <w:sz w:val="20"/>
                <w:szCs w:val="20"/>
                <w:shd w:val="clear" w:color="auto" w:fill="FFFFFF"/>
              </w:rPr>
              <w:t xml:space="preserve"> mio EUR</w:t>
            </w:r>
          </w:p>
          <w:p w14:paraId="2D232373" w14:textId="77777777" w:rsidR="00372A1B" w:rsidRPr="00F478F5" w:rsidRDefault="00372A1B" w:rsidP="00852520">
            <w:pPr>
              <w:pStyle w:val="Odstavekseznama"/>
              <w:numPr>
                <w:ilvl w:val="0"/>
                <w:numId w:val="46"/>
              </w:numPr>
              <w:spacing w:after="0"/>
              <w:jc w:val="both"/>
              <w:rPr>
                <w:rFonts w:cstheme="minorHAnsi"/>
                <w:color w:val="000000"/>
                <w:sz w:val="20"/>
                <w:szCs w:val="20"/>
                <w:shd w:val="clear" w:color="auto" w:fill="FFFFFF"/>
              </w:rPr>
            </w:pPr>
            <w:r>
              <w:rPr>
                <w:rFonts w:cstheme="minorHAnsi"/>
                <w:sz w:val="20"/>
                <w:szCs w:val="20"/>
                <w:shd w:val="clear" w:color="auto" w:fill="FFFFFF"/>
              </w:rPr>
              <w:t>3,5 mio EUR</w:t>
            </w:r>
          </w:p>
        </w:tc>
        <w:tc>
          <w:tcPr>
            <w:tcW w:w="1631" w:type="dxa"/>
          </w:tcPr>
          <w:p w14:paraId="3813BA30" w14:textId="35FA029C" w:rsidR="00372A1B" w:rsidRPr="00AE5CC9" w:rsidRDefault="00372A1B" w:rsidP="00AE5CC9">
            <w:pPr>
              <w:pStyle w:val="Odstavekseznama"/>
              <w:spacing w:after="0"/>
              <w:ind w:left="0"/>
              <w:jc w:val="center"/>
              <w:rPr>
                <w:rFonts w:cstheme="minorHAnsi"/>
                <w:color w:val="000000"/>
                <w:sz w:val="20"/>
                <w:szCs w:val="20"/>
                <w:shd w:val="clear" w:color="auto" w:fill="FFFFFF"/>
              </w:rPr>
            </w:pPr>
            <w:r w:rsidRPr="00AE5CC9">
              <w:rPr>
                <w:rFonts w:cstheme="minorHAnsi"/>
                <w:color w:val="000000"/>
                <w:sz w:val="20"/>
                <w:szCs w:val="20"/>
                <w:shd w:val="clear" w:color="auto" w:fill="FFFFFF"/>
              </w:rPr>
              <w:t>15</w:t>
            </w:r>
            <w:r w:rsidR="00AE5CC9">
              <w:rPr>
                <w:rFonts w:cstheme="minorHAnsi"/>
                <w:color w:val="000000"/>
                <w:sz w:val="20"/>
                <w:szCs w:val="20"/>
                <w:shd w:val="clear" w:color="auto" w:fill="FFFFFF"/>
              </w:rPr>
              <w:t xml:space="preserve"> DM</w:t>
            </w:r>
          </w:p>
          <w:p w14:paraId="67DA8662" w14:textId="7DD3C9B3" w:rsidR="00372A1B" w:rsidRPr="00AE5CC9" w:rsidRDefault="00372A1B" w:rsidP="00AE5CC9">
            <w:pPr>
              <w:pStyle w:val="Odstavekseznama"/>
              <w:numPr>
                <w:ilvl w:val="0"/>
                <w:numId w:val="54"/>
              </w:numPr>
              <w:spacing w:after="0"/>
              <w:rPr>
                <w:rFonts w:cstheme="minorHAnsi"/>
                <w:sz w:val="20"/>
                <w:szCs w:val="20"/>
                <w:shd w:val="clear" w:color="auto" w:fill="FFFFFF"/>
              </w:rPr>
            </w:pPr>
            <w:r w:rsidRPr="00AE5CC9">
              <w:rPr>
                <w:rFonts w:cstheme="minorHAnsi"/>
                <w:color w:val="000000"/>
                <w:sz w:val="20"/>
                <w:szCs w:val="20"/>
                <w:shd w:val="clear" w:color="auto" w:fill="FFFFFF"/>
              </w:rPr>
              <w:t>5</w:t>
            </w:r>
            <w:r w:rsidR="00AE5CC9">
              <w:rPr>
                <w:rFonts w:cstheme="minorHAnsi"/>
                <w:color w:val="000000"/>
                <w:sz w:val="20"/>
                <w:szCs w:val="20"/>
                <w:shd w:val="clear" w:color="auto" w:fill="FFFFFF"/>
              </w:rPr>
              <w:t xml:space="preserve"> DM</w:t>
            </w:r>
          </w:p>
          <w:p w14:paraId="456255F0" w14:textId="5DA6CC20" w:rsidR="00372A1B" w:rsidRPr="00F478F5" w:rsidRDefault="00372A1B" w:rsidP="00AE5CC9">
            <w:pPr>
              <w:pStyle w:val="Odstavekseznama"/>
              <w:numPr>
                <w:ilvl w:val="0"/>
                <w:numId w:val="54"/>
              </w:numPr>
              <w:spacing w:after="0"/>
              <w:rPr>
                <w:rFonts w:cstheme="minorHAnsi"/>
                <w:color w:val="000000"/>
                <w:sz w:val="20"/>
                <w:szCs w:val="20"/>
                <w:shd w:val="clear" w:color="auto" w:fill="FFFFFF"/>
              </w:rPr>
            </w:pPr>
            <w:r w:rsidRPr="00AE5CC9">
              <w:rPr>
                <w:rFonts w:cstheme="minorHAnsi"/>
                <w:color w:val="000000"/>
                <w:sz w:val="20"/>
                <w:szCs w:val="20"/>
                <w:shd w:val="clear" w:color="auto" w:fill="FFFFFF"/>
              </w:rPr>
              <w:t>10</w:t>
            </w:r>
            <w:r w:rsidR="00AE5CC9">
              <w:rPr>
                <w:rFonts w:cstheme="minorHAnsi"/>
                <w:color w:val="000000"/>
                <w:sz w:val="20"/>
                <w:szCs w:val="20"/>
                <w:shd w:val="clear" w:color="auto" w:fill="FFFFFF"/>
              </w:rPr>
              <w:t xml:space="preserve"> DM</w:t>
            </w:r>
          </w:p>
        </w:tc>
      </w:tr>
      <w:tr w:rsidR="00372A1B" w:rsidRPr="000B0D63" w14:paraId="01868462" w14:textId="77777777" w:rsidTr="00AE5CC9">
        <w:tc>
          <w:tcPr>
            <w:tcW w:w="2977" w:type="dxa"/>
          </w:tcPr>
          <w:p w14:paraId="3721DB19" w14:textId="77777777" w:rsidR="00372A1B" w:rsidRPr="00AE5CC9" w:rsidRDefault="00372A1B" w:rsidP="00B94D57">
            <w:pPr>
              <w:pStyle w:val="Odstavekseznama"/>
              <w:spacing w:after="0"/>
              <w:ind w:left="0"/>
              <w:rPr>
                <w:rFonts w:cstheme="minorHAnsi"/>
                <w:color w:val="000000"/>
                <w:sz w:val="20"/>
                <w:szCs w:val="20"/>
                <w:shd w:val="clear" w:color="auto" w:fill="FFFFFF"/>
              </w:rPr>
            </w:pPr>
            <w:r w:rsidRPr="00AE5CC9">
              <w:rPr>
                <w:rFonts w:cstheme="minorHAnsi"/>
                <w:color w:val="000000"/>
                <w:sz w:val="20"/>
                <w:szCs w:val="20"/>
                <w:shd w:val="clear" w:color="auto" w:fill="FFFFFF"/>
              </w:rPr>
              <w:lastRenderedPageBreak/>
              <w:t>Lesno predelovalni center Velenje</w:t>
            </w:r>
          </w:p>
        </w:tc>
        <w:tc>
          <w:tcPr>
            <w:tcW w:w="2896" w:type="dxa"/>
          </w:tcPr>
          <w:p w14:paraId="28DF1B56" w14:textId="77777777" w:rsidR="00372A1B" w:rsidRPr="00AE5CC9" w:rsidRDefault="00372A1B" w:rsidP="00B94D57">
            <w:pPr>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PLP lesna industrija d.o.o.</w:t>
            </w:r>
          </w:p>
        </w:tc>
        <w:tc>
          <w:tcPr>
            <w:tcW w:w="4687" w:type="dxa"/>
          </w:tcPr>
          <w:p w14:paraId="12287023" w14:textId="77777777" w:rsidR="00372A1B" w:rsidRPr="00AE5CC9" w:rsidRDefault="00372A1B" w:rsidP="00B94D57">
            <w:pPr>
              <w:spacing w:line="276" w:lineRule="auto"/>
              <w:contextualSpacing/>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 xml:space="preserve">S projektom predvidevamo prestrukturiranje obstoječe dejavnosti, ki je danes pretežno vezana na Premogovnik Velenje, s programi višje stopnje predelave lesa in dodane vrednosti proizvodov. Predvidena je modernizacija žagarskega obrata z načeli industrije 4.0, vzpostavitev proizvodnega programa tehnično suhega lesa in uporaba lesne biomase, skladno z načeli krožnega gospodarstva in kaskadne rabe lesa. Predvidena je tudi uporaba viškov toplotne energije, ki nastajajo v procesu sušenja lesa. Predvideni posegi ob poviševanju snovnih izkoristkov, produktivnosti dela in novih delovnih mestih, prinašajo tudi humanizacijo le-teh. Z razvojem modernega lesno predelovalnega centra so s projektom predvideni pozitivni učinki v lokalni lesno predelovalni verigi (in širše) ter spodbujanju rabe edine trajnostne surovine, ki jo je v našem okolju dovolj.      </w:t>
            </w:r>
          </w:p>
        </w:tc>
        <w:tc>
          <w:tcPr>
            <w:tcW w:w="2126" w:type="dxa"/>
          </w:tcPr>
          <w:p w14:paraId="3462A38A" w14:textId="52B433BE" w:rsidR="00372A1B" w:rsidRPr="00AE5CC9" w:rsidRDefault="00372A1B" w:rsidP="00B94D57">
            <w:pPr>
              <w:pStyle w:val="Odstavekseznama"/>
              <w:spacing w:after="0"/>
              <w:ind w:left="0"/>
              <w:jc w:val="center"/>
              <w:rPr>
                <w:rFonts w:cstheme="minorHAnsi"/>
                <w:color w:val="000000"/>
                <w:sz w:val="20"/>
                <w:szCs w:val="20"/>
                <w:shd w:val="clear" w:color="auto" w:fill="FFFFFF"/>
              </w:rPr>
            </w:pPr>
            <w:r w:rsidRPr="00AE5CC9">
              <w:rPr>
                <w:rFonts w:cstheme="minorHAnsi"/>
                <w:color w:val="000000"/>
                <w:sz w:val="20"/>
                <w:szCs w:val="20"/>
                <w:shd w:val="clear" w:color="auto" w:fill="FFFFFF"/>
              </w:rPr>
              <w:t>8,5</w:t>
            </w:r>
            <w:r w:rsidR="00AE5CC9" w:rsidRPr="00AE5CC9">
              <w:rPr>
                <w:rFonts w:cstheme="minorHAnsi"/>
                <w:color w:val="000000"/>
                <w:sz w:val="20"/>
                <w:szCs w:val="20"/>
                <w:shd w:val="clear" w:color="auto" w:fill="FFFFFF"/>
              </w:rPr>
              <w:t xml:space="preserve"> mio EUR</w:t>
            </w:r>
          </w:p>
        </w:tc>
        <w:tc>
          <w:tcPr>
            <w:tcW w:w="1631" w:type="dxa"/>
          </w:tcPr>
          <w:p w14:paraId="4728C125" w14:textId="094AD047" w:rsidR="00372A1B" w:rsidRPr="008B037E" w:rsidRDefault="00372A1B" w:rsidP="00B94D57">
            <w:pPr>
              <w:pStyle w:val="Odstavekseznama"/>
              <w:spacing w:after="0"/>
              <w:ind w:left="0"/>
              <w:jc w:val="center"/>
              <w:rPr>
                <w:rFonts w:cstheme="minorHAnsi"/>
                <w:color w:val="000000"/>
                <w:sz w:val="20"/>
                <w:szCs w:val="20"/>
                <w:shd w:val="clear" w:color="auto" w:fill="FFFFFF"/>
              </w:rPr>
            </w:pPr>
            <w:r w:rsidRPr="008B037E">
              <w:rPr>
                <w:rFonts w:cstheme="minorHAnsi"/>
                <w:color w:val="000000"/>
                <w:sz w:val="20"/>
                <w:szCs w:val="20"/>
                <w:shd w:val="clear" w:color="auto" w:fill="FFFFFF"/>
              </w:rPr>
              <w:t>10</w:t>
            </w:r>
            <w:r w:rsidR="00AE5CC9">
              <w:rPr>
                <w:rFonts w:cstheme="minorHAnsi"/>
                <w:color w:val="000000"/>
                <w:sz w:val="20"/>
                <w:szCs w:val="20"/>
                <w:shd w:val="clear" w:color="auto" w:fill="FFFFFF"/>
              </w:rPr>
              <w:t xml:space="preserve"> DM</w:t>
            </w:r>
          </w:p>
        </w:tc>
      </w:tr>
      <w:tr w:rsidR="00372A1B" w:rsidRPr="000B0D63" w14:paraId="0EC2B53D" w14:textId="77777777" w:rsidTr="00AE5CC9">
        <w:tc>
          <w:tcPr>
            <w:tcW w:w="2977" w:type="dxa"/>
          </w:tcPr>
          <w:p w14:paraId="20915236" w14:textId="77777777" w:rsidR="00372A1B" w:rsidRPr="00AE5CC9" w:rsidRDefault="00372A1B" w:rsidP="00B94D57">
            <w:pPr>
              <w:pStyle w:val="Odstavekseznama"/>
              <w:spacing w:after="0"/>
              <w:ind w:left="0"/>
              <w:rPr>
                <w:rFonts w:cstheme="minorHAnsi"/>
                <w:color w:val="000000"/>
                <w:sz w:val="20"/>
                <w:szCs w:val="20"/>
                <w:shd w:val="clear" w:color="auto" w:fill="FFFFFF"/>
              </w:rPr>
            </w:pPr>
            <w:r w:rsidRPr="00AE5CC9">
              <w:rPr>
                <w:rFonts w:cstheme="minorHAnsi"/>
                <w:color w:val="000000"/>
                <w:sz w:val="20"/>
                <w:szCs w:val="20"/>
                <w:shd w:val="clear" w:color="auto" w:fill="FFFFFF"/>
              </w:rPr>
              <w:t>Vzpostavitev centra za recikliranje fotonapetostnih modulov na lokaciji industrijskega območja skupine Premogovnika Velenje</w:t>
            </w:r>
          </w:p>
        </w:tc>
        <w:tc>
          <w:tcPr>
            <w:tcW w:w="2896" w:type="dxa"/>
          </w:tcPr>
          <w:p w14:paraId="020B9459" w14:textId="77777777" w:rsidR="00372A1B" w:rsidRPr="00AE5CC9" w:rsidRDefault="00372A1B" w:rsidP="00B94D57">
            <w:pPr>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HTZ Velenje, I.P. d.o.o. (invalidsko podjetje)</w:t>
            </w:r>
          </w:p>
        </w:tc>
        <w:tc>
          <w:tcPr>
            <w:tcW w:w="4687" w:type="dxa"/>
          </w:tcPr>
          <w:p w14:paraId="1146D830" w14:textId="77777777" w:rsidR="00372A1B" w:rsidRPr="00AE5CC9" w:rsidRDefault="00372A1B" w:rsidP="00B94D57">
            <w:pPr>
              <w:spacing w:line="276" w:lineRule="auto"/>
              <w:contextualSpacing/>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 xml:space="preserve">S prehodom na OVE se pojavljajo tudi nove vrste odpadkov, katerih postopki predelave so še v razvoju. Namen projekta je razširitev dejavnosti v skupini HSE v smislu vzpostavitve krožnega gospodarstva s postavitvijo centra za reciklažo odsluženih fotonapetostnih – PV modulov. </w:t>
            </w:r>
          </w:p>
          <w:p w14:paraId="65E06DF6" w14:textId="77777777" w:rsidR="00372A1B" w:rsidRPr="00AE5CC9" w:rsidRDefault="00372A1B" w:rsidP="00B94D57">
            <w:pPr>
              <w:spacing w:line="276" w:lineRule="auto"/>
              <w:contextualSpacing/>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 xml:space="preserve">V prvi fazi predvidevamo recikliranje PV modulov za potrebe celotnega območja Republike Slovenije - RS, z možnostjo povečanja kapacitet za količine iz širšega območja JV Evrope. Cilj reciklaže je pridobivanje sekundarnih surovin - reciklatov, kot so silicij, steklo, </w:t>
            </w:r>
            <w:r w:rsidRPr="00AE5CC9">
              <w:rPr>
                <w:rFonts w:asciiTheme="minorHAnsi" w:hAnsiTheme="minorHAnsi" w:cstheme="minorHAnsi"/>
                <w:color w:val="000000"/>
                <w:sz w:val="20"/>
                <w:szCs w:val="20"/>
                <w:shd w:val="clear" w:color="auto" w:fill="FFFFFF"/>
              </w:rPr>
              <w:lastRenderedPageBreak/>
              <w:t xml:space="preserve">plastika, aluminij, ostale kovine z namenom ponovne uporabe v industriji. </w:t>
            </w:r>
          </w:p>
          <w:p w14:paraId="6DE75842" w14:textId="77777777" w:rsidR="00372A1B" w:rsidRPr="00AE5CC9" w:rsidRDefault="00372A1B" w:rsidP="00B94D57">
            <w:pPr>
              <w:spacing w:line="276" w:lineRule="auto"/>
              <w:contextualSpacing/>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Zakon o varovanju okolja – ZVO-2 predvideva na območju RS eno shemo za ravnanje z odsluženo električno in elektronsko opremo, kamor so uvrščeni tudi PV moduli. Za recikliranje je potrebno pridobiti Okoljevarstveno dovoljenje - OVD. Pri izbiri tehnologije predelave PV modulov bomo izbrali najboljše razpoložljive tehnike -BAT, ki so že na trgu, predvsem na Japonskem, kjer smo vzpostavili kontakt s partnerjem, s katerim imamo podpisano Pismo o zaupnosti.</w:t>
            </w:r>
          </w:p>
          <w:p w14:paraId="5F31D50F" w14:textId="77777777" w:rsidR="00372A1B" w:rsidRPr="00AE5CC9" w:rsidRDefault="00372A1B" w:rsidP="00B94D57">
            <w:pPr>
              <w:spacing w:line="276" w:lineRule="auto"/>
              <w:contextualSpacing/>
              <w:rPr>
                <w:rFonts w:asciiTheme="minorHAnsi" w:hAnsiTheme="minorHAnsi" w:cstheme="minorHAnsi"/>
                <w:color w:val="000000"/>
                <w:sz w:val="20"/>
                <w:szCs w:val="20"/>
                <w:shd w:val="clear" w:color="auto" w:fill="FFFFFF"/>
              </w:rPr>
            </w:pPr>
            <w:r w:rsidRPr="00AE5CC9">
              <w:rPr>
                <w:rFonts w:asciiTheme="minorHAnsi" w:hAnsiTheme="minorHAnsi" w:cstheme="minorHAnsi"/>
                <w:color w:val="000000"/>
                <w:sz w:val="20"/>
                <w:szCs w:val="20"/>
                <w:shd w:val="clear" w:color="auto" w:fill="FFFFFF"/>
              </w:rPr>
              <w:t>Cilj projekta je tudi ohranitev namembnosti industrijskega območja Premogovnika Velenje, kjer se nahaja tudi družba HTZ Velenje, kot invalidsko podjetje v 100 % lasti Premogovnika Velenje z uvajanjem novih dejavnost – prestrukturiranjem zaposlenih. Prezaposliti nameravamo visoko strokovno usposobljene delavce in delavce z omejitvami.</w:t>
            </w:r>
          </w:p>
        </w:tc>
        <w:tc>
          <w:tcPr>
            <w:tcW w:w="2126" w:type="dxa"/>
          </w:tcPr>
          <w:p w14:paraId="15C78EAC" w14:textId="6E2C72F4" w:rsidR="00372A1B" w:rsidRPr="00AE5CC9" w:rsidRDefault="00372A1B" w:rsidP="00B94D57">
            <w:pPr>
              <w:pStyle w:val="Odstavekseznama"/>
              <w:spacing w:after="0"/>
              <w:ind w:left="0"/>
              <w:jc w:val="center"/>
              <w:rPr>
                <w:rFonts w:cstheme="minorHAnsi"/>
                <w:color w:val="000000"/>
                <w:sz w:val="20"/>
                <w:szCs w:val="20"/>
                <w:shd w:val="clear" w:color="auto" w:fill="FFFFFF"/>
              </w:rPr>
            </w:pPr>
            <w:r w:rsidRPr="00AE5CC9">
              <w:rPr>
                <w:rFonts w:cstheme="minorHAnsi"/>
                <w:color w:val="000000"/>
                <w:sz w:val="20"/>
                <w:szCs w:val="20"/>
                <w:shd w:val="clear" w:color="auto" w:fill="FFFFFF"/>
              </w:rPr>
              <w:lastRenderedPageBreak/>
              <w:t>5,2</w:t>
            </w:r>
            <w:r w:rsidR="00AE5CC9" w:rsidRPr="00AE5CC9">
              <w:rPr>
                <w:rFonts w:cstheme="minorHAnsi"/>
                <w:color w:val="000000"/>
                <w:sz w:val="20"/>
                <w:szCs w:val="20"/>
                <w:shd w:val="clear" w:color="auto" w:fill="FFFFFF"/>
              </w:rPr>
              <w:t xml:space="preserve"> mio EUR</w:t>
            </w:r>
          </w:p>
        </w:tc>
        <w:tc>
          <w:tcPr>
            <w:tcW w:w="1631" w:type="dxa"/>
          </w:tcPr>
          <w:p w14:paraId="23B91761" w14:textId="6C435CB4" w:rsidR="00372A1B" w:rsidRPr="008B037E" w:rsidRDefault="00372A1B" w:rsidP="00B94D57">
            <w:pPr>
              <w:pStyle w:val="Odstavekseznama"/>
              <w:spacing w:after="0"/>
              <w:ind w:left="0"/>
              <w:jc w:val="center"/>
              <w:rPr>
                <w:rFonts w:cstheme="minorHAnsi"/>
                <w:color w:val="000000"/>
                <w:sz w:val="20"/>
                <w:szCs w:val="20"/>
                <w:shd w:val="clear" w:color="auto" w:fill="FFFFFF"/>
              </w:rPr>
            </w:pPr>
            <w:r w:rsidRPr="008B037E">
              <w:rPr>
                <w:rFonts w:cstheme="minorHAnsi"/>
                <w:color w:val="000000"/>
                <w:sz w:val="20"/>
                <w:szCs w:val="20"/>
                <w:shd w:val="clear" w:color="auto" w:fill="FFFFFF"/>
              </w:rPr>
              <w:t>15</w:t>
            </w:r>
            <w:r w:rsidR="00AE5CC9">
              <w:rPr>
                <w:rFonts w:cstheme="minorHAnsi"/>
                <w:color w:val="000000"/>
                <w:sz w:val="20"/>
                <w:szCs w:val="20"/>
                <w:shd w:val="clear" w:color="auto" w:fill="FFFFFF"/>
              </w:rPr>
              <w:t xml:space="preserve"> DM</w:t>
            </w:r>
          </w:p>
        </w:tc>
      </w:tr>
      <w:tr w:rsidR="00372A1B" w:rsidRPr="00D01CF1" w14:paraId="4C1B45F9" w14:textId="77777777" w:rsidTr="00AE5CC9">
        <w:tc>
          <w:tcPr>
            <w:tcW w:w="2977" w:type="dxa"/>
          </w:tcPr>
          <w:p w14:paraId="5EAFA632" w14:textId="77777777" w:rsidR="00372A1B" w:rsidRPr="00D01CF1" w:rsidRDefault="00372A1B" w:rsidP="00B94D57">
            <w:pPr>
              <w:spacing w:before="0" w:after="0" w:line="276" w:lineRule="auto"/>
              <w:contextualSpacing/>
              <w:jc w:val="left"/>
              <w:rPr>
                <w:rFonts w:asciiTheme="minorHAnsi" w:hAnsiTheme="minorHAnsi" w:cstheme="minorHAnsi"/>
                <w:sz w:val="20"/>
                <w:szCs w:val="20"/>
                <w:shd w:val="clear" w:color="auto" w:fill="FFFFFF"/>
              </w:rPr>
            </w:pPr>
            <w:r w:rsidRPr="00D01CF1">
              <w:rPr>
                <w:rFonts w:asciiTheme="minorHAnsi" w:hAnsiTheme="minorHAnsi" w:cstheme="minorHAnsi"/>
                <w:sz w:val="20"/>
                <w:szCs w:val="20"/>
                <w:shd w:val="clear" w:color="auto" w:fill="FFFFFF"/>
              </w:rPr>
              <w:lastRenderedPageBreak/>
              <w:t>Krožno gospodarstvo SPV – predelava plastike in proizvodnja alternativnih goriv</w:t>
            </w:r>
          </w:p>
        </w:tc>
        <w:tc>
          <w:tcPr>
            <w:tcW w:w="2896" w:type="dxa"/>
          </w:tcPr>
          <w:p w14:paraId="1387BF7B" w14:textId="77777777" w:rsidR="00372A1B" w:rsidRPr="00D01CF1" w:rsidRDefault="00372A1B" w:rsidP="00B94D57">
            <w:pPr>
              <w:spacing w:before="0" w:after="0"/>
              <w:jc w:val="left"/>
              <w:rPr>
                <w:rFonts w:asciiTheme="minorHAnsi" w:hAnsiTheme="minorHAnsi" w:cstheme="minorHAnsi"/>
                <w:sz w:val="20"/>
                <w:szCs w:val="20"/>
                <w:shd w:val="clear" w:color="auto" w:fill="FFFFFF"/>
              </w:rPr>
            </w:pPr>
            <w:r w:rsidRPr="00D01CF1">
              <w:rPr>
                <w:rFonts w:asciiTheme="minorHAnsi" w:hAnsiTheme="minorHAnsi" w:cstheme="minorHAnsi"/>
                <w:sz w:val="20"/>
                <w:szCs w:val="20"/>
                <w:shd w:val="clear" w:color="auto" w:fill="FFFFFF"/>
              </w:rPr>
              <w:t>Premogovnik Velenje, d.o.o.</w:t>
            </w:r>
          </w:p>
        </w:tc>
        <w:tc>
          <w:tcPr>
            <w:tcW w:w="4687" w:type="dxa"/>
          </w:tcPr>
          <w:p w14:paraId="59C99A10" w14:textId="77777777" w:rsidR="00372A1B" w:rsidRPr="00D01CF1" w:rsidRDefault="00372A1B" w:rsidP="00B94D57">
            <w:pPr>
              <w:spacing w:before="0" w:after="0" w:line="276" w:lineRule="auto"/>
              <w:contextualSpacing/>
              <w:rPr>
                <w:rFonts w:asciiTheme="minorHAnsi" w:hAnsiTheme="minorHAnsi" w:cstheme="minorHAnsi"/>
                <w:sz w:val="20"/>
                <w:szCs w:val="20"/>
                <w:shd w:val="clear" w:color="auto" w:fill="FFFFFF"/>
              </w:rPr>
            </w:pPr>
            <w:r w:rsidRPr="00D01CF1">
              <w:rPr>
                <w:rFonts w:asciiTheme="minorHAnsi" w:hAnsiTheme="minorHAnsi" w:cstheme="minorHAnsi"/>
                <w:sz w:val="20"/>
                <w:szCs w:val="20"/>
                <w:shd w:val="clear" w:color="auto" w:fill="FFFFFF"/>
              </w:rPr>
              <w:t>Projekt združuje primarno predelavo plastike in sekundarno proizvodnjo goriva iz ostankov proizvodnje in ostalih surovin.</w:t>
            </w:r>
          </w:p>
        </w:tc>
        <w:tc>
          <w:tcPr>
            <w:tcW w:w="2126" w:type="dxa"/>
          </w:tcPr>
          <w:p w14:paraId="2628437D" w14:textId="77777777" w:rsidR="00372A1B" w:rsidRPr="00D01CF1" w:rsidRDefault="00372A1B" w:rsidP="00B94D57">
            <w:pPr>
              <w:spacing w:before="0" w:after="0" w:line="276" w:lineRule="auto"/>
              <w:contextualSpacing/>
              <w:jc w:val="center"/>
              <w:rPr>
                <w:rFonts w:asciiTheme="minorHAnsi" w:hAnsiTheme="minorHAnsi" w:cstheme="minorHAnsi"/>
                <w:sz w:val="20"/>
                <w:szCs w:val="20"/>
                <w:shd w:val="clear" w:color="auto" w:fill="FFFFFF"/>
              </w:rPr>
            </w:pPr>
            <w:r w:rsidRPr="00D01CF1">
              <w:rPr>
                <w:rFonts w:asciiTheme="minorHAnsi" w:hAnsiTheme="minorHAnsi" w:cstheme="minorHAnsi"/>
                <w:sz w:val="20"/>
                <w:szCs w:val="20"/>
                <w:shd w:val="clear" w:color="auto" w:fill="FFFFFF"/>
              </w:rPr>
              <w:t>22 mio EUR</w:t>
            </w:r>
          </w:p>
        </w:tc>
        <w:tc>
          <w:tcPr>
            <w:tcW w:w="1631" w:type="dxa"/>
          </w:tcPr>
          <w:p w14:paraId="71B1C68F" w14:textId="77777777" w:rsidR="00372A1B" w:rsidRPr="00D01CF1" w:rsidRDefault="00372A1B" w:rsidP="00B94D57">
            <w:pPr>
              <w:spacing w:before="0" w:after="0" w:line="276" w:lineRule="auto"/>
              <w:contextualSpacing/>
              <w:jc w:val="center"/>
              <w:rPr>
                <w:rFonts w:asciiTheme="minorHAnsi" w:hAnsiTheme="minorHAnsi" w:cstheme="minorHAnsi"/>
                <w:sz w:val="20"/>
                <w:szCs w:val="20"/>
                <w:shd w:val="clear" w:color="auto" w:fill="FFFFFF"/>
              </w:rPr>
            </w:pPr>
            <w:r w:rsidRPr="00D01CF1">
              <w:rPr>
                <w:rFonts w:asciiTheme="minorHAnsi" w:hAnsiTheme="minorHAnsi" w:cstheme="minorHAnsi"/>
                <w:sz w:val="20"/>
                <w:szCs w:val="20"/>
                <w:shd w:val="clear" w:color="auto" w:fill="FFFFFF"/>
              </w:rPr>
              <w:t>163 DM</w:t>
            </w:r>
          </w:p>
        </w:tc>
      </w:tr>
    </w:tbl>
    <w:p w14:paraId="124FA97C" w14:textId="77777777" w:rsidR="00372A1B" w:rsidRDefault="00372A1B">
      <w:pPr>
        <w:spacing w:before="0" w:after="160" w:line="259" w:lineRule="auto"/>
        <w:jc w:val="left"/>
        <w:rPr>
          <w:rFonts w:cstheme="minorHAnsi"/>
        </w:rPr>
      </w:pPr>
      <w:r>
        <w:rPr>
          <w:rFonts w:cstheme="minorHAnsi"/>
        </w:rPr>
        <w:br w:type="page"/>
      </w:r>
    </w:p>
    <w:p w14:paraId="74EA77E0" w14:textId="77777777" w:rsidR="00473CDE" w:rsidRDefault="00473CDE">
      <w:pPr>
        <w:spacing w:before="0" w:after="160" w:line="259" w:lineRule="auto"/>
        <w:jc w:val="left"/>
        <w:rPr>
          <w:rFonts w:cstheme="minorHAnsi"/>
        </w:rPr>
        <w:sectPr w:rsidR="00473CDE" w:rsidSect="00F661E3">
          <w:pgSz w:w="16838" w:h="11906" w:orient="landscape" w:code="9"/>
          <w:pgMar w:top="1417" w:right="1417" w:bottom="1417" w:left="1417" w:header="708" w:footer="708" w:gutter="0"/>
          <w:cols w:space="708"/>
          <w:docGrid w:linePitch="360"/>
        </w:sectPr>
      </w:pPr>
    </w:p>
    <w:p w14:paraId="4C96DFFA" w14:textId="48AF2D40" w:rsidR="00D01CF1" w:rsidRDefault="00D01CF1">
      <w:pPr>
        <w:spacing w:before="0" w:after="160" w:line="259" w:lineRule="auto"/>
        <w:jc w:val="left"/>
        <w:rPr>
          <w:rFonts w:asciiTheme="minorHAnsi" w:hAnsiTheme="minorHAnsi" w:cstheme="minorHAnsi"/>
          <w:sz w:val="22"/>
        </w:rPr>
      </w:pPr>
    </w:p>
    <w:p w14:paraId="172F1894" w14:textId="05DF510D" w:rsidR="00323197" w:rsidRPr="008B037E" w:rsidRDefault="00323197" w:rsidP="00BB453B">
      <w:pPr>
        <w:pStyle w:val="Odstavekseznama"/>
        <w:spacing w:after="0"/>
        <w:rPr>
          <w:rFonts w:cstheme="minorHAnsi"/>
        </w:rPr>
      </w:pPr>
    </w:p>
    <w:p w14:paraId="4C930DC1" w14:textId="77777777" w:rsidR="00323197" w:rsidRPr="008B037E" w:rsidRDefault="00323197" w:rsidP="00323197">
      <w:pPr>
        <w:pStyle w:val="Odstavekseznama"/>
        <w:numPr>
          <w:ilvl w:val="0"/>
          <w:numId w:val="12"/>
        </w:numPr>
        <w:spacing w:after="0"/>
        <w:rPr>
          <w:rFonts w:cstheme="minorHAnsi"/>
        </w:rPr>
      </w:pPr>
      <w:r w:rsidRPr="008B037E">
        <w:rPr>
          <w:rFonts w:cstheme="minorHAnsi"/>
          <w:i/>
        </w:rPr>
        <w:t>Sklic: člen 11(2)(j)</w:t>
      </w:r>
    </w:p>
    <w:tbl>
      <w:tblPr>
        <w:tblStyle w:val="Tabelamrea"/>
        <w:tblW w:w="0" w:type="auto"/>
        <w:tblInd w:w="0" w:type="dxa"/>
        <w:tblLook w:val="04A0" w:firstRow="1" w:lastRow="0" w:firstColumn="1" w:lastColumn="0" w:noHBand="0" w:noVBand="1"/>
      </w:tblPr>
      <w:tblGrid>
        <w:gridCol w:w="9062"/>
      </w:tblGrid>
      <w:tr w:rsidR="00323197" w:rsidRPr="008B037E" w14:paraId="12CC243C" w14:textId="77777777" w:rsidTr="00013150">
        <w:tc>
          <w:tcPr>
            <w:tcW w:w="9062" w:type="dxa"/>
            <w:tcBorders>
              <w:top w:val="single" w:sz="4" w:space="0" w:color="auto"/>
              <w:left w:val="single" w:sz="4" w:space="0" w:color="auto"/>
              <w:bottom w:val="single" w:sz="4" w:space="0" w:color="auto"/>
              <w:right w:val="single" w:sz="4" w:space="0" w:color="auto"/>
            </w:tcBorders>
            <w:hideMark/>
          </w:tcPr>
          <w:p w14:paraId="408393DC" w14:textId="77777777" w:rsidR="00323197" w:rsidRPr="008B037E" w:rsidRDefault="00323197" w:rsidP="00013150">
            <w:pPr>
              <w:spacing w:before="0" w:after="0" w:line="276" w:lineRule="auto"/>
              <w:rPr>
                <w:rFonts w:asciiTheme="minorHAnsi" w:hAnsiTheme="minorHAnsi" w:cstheme="minorHAnsi"/>
                <w:i/>
                <w:sz w:val="22"/>
              </w:rPr>
            </w:pPr>
            <w:r w:rsidRPr="008B037E">
              <w:rPr>
                <w:rFonts w:asciiTheme="minorHAnsi" w:hAnsiTheme="minorHAnsi" w:cstheme="minorHAnsi"/>
                <w:i/>
                <w:sz w:val="22"/>
              </w:rPr>
              <w:t>– sinergije in dopolnjevanje predvidenih operacij z drugimi programi v okviru cilja „naložbe za delovna mesta in rast“ (ki podpirajo proces prehoda), drugimi finančnimi instrumenti (Sklad za modernizacijo sistema Unije za trgovanje z emisijami) in drugimi stebri mehanizma za pravičen prehod (posebna shema v okviru sklada InvestEU in instrumenta za posojila v javnem sektorju, vzpostavljenega v sodelovanju z EIB) za obravnavo opredeljenih potreb po naložbah.</w:t>
            </w:r>
          </w:p>
        </w:tc>
      </w:tr>
    </w:tbl>
    <w:p w14:paraId="5A7D2527" w14:textId="77777777" w:rsidR="00447545" w:rsidRPr="008B037E" w:rsidRDefault="00447545" w:rsidP="000D71A0">
      <w:pPr>
        <w:spacing w:after="0"/>
        <w:rPr>
          <w:rFonts w:eastAsia="Times New Roman" w:cstheme="minorHAnsi"/>
        </w:rPr>
      </w:pPr>
    </w:p>
    <w:p w14:paraId="7646CA7B" w14:textId="77777777" w:rsidR="00A14AD2" w:rsidRPr="008B037E" w:rsidRDefault="00A14AD2" w:rsidP="00A14AD2">
      <w:pPr>
        <w:shd w:val="clear" w:color="auto" w:fill="D9E2F3" w:themeFill="accent5" w:themeFillTint="33"/>
        <w:spacing w:before="0" w:after="0" w:line="276" w:lineRule="auto"/>
        <w:rPr>
          <w:rFonts w:asciiTheme="minorHAnsi" w:hAnsiTheme="minorHAnsi" w:cstheme="minorBidi"/>
          <w:b/>
          <w:i/>
          <w:sz w:val="22"/>
        </w:rPr>
      </w:pPr>
      <w:r w:rsidRPr="008B037E">
        <w:rPr>
          <w:rFonts w:asciiTheme="minorHAnsi" w:hAnsiTheme="minorHAnsi" w:cstheme="minorBidi"/>
          <w:b/>
          <w:i/>
          <w:sz w:val="22"/>
        </w:rPr>
        <w:t>Sinergije in dopolnjevanje</w:t>
      </w:r>
    </w:p>
    <w:p w14:paraId="14D2B517" w14:textId="51D9E370" w:rsidR="00A14AD2" w:rsidRPr="00554A75" w:rsidRDefault="00A4523F" w:rsidP="00A4523F">
      <w:pPr>
        <w:spacing w:before="0" w:after="0" w:line="276" w:lineRule="auto"/>
        <w:contextualSpacing/>
        <w:rPr>
          <w:rFonts w:asciiTheme="minorHAnsi" w:eastAsia="Times New Roman" w:hAnsiTheme="minorHAnsi" w:cstheme="minorHAnsi"/>
          <w:sz w:val="22"/>
        </w:rPr>
      </w:pPr>
      <w:r w:rsidRPr="00554A75">
        <w:rPr>
          <w:rFonts w:asciiTheme="minorHAnsi" w:eastAsia="Times New Roman" w:hAnsiTheme="minorHAnsi" w:cstheme="minorHAnsi"/>
          <w:sz w:val="22"/>
        </w:rPr>
        <w:t xml:space="preserve">Sredstva Sklada za pravični prehod bodo komplementarna tistim, ki so Sloveniji na voljo v okviru Načrta za okrevanje in odpornost ter za </w:t>
      </w:r>
      <w:r w:rsidR="00852520">
        <w:rPr>
          <w:rFonts w:asciiTheme="minorHAnsi" w:eastAsia="Times New Roman" w:hAnsiTheme="minorHAnsi" w:cstheme="minorHAnsi"/>
          <w:sz w:val="22"/>
        </w:rPr>
        <w:t>i</w:t>
      </w:r>
      <w:r w:rsidRPr="00554A75">
        <w:rPr>
          <w:rFonts w:asciiTheme="minorHAnsi" w:eastAsia="Times New Roman" w:hAnsiTheme="minorHAnsi" w:cstheme="minorHAnsi"/>
          <w:sz w:val="22"/>
        </w:rPr>
        <w:t xml:space="preserve">zvajanje cilja „naložbe za delovna mesta in rast“ </w:t>
      </w:r>
      <w:r w:rsidR="00852520">
        <w:rPr>
          <w:rFonts w:asciiTheme="minorHAnsi" w:eastAsia="Times New Roman" w:hAnsiTheme="minorHAnsi" w:cstheme="minorHAnsi"/>
          <w:sz w:val="22"/>
        </w:rPr>
        <w:t xml:space="preserve">v EKP 2021-2027 </w:t>
      </w:r>
      <w:r w:rsidRPr="00554A75">
        <w:rPr>
          <w:rFonts w:asciiTheme="minorHAnsi" w:eastAsia="Times New Roman" w:hAnsiTheme="minorHAnsi" w:cstheme="minorHAnsi"/>
          <w:sz w:val="22"/>
        </w:rPr>
        <w:t>in drugih razpoložljivih virov, pri naslednjih ukrepih:</w:t>
      </w:r>
    </w:p>
    <w:p w14:paraId="0391E8CD" w14:textId="1CD0E991" w:rsidR="00A14AD2" w:rsidRPr="00554A75" w:rsidRDefault="00A4523F" w:rsidP="00554A75">
      <w:pPr>
        <w:pStyle w:val="Odstavekseznama"/>
        <w:numPr>
          <w:ilvl w:val="0"/>
          <w:numId w:val="39"/>
        </w:numPr>
        <w:spacing w:after="0"/>
        <w:rPr>
          <w:rFonts w:eastAsia="Times New Roman" w:cstheme="minorHAnsi"/>
        </w:rPr>
      </w:pPr>
      <w:r w:rsidRPr="00554A75">
        <w:rPr>
          <w:rFonts w:eastAsia="Times New Roman" w:cstheme="minorHAnsi"/>
        </w:rPr>
        <w:t>Pravični energetski prehod</w:t>
      </w:r>
      <w:r w:rsidR="00554A75" w:rsidRPr="00554A75">
        <w:rPr>
          <w:rFonts w:eastAsia="Times New Roman" w:cstheme="minorHAnsi"/>
        </w:rPr>
        <w:t>:</w:t>
      </w:r>
    </w:p>
    <w:p w14:paraId="6B56B13C" w14:textId="4F492346" w:rsidR="00C604DD" w:rsidRDefault="00554A75" w:rsidP="00FF0318">
      <w:pPr>
        <w:pStyle w:val="Odstavekseznama"/>
        <w:numPr>
          <w:ilvl w:val="1"/>
          <w:numId w:val="39"/>
        </w:numPr>
        <w:spacing w:after="0"/>
        <w:jc w:val="both"/>
        <w:rPr>
          <w:rFonts w:eastAsia="Times New Roman" w:cstheme="minorHAnsi"/>
        </w:rPr>
      </w:pPr>
      <w:r w:rsidRPr="00FF0318">
        <w:rPr>
          <w:rFonts w:eastAsia="Times New Roman" w:cstheme="minorHAnsi"/>
          <w:b/>
        </w:rPr>
        <w:t>1.1. Preuredite</w:t>
      </w:r>
      <w:r w:rsidRPr="005F1ACE">
        <w:rPr>
          <w:rFonts w:eastAsia="Times New Roman" w:cstheme="minorHAnsi"/>
          <w:b/>
        </w:rPr>
        <w:t>v sistema daljinskega ogrevanja</w:t>
      </w:r>
      <w:r w:rsidRPr="005F1ACE">
        <w:rPr>
          <w:rFonts w:eastAsia="Times New Roman" w:cstheme="minorHAnsi"/>
        </w:rPr>
        <w:t xml:space="preserve"> z ukrepom Programa EKP 21-27: </w:t>
      </w:r>
      <w:r w:rsidR="006051E1" w:rsidRPr="005F1ACE">
        <w:rPr>
          <w:rFonts w:eastAsia="Times New Roman" w:cstheme="minorHAnsi"/>
        </w:rPr>
        <w:t>»S</w:t>
      </w:r>
      <w:r w:rsidR="00F62678" w:rsidRPr="005F1ACE">
        <w:rPr>
          <w:rFonts w:eastAsia="Times New Roman" w:cstheme="minorHAnsi"/>
        </w:rPr>
        <w:t>podbujanje novih daljinskih sistemov na</w:t>
      </w:r>
      <w:r w:rsidR="006051E1" w:rsidRPr="005F1ACE">
        <w:rPr>
          <w:rFonts w:eastAsia="Times New Roman" w:cstheme="minorHAnsi"/>
        </w:rPr>
        <w:t xml:space="preserve"> OVE (ogrevanje in hlajenje)«</w:t>
      </w:r>
      <w:r w:rsidR="005F1ACE" w:rsidRPr="005F1ACE">
        <w:rPr>
          <w:rFonts w:eastAsia="Times New Roman" w:cstheme="minorHAnsi"/>
        </w:rPr>
        <w:t>(</w:t>
      </w:r>
      <w:r w:rsidR="00FF0318">
        <w:rPr>
          <w:rFonts w:eastAsia="Times New Roman" w:cstheme="minorHAnsi"/>
        </w:rPr>
        <w:t>r</w:t>
      </w:r>
      <w:r w:rsidR="00284379" w:rsidRPr="005F1ACE">
        <w:rPr>
          <w:rFonts w:eastAsia="Times New Roman" w:cstheme="minorHAnsi"/>
        </w:rPr>
        <w:t>azmejitev</w:t>
      </w:r>
      <w:r w:rsidR="0000670C" w:rsidRPr="005F1ACE">
        <w:rPr>
          <w:rFonts w:eastAsia="Times New Roman" w:cstheme="minorHAnsi"/>
        </w:rPr>
        <w:t>:</w:t>
      </w:r>
      <w:r w:rsidR="00284379" w:rsidRPr="005F1ACE">
        <w:rPr>
          <w:rFonts w:eastAsia="Times New Roman" w:cstheme="minorHAnsi"/>
        </w:rPr>
        <w:t xml:space="preserve"> EKP 21-27: vzpostavitev novih sistemov</w:t>
      </w:r>
      <w:r w:rsidR="0000670C" w:rsidRPr="005F1ACE">
        <w:rPr>
          <w:rFonts w:eastAsia="Times New Roman" w:cstheme="minorHAnsi"/>
        </w:rPr>
        <w:t>, u</w:t>
      </w:r>
      <w:r w:rsidR="00753A48" w:rsidRPr="005F1ACE">
        <w:rPr>
          <w:rFonts w:eastAsia="Times New Roman" w:cstheme="minorHAnsi"/>
        </w:rPr>
        <w:t>krep SPP:</w:t>
      </w:r>
      <w:r w:rsidR="0000670C" w:rsidRPr="005F1ACE">
        <w:rPr>
          <w:rFonts w:eastAsia="Times New Roman" w:cstheme="minorHAnsi"/>
        </w:rPr>
        <w:t>celovita preobrazba obstoječega sistema daljinskega ogrevanja</w:t>
      </w:r>
      <w:r w:rsidR="005F1ACE">
        <w:rPr>
          <w:rFonts w:eastAsia="Times New Roman" w:cstheme="minorHAnsi"/>
        </w:rPr>
        <w:t>)</w:t>
      </w:r>
      <w:r w:rsidR="00284379" w:rsidRPr="005F1ACE">
        <w:rPr>
          <w:rFonts w:eastAsia="Times New Roman" w:cstheme="minorHAnsi"/>
        </w:rPr>
        <w:t xml:space="preserve"> </w:t>
      </w:r>
      <w:r w:rsidR="00FF0318">
        <w:rPr>
          <w:rFonts w:eastAsia="Times New Roman" w:cstheme="minorHAnsi"/>
        </w:rPr>
        <w:t>i</w:t>
      </w:r>
      <w:r w:rsidR="005F1ACE">
        <w:rPr>
          <w:rFonts w:eastAsia="Times New Roman" w:cstheme="minorHAnsi"/>
        </w:rPr>
        <w:t xml:space="preserve">n </w:t>
      </w:r>
      <w:r w:rsidR="00FF0318">
        <w:rPr>
          <w:rFonts w:eastAsia="Times New Roman" w:cstheme="minorHAnsi"/>
        </w:rPr>
        <w:t xml:space="preserve">ukrepom </w:t>
      </w:r>
      <w:r w:rsidR="00C96DA3" w:rsidRPr="005F1ACE">
        <w:rPr>
          <w:rFonts w:eastAsia="Times New Roman" w:cstheme="minorHAnsi"/>
        </w:rPr>
        <w:t>NOO</w:t>
      </w:r>
      <w:r w:rsidR="00F62678" w:rsidRPr="005F1ACE">
        <w:rPr>
          <w:rFonts w:eastAsia="Times New Roman" w:cstheme="minorHAnsi"/>
        </w:rPr>
        <w:t xml:space="preserve"> »Spodbujanje prestrukturiranja daljinskih sistemov na OVE,ki vključuj</w:t>
      </w:r>
      <w:r w:rsidR="00C604DD" w:rsidRPr="005F1ACE">
        <w:rPr>
          <w:rFonts w:eastAsia="Times New Roman" w:cstheme="minorHAnsi"/>
        </w:rPr>
        <w:t>ejo uporabo novih tehnologij«</w:t>
      </w:r>
      <w:r w:rsidR="005F1ACE">
        <w:rPr>
          <w:rFonts w:eastAsia="Times New Roman" w:cstheme="minorHAnsi"/>
        </w:rPr>
        <w:t xml:space="preserve"> (r</w:t>
      </w:r>
      <w:r w:rsidR="00284379" w:rsidRPr="005F1ACE">
        <w:rPr>
          <w:rFonts w:eastAsia="Times New Roman" w:cstheme="minorHAnsi"/>
        </w:rPr>
        <w:t xml:space="preserve">azmejitev: </w:t>
      </w:r>
      <w:r w:rsidR="00FF0318">
        <w:rPr>
          <w:rFonts w:eastAsia="Times New Roman" w:cstheme="minorHAnsi"/>
        </w:rPr>
        <w:t xml:space="preserve">NOO: </w:t>
      </w:r>
      <w:r w:rsidR="006D615D" w:rsidRPr="005F1ACE">
        <w:rPr>
          <w:rFonts w:eastAsia="Times New Roman" w:cstheme="minorHAnsi"/>
        </w:rPr>
        <w:t>prenova</w:t>
      </w:r>
      <w:r w:rsidR="00284379" w:rsidRPr="005F1ACE">
        <w:rPr>
          <w:rFonts w:eastAsia="Times New Roman" w:cstheme="minorHAnsi"/>
        </w:rPr>
        <w:t xml:space="preserve"> in širit</w:t>
      </w:r>
      <w:r w:rsidR="006D615D" w:rsidRPr="005F1ACE">
        <w:rPr>
          <w:rFonts w:eastAsia="Times New Roman" w:cstheme="minorHAnsi"/>
        </w:rPr>
        <w:t>ev</w:t>
      </w:r>
      <w:r w:rsidR="00284379" w:rsidRPr="005F1ACE">
        <w:rPr>
          <w:rFonts w:eastAsia="Times New Roman" w:cstheme="minorHAnsi"/>
        </w:rPr>
        <w:t xml:space="preserve"> </w:t>
      </w:r>
      <w:r w:rsidR="00FF0318">
        <w:rPr>
          <w:rFonts w:eastAsia="Times New Roman" w:cstheme="minorHAnsi"/>
        </w:rPr>
        <w:t xml:space="preserve">treh </w:t>
      </w:r>
      <w:r w:rsidR="00284379" w:rsidRPr="005F1ACE">
        <w:rPr>
          <w:rFonts w:eastAsia="Times New Roman" w:cstheme="minorHAnsi"/>
        </w:rPr>
        <w:t>obstoječih s</w:t>
      </w:r>
      <w:r w:rsidR="00FF0318">
        <w:rPr>
          <w:rFonts w:eastAsia="Times New Roman" w:cstheme="minorHAnsi"/>
        </w:rPr>
        <w:t>i</w:t>
      </w:r>
      <w:r w:rsidR="00284379" w:rsidRPr="005F1ACE">
        <w:rPr>
          <w:rFonts w:eastAsia="Times New Roman" w:cstheme="minorHAnsi"/>
        </w:rPr>
        <w:t xml:space="preserve">temov daljinskega ogrevanja </w:t>
      </w:r>
      <w:r w:rsidR="00FF0318">
        <w:rPr>
          <w:rFonts w:eastAsia="Times New Roman" w:cstheme="minorHAnsi"/>
        </w:rPr>
        <w:t>v skupni vrednosti 37 mio EUR)</w:t>
      </w:r>
      <w:r w:rsidR="0078637C">
        <w:rPr>
          <w:rFonts w:eastAsia="Times New Roman" w:cstheme="minorHAnsi"/>
        </w:rPr>
        <w:t>.</w:t>
      </w:r>
    </w:p>
    <w:p w14:paraId="6023E662" w14:textId="2F5117AB" w:rsidR="00554A75" w:rsidRPr="00FF0318" w:rsidRDefault="00554A75" w:rsidP="00FF0318">
      <w:pPr>
        <w:pStyle w:val="Odstavekseznama"/>
        <w:numPr>
          <w:ilvl w:val="1"/>
          <w:numId w:val="39"/>
        </w:numPr>
        <w:spacing w:after="0"/>
        <w:jc w:val="both"/>
        <w:rPr>
          <w:rFonts w:eastAsia="Times New Roman" w:cstheme="minorHAnsi"/>
        </w:rPr>
      </w:pPr>
      <w:r w:rsidRPr="00FF0318">
        <w:rPr>
          <w:rFonts w:eastAsia="Times New Roman" w:cstheme="minorHAnsi"/>
          <w:b/>
        </w:rPr>
        <w:t>1.2. Ukrepi za izboljšanje energetske učinkovitosti v gospodarstvu</w:t>
      </w:r>
      <w:r w:rsidRPr="00FF0318">
        <w:rPr>
          <w:rFonts w:eastAsia="Times New Roman" w:cstheme="minorHAnsi"/>
        </w:rPr>
        <w:t xml:space="preserve"> bodo podprti v okviru podpore produktivnim naložbam (Strateški cilj 4), v kombinacijami z aktivnostmi za razogljičenje, snovno učinkovitost, ustvarjanje delovnih mest ipd.</w:t>
      </w:r>
    </w:p>
    <w:p w14:paraId="3C4BD3AA" w14:textId="15F06B0E" w:rsidR="0078637C" w:rsidRDefault="00554A75" w:rsidP="0078637C">
      <w:pPr>
        <w:pStyle w:val="Odstavekseznama"/>
        <w:numPr>
          <w:ilvl w:val="1"/>
          <w:numId w:val="39"/>
        </w:numPr>
        <w:spacing w:after="0"/>
        <w:jc w:val="both"/>
        <w:rPr>
          <w:rFonts w:eastAsia="Times New Roman" w:cstheme="minorHAnsi"/>
        </w:rPr>
      </w:pPr>
      <w:r w:rsidRPr="0078637C">
        <w:rPr>
          <w:rFonts w:eastAsia="Times New Roman" w:cstheme="minorHAnsi"/>
          <w:b/>
        </w:rPr>
        <w:t>1.3.1</w:t>
      </w:r>
      <w:r w:rsidRPr="00FF0318">
        <w:rPr>
          <w:rFonts w:eastAsia="Times New Roman" w:cstheme="minorHAnsi"/>
          <w:b/>
        </w:rPr>
        <w:tab/>
        <w:t>Dvig proizvodnih zmogljivosti za zanesljivo proizvodnjo električne energije iz OVE</w:t>
      </w:r>
      <w:r w:rsidRPr="00554A75">
        <w:t xml:space="preserve"> </w:t>
      </w:r>
      <w:r w:rsidR="004B5B8E">
        <w:t xml:space="preserve">zlasti na območju TEŠ in na degradiranih območjih </w:t>
      </w:r>
      <w:r w:rsidRPr="00FF0318">
        <w:rPr>
          <w:rFonts w:eastAsia="Times New Roman" w:cstheme="minorHAnsi"/>
        </w:rPr>
        <w:t>z ukrepom Programa EKP 21-27:</w:t>
      </w:r>
      <w:r w:rsidR="00F3650C" w:rsidRPr="00FF0318">
        <w:rPr>
          <w:rFonts w:eastAsia="Times New Roman" w:cstheme="minorHAnsi"/>
        </w:rPr>
        <w:t xml:space="preserve"> </w:t>
      </w:r>
      <w:r w:rsidRPr="00FF0318">
        <w:rPr>
          <w:rFonts w:eastAsia="Times New Roman" w:cstheme="minorHAnsi"/>
        </w:rPr>
        <w:t>»</w:t>
      </w:r>
      <w:r w:rsidR="00C637D6" w:rsidRPr="0078637C">
        <w:rPr>
          <w:rFonts w:eastAsia="Times New Roman" w:cstheme="minorHAnsi"/>
        </w:rPr>
        <w:t>Proizvodnja električne energije v sončnih elektrarnah</w:t>
      </w:r>
      <w:r w:rsidR="00BC5C45" w:rsidRPr="0078637C">
        <w:rPr>
          <w:rFonts w:eastAsia="Times New Roman" w:cstheme="minorHAnsi"/>
        </w:rPr>
        <w:t>«</w:t>
      </w:r>
      <w:r w:rsidR="00FF0318" w:rsidRPr="0078637C">
        <w:rPr>
          <w:rFonts w:eastAsia="Times New Roman" w:cstheme="minorHAnsi"/>
        </w:rPr>
        <w:t xml:space="preserve"> </w:t>
      </w:r>
      <w:r w:rsidR="00FF0318" w:rsidRPr="00FF0318">
        <w:rPr>
          <w:rFonts w:eastAsia="Times New Roman" w:cstheme="minorHAnsi"/>
        </w:rPr>
        <w:t>(r</w:t>
      </w:r>
      <w:r w:rsidR="00C637D6" w:rsidRPr="00FF0318">
        <w:rPr>
          <w:rFonts w:eastAsia="Times New Roman" w:cstheme="minorHAnsi"/>
        </w:rPr>
        <w:t>azmejitev: SPP: prostorsko in okoljsko degradirana območja zaradi premogovništva</w:t>
      </w:r>
      <w:r w:rsidR="00FF0318" w:rsidRPr="00FF0318">
        <w:rPr>
          <w:rFonts w:eastAsia="Times New Roman" w:cstheme="minorHAnsi"/>
        </w:rPr>
        <w:t>)</w:t>
      </w:r>
      <w:r w:rsidR="00C637D6" w:rsidRPr="00FF0318">
        <w:rPr>
          <w:rFonts w:eastAsia="Times New Roman" w:cstheme="minorHAnsi"/>
        </w:rPr>
        <w:t xml:space="preserve"> in </w:t>
      </w:r>
      <w:r w:rsidR="0078637C">
        <w:rPr>
          <w:rFonts w:eastAsia="Times New Roman" w:cstheme="minorHAnsi"/>
        </w:rPr>
        <w:t xml:space="preserve">ukrepom </w:t>
      </w:r>
      <w:r w:rsidR="00C637D6" w:rsidRPr="00FF0318">
        <w:rPr>
          <w:rFonts w:eastAsia="Times New Roman" w:cstheme="minorHAnsi"/>
        </w:rPr>
        <w:t>NOO: »nove zmogljivosti za proizvodnjo električne energije iz OVE (razmejitev</w:t>
      </w:r>
      <w:r w:rsidRPr="00FF0318">
        <w:rPr>
          <w:rFonts w:eastAsia="Times New Roman" w:cstheme="minorHAnsi"/>
        </w:rPr>
        <w:t>:</w:t>
      </w:r>
      <w:r w:rsidR="00C637D6" w:rsidRPr="0078637C">
        <w:rPr>
          <w:rFonts w:eastAsia="Times New Roman" w:cstheme="minorHAnsi"/>
        </w:rPr>
        <w:t xml:space="preserve"> NOO geotermalna tehnologija in hidroelektrarne ter sončna tehnologija za javne stavbe) ter sredstva programa Obzorje Evropa (npr. Teaming)</w:t>
      </w:r>
      <w:r w:rsidR="0078637C">
        <w:rPr>
          <w:rFonts w:eastAsia="Times New Roman" w:cstheme="minorHAnsi"/>
        </w:rPr>
        <w:t>.</w:t>
      </w:r>
    </w:p>
    <w:p w14:paraId="7A219E87" w14:textId="56CB2D33" w:rsidR="00554A75" w:rsidRPr="00F62678" w:rsidRDefault="00554A75" w:rsidP="0078637C">
      <w:pPr>
        <w:pStyle w:val="Odstavekseznama"/>
        <w:numPr>
          <w:ilvl w:val="1"/>
          <w:numId w:val="39"/>
        </w:numPr>
        <w:spacing w:after="0"/>
        <w:jc w:val="both"/>
        <w:rPr>
          <w:rFonts w:eastAsia="Times New Roman" w:cstheme="minorHAnsi"/>
        </w:rPr>
      </w:pPr>
      <w:r w:rsidRPr="00F62678">
        <w:rPr>
          <w:rFonts w:eastAsia="Times New Roman" w:cstheme="minorHAnsi"/>
          <w:b/>
        </w:rPr>
        <w:t>1.3.2</w:t>
      </w:r>
      <w:r w:rsidRPr="00F62678">
        <w:rPr>
          <w:rFonts w:eastAsia="Times New Roman" w:cstheme="minorHAnsi"/>
        </w:rPr>
        <w:tab/>
        <w:t xml:space="preserve">Za podporo </w:t>
      </w:r>
      <w:r w:rsidRPr="00F62678">
        <w:rPr>
          <w:rFonts w:eastAsia="Times New Roman" w:cstheme="minorHAnsi"/>
          <w:b/>
        </w:rPr>
        <w:t>Digitalizaciji in vzpostavitev pametne energetske infrastrukture</w:t>
      </w:r>
      <w:r w:rsidRPr="00F62678">
        <w:rPr>
          <w:rFonts w:eastAsia="Times New Roman" w:cstheme="minorHAnsi"/>
        </w:rPr>
        <w:t xml:space="preserve">, se ne namenja sredstev SPP, pač pa drugih skladov Programa EKP 21-27 in drugih virov; </w:t>
      </w:r>
      <w:r w:rsidR="00A33AC9" w:rsidRPr="00A33AC9">
        <w:rPr>
          <w:rFonts w:eastAsia="Times New Roman" w:cstheme="minorHAnsi"/>
        </w:rPr>
        <w:t xml:space="preserve">ni predvidenih sredstev SPP, rezultate se bo dosegalo izključno s prispevkom iz operacij, podprtih  </w:t>
      </w:r>
      <w:r w:rsidR="0078637C">
        <w:rPr>
          <w:rFonts w:eastAsia="Times New Roman" w:cstheme="minorHAnsi"/>
        </w:rPr>
        <w:t>iz drugih skladov</w:t>
      </w:r>
      <w:r w:rsidR="00A33AC9" w:rsidRPr="00A33AC9">
        <w:rPr>
          <w:rFonts w:eastAsia="Times New Roman" w:cstheme="minorHAnsi"/>
        </w:rPr>
        <w:t xml:space="preserve"> Programa EKP 21-27</w:t>
      </w:r>
      <w:r w:rsidR="00A33AC9">
        <w:rPr>
          <w:rFonts w:eastAsia="Times New Roman" w:cstheme="minorHAnsi"/>
        </w:rPr>
        <w:t xml:space="preserve"> iz </w:t>
      </w:r>
      <w:r w:rsidR="00181D51">
        <w:rPr>
          <w:rFonts w:eastAsia="Times New Roman" w:cstheme="minorHAnsi"/>
        </w:rPr>
        <w:t>d</w:t>
      </w:r>
      <w:r w:rsidR="00A33AC9">
        <w:rPr>
          <w:rFonts w:eastAsia="Times New Roman" w:cstheme="minorHAnsi"/>
        </w:rPr>
        <w:t>rugih virov.</w:t>
      </w:r>
    </w:p>
    <w:p w14:paraId="5B8B13FE" w14:textId="124A6AC2" w:rsidR="00F72427" w:rsidRPr="00AE5CC9" w:rsidRDefault="00554A75" w:rsidP="00852520">
      <w:pPr>
        <w:pStyle w:val="Odstavekseznama"/>
        <w:numPr>
          <w:ilvl w:val="1"/>
          <w:numId w:val="39"/>
        </w:numPr>
        <w:spacing w:after="120"/>
        <w:ind w:left="1434" w:hanging="357"/>
        <w:contextualSpacing w:val="0"/>
        <w:jc w:val="both"/>
        <w:rPr>
          <w:rFonts w:eastAsia="Times New Roman" w:cstheme="minorHAnsi"/>
        </w:rPr>
      </w:pPr>
      <w:r w:rsidRPr="008732B4">
        <w:rPr>
          <w:rFonts w:eastAsia="Times New Roman" w:cstheme="minorHAnsi"/>
          <w:b/>
        </w:rPr>
        <w:t>1.</w:t>
      </w:r>
      <w:r w:rsidR="0078637C" w:rsidRPr="008732B4">
        <w:rPr>
          <w:rFonts w:eastAsia="Times New Roman" w:cstheme="minorHAnsi"/>
          <w:b/>
        </w:rPr>
        <w:t>3.3 Proizvodnja</w:t>
      </w:r>
      <w:r w:rsidRPr="008732B4">
        <w:rPr>
          <w:rFonts w:eastAsia="Times New Roman" w:cstheme="minorHAnsi"/>
          <w:b/>
        </w:rPr>
        <w:t xml:space="preserve"> energije iz OVE</w:t>
      </w:r>
      <w:r w:rsidR="00F62678" w:rsidRPr="008732B4">
        <w:rPr>
          <w:rFonts w:eastAsia="Times New Roman" w:cstheme="minorHAnsi"/>
          <w:b/>
        </w:rPr>
        <w:t xml:space="preserve"> (vključno z naprednimi biogo</w:t>
      </w:r>
      <w:r w:rsidR="008474B3" w:rsidRPr="008732B4">
        <w:rPr>
          <w:rFonts w:eastAsia="Times New Roman" w:cstheme="minorHAnsi"/>
          <w:b/>
        </w:rPr>
        <w:t>riv</w:t>
      </w:r>
      <w:r w:rsidR="00E728CF" w:rsidRPr="008732B4">
        <w:rPr>
          <w:rFonts w:eastAsia="Times New Roman" w:cstheme="minorHAnsi"/>
          <w:b/>
        </w:rPr>
        <w:t>i</w:t>
      </w:r>
      <w:r w:rsidR="004664FD" w:rsidRPr="008732B4">
        <w:rPr>
          <w:rFonts w:eastAsia="Times New Roman" w:cstheme="minorHAnsi"/>
          <w:b/>
        </w:rPr>
        <w:t xml:space="preserve"> po predhodni preučitvi drugih OVE</w:t>
      </w:r>
      <w:r w:rsidR="00F62678" w:rsidRPr="008732B4">
        <w:rPr>
          <w:rFonts w:eastAsia="Times New Roman" w:cstheme="minorHAnsi"/>
          <w:b/>
        </w:rPr>
        <w:t>)</w:t>
      </w:r>
      <w:r w:rsidR="004664FD" w:rsidRPr="008732B4">
        <w:rPr>
          <w:rFonts w:eastAsia="Times New Roman" w:cstheme="minorHAnsi"/>
        </w:rPr>
        <w:t>, zlasti</w:t>
      </w:r>
      <w:r w:rsidR="008474B3" w:rsidRPr="008732B4">
        <w:rPr>
          <w:rFonts w:eastAsia="Times New Roman" w:cstheme="minorHAnsi"/>
        </w:rPr>
        <w:t xml:space="preserve"> na lokaciji TEŠ</w:t>
      </w:r>
      <w:r w:rsidR="004664FD" w:rsidRPr="008732B4">
        <w:rPr>
          <w:rFonts w:eastAsia="Times New Roman" w:cstheme="minorHAnsi"/>
        </w:rPr>
        <w:t>,</w:t>
      </w:r>
      <w:r w:rsidR="008474B3" w:rsidRPr="008732B4">
        <w:rPr>
          <w:rFonts w:eastAsia="Times New Roman" w:cstheme="minorHAnsi"/>
        </w:rPr>
        <w:t xml:space="preserve"> za proizvodnjo vodika, sintetičnega metana in uplinjanje odpadne biomase</w:t>
      </w:r>
      <w:r w:rsidR="008732B4">
        <w:rPr>
          <w:rFonts w:eastAsia="Times New Roman" w:cstheme="minorHAnsi"/>
        </w:rPr>
        <w:t xml:space="preserve"> z</w:t>
      </w:r>
      <w:r w:rsidR="0078637C" w:rsidRPr="008732B4">
        <w:rPr>
          <w:rFonts w:eastAsia="Times New Roman" w:cstheme="minorHAnsi"/>
        </w:rPr>
        <w:t xml:space="preserve"> u</w:t>
      </w:r>
      <w:r w:rsidR="00C96DA3" w:rsidRPr="008732B4">
        <w:rPr>
          <w:rFonts w:eastAsia="Times New Roman" w:cstheme="minorHAnsi"/>
        </w:rPr>
        <w:t>krep</w:t>
      </w:r>
      <w:r w:rsidR="0078637C" w:rsidRPr="008732B4">
        <w:rPr>
          <w:rFonts w:eastAsia="Times New Roman" w:cstheme="minorHAnsi"/>
        </w:rPr>
        <w:t>om Programa</w:t>
      </w:r>
      <w:r w:rsidR="00E728CF" w:rsidRPr="008732B4">
        <w:rPr>
          <w:rFonts w:eastAsia="Times New Roman" w:cstheme="minorHAnsi"/>
        </w:rPr>
        <w:t xml:space="preserve"> EKP</w:t>
      </w:r>
      <w:r w:rsidR="0078637C" w:rsidRPr="008732B4">
        <w:rPr>
          <w:rFonts w:eastAsia="Times New Roman" w:cstheme="minorHAnsi"/>
        </w:rPr>
        <w:t xml:space="preserve"> 21-27</w:t>
      </w:r>
      <w:r w:rsidR="00E728CF" w:rsidRPr="008732B4">
        <w:rPr>
          <w:rFonts w:eastAsia="Times New Roman" w:cstheme="minorHAnsi"/>
        </w:rPr>
        <w:t xml:space="preserve"> </w:t>
      </w:r>
      <w:r w:rsidR="00C96DA3" w:rsidRPr="008732B4">
        <w:rPr>
          <w:rFonts w:eastAsia="Times New Roman" w:cstheme="minorHAnsi"/>
        </w:rPr>
        <w:t xml:space="preserve"> »naložbe v pospešitev novih energetskih skupnosti, pretvorbo viškov električne energije iz OVE </w:t>
      </w:r>
      <w:r w:rsidR="00C96DA3" w:rsidRPr="006B3A6D">
        <w:rPr>
          <w:rFonts w:eastAsia="Times New Roman" w:cstheme="minorHAnsi"/>
        </w:rPr>
        <w:t>ter za povezovanje omrežij za potrebe shranjevanja energije«</w:t>
      </w:r>
      <w:r w:rsidR="0078637C" w:rsidRPr="006B3A6D">
        <w:rPr>
          <w:rFonts w:eastAsia="Times New Roman" w:cstheme="minorHAnsi"/>
        </w:rPr>
        <w:t xml:space="preserve">  (razmejitev: ukrep EKP</w:t>
      </w:r>
      <w:r w:rsidR="004D5EC0" w:rsidRPr="006B3A6D">
        <w:t xml:space="preserve"> </w:t>
      </w:r>
      <w:r w:rsidR="004D5EC0" w:rsidRPr="006B3A6D">
        <w:rPr>
          <w:rFonts w:eastAsia="Times New Roman" w:cstheme="minorHAnsi"/>
        </w:rPr>
        <w:t>ne podpira proizvodnje vodika in sintetičnega metana  za v omrežje in prodajo, pač pa le za lastno rabo v energetsko intenzivni industriji)</w:t>
      </w:r>
      <w:r w:rsidR="004D5EC0" w:rsidRPr="008732B4">
        <w:rPr>
          <w:rFonts w:eastAsia="Times New Roman" w:cstheme="minorHAnsi"/>
        </w:rPr>
        <w:t xml:space="preserve"> </w:t>
      </w:r>
      <w:r w:rsidR="00E728CF" w:rsidRPr="008732B4">
        <w:rPr>
          <w:rFonts w:eastAsia="Times New Roman" w:cstheme="minorHAnsi"/>
        </w:rPr>
        <w:t xml:space="preserve"> </w:t>
      </w:r>
      <w:r w:rsidR="004D5EC0" w:rsidRPr="008732B4">
        <w:rPr>
          <w:rFonts w:eastAsia="Times New Roman" w:cstheme="minorHAnsi"/>
        </w:rPr>
        <w:t xml:space="preserve">in ukrepom </w:t>
      </w:r>
      <w:r w:rsidR="00E728CF" w:rsidRPr="008732B4">
        <w:rPr>
          <w:rFonts w:eastAsia="Times New Roman" w:cstheme="minorHAnsi"/>
        </w:rPr>
        <w:t>NOO</w:t>
      </w:r>
      <w:r w:rsidR="008732B4">
        <w:rPr>
          <w:rFonts w:eastAsia="Times New Roman" w:cstheme="minorHAnsi"/>
        </w:rPr>
        <w:t>:</w:t>
      </w:r>
      <w:r w:rsidR="00E728CF" w:rsidRPr="008732B4">
        <w:rPr>
          <w:rFonts w:eastAsia="Times New Roman" w:cstheme="minorHAnsi"/>
        </w:rPr>
        <w:t xml:space="preserve"> »krepitev </w:t>
      </w:r>
      <w:r w:rsidR="00E728CF" w:rsidRPr="00AE5CC9">
        <w:rPr>
          <w:rFonts w:eastAsia="Times New Roman" w:cstheme="minorHAnsi"/>
        </w:rPr>
        <w:t>distribucijskega omrežja električne energije«</w:t>
      </w:r>
      <w:r w:rsidR="008732B4" w:rsidRPr="00AE5CC9">
        <w:rPr>
          <w:rFonts w:eastAsia="Times New Roman" w:cstheme="minorHAnsi"/>
        </w:rPr>
        <w:t>, ki predstavlja</w:t>
      </w:r>
      <w:r w:rsidR="00E728CF" w:rsidRPr="00AE5CC9">
        <w:rPr>
          <w:rFonts w:eastAsia="Times New Roman" w:cstheme="minorHAnsi"/>
        </w:rPr>
        <w:t xml:space="preserve"> komplementarni ukrep</w:t>
      </w:r>
      <w:r w:rsidR="00C96DA3" w:rsidRPr="00AE5CC9">
        <w:rPr>
          <w:rFonts w:eastAsia="Times New Roman" w:cstheme="minorHAnsi"/>
        </w:rPr>
        <w:t>.</w:t>
      </w:r>
    </w:p>
    <w:p w14:paraId="44EA5928" w14:textId="68A8C17C" w:rsidR="00EF10AD" w:rsidRPr="00AE5CC9" w:rsidRDefault="00EF10AD" w:rsidP="00EF10AD">
      <w:pPr>
        <w:pStyle w:val="Odstavekseznama"/>
        <w:numPr>
          <w:ilvl w:val="0"/>
          <w:numId w:val="39"/>
        </w:numPr>
        <w:spacing w:after="0"/>
        <w:rPr>
          <w:rFonts w:eastAsia="Times New Roman" w:cstheme="minorHAnsi"/>
        </w:rPr>
      </w:pPr>
      <w:r w:rsidRPr="00852520">
        <w:t>Zaposlitve in veščine za vse</w:t>
      </w:r>
      <w:r w:rsidRPr="00AE5CC9">
        <w:rPr>
          <w:rFonts w:eastAsia="Times New Roman" w:cstheme="minorHAnsi"/>
        </w:rPr>
        <w:t>:</w:t>
      </w:r>
    </w:p>
    <w:p w14:paraId="7A9E41DC" w14:textId="0A6BF5D0" w:rsidR="00D23038" w:rsidRPr="00D23038" w:rsidRDefault="00D15944" w:rsidP="00C63E9D">
      <w:pPr>
        <w:pStyle w:val="Odstavekseznama"/>
        <w:numPr>
          <w:ilvl w:val="0"/>
          <w:numId w:val="41"/>
        </w:numPr>
        <w:spacing w:after="160" w:line="259" w:lineRule="auto"/>
        <w:jc w:val="both"/>
      </w:pPr>
      <w:r>
        <w:rPr>
          <w:rFonts w:cstheme="minorHAnsi"/>
          <w:b/>
        </w:rPr>
        <w:lastRenderedPageBreak/>
        <w:t>2</w:t>
      </w:r>
      <w:r w:rsidRPr="00BE2D59">
        <w:rPr>
          <w:rFonts w:cstheme="minorHAnsi"/>
          <w:b/>
        </w:rPr>
        <w:t>.1.</w:t>
      </w:r>
      <w:r>
        <w:rPr>
          <w:rFonts w:cstheme="minorHAnsi"/>
          <w:b/>
        </w:rPr>
        <w:t xml:space="preserve"> </w:t>
      </w:r>
      <w:r w:rsidRPr="00405900">
        <w:rPr>
          <w:rFonts w:cstheme="minorHAnsi"/>
          <w:b/>
        </w:rPr>
        <w:t>Obogateno izvajanje kakovostnega in dostopnega učenja</w:t>
      </w:r>
      <w:r w:rsidRPr="00BE2D59" w:rsidDel="00405900">
        <w:rPr>
          <w:rFonts w:cstheme="minorHAnsi"/>
          <w:b/>
        </w:rPr>
        <w:t xml:space="preserve"> </w:t>
      </w:r>
      <w:r w:rsidRPr="00307135">
        <w:rPr>
          <w:rFonts w:cstheme="minorHAnsi"/>
        </w:rPr>
        <w:t xml:space="preserve">se bo v okviru NOO dopolnjeval </w:t>
      </w:r>
    </w:p>
    <w:p w14:paraId="06994073" w14:textId="1035CA4A" w:rsidR="00C63E9D" w:rsidRPr="00C63E9D" w:rsidRDefault="00D15944" w:rsidP="00C63E9D">
      <w:pPr>
        <w:pStyle w:val="Odstavekseznama"/>
        <w:numPr>
          <w:ilvl w:val="0"/>
          <w:numId w:val="41"/>
        </w:numPr>
        <w:spacing w:after="160" w:line="259" w:lineRule="auto"/>
        <w:jc w:val="both"/>
      </w:pPr>
      <w:r w:rsidRPr="00E775FD">
        <w:rPr>
          <w:rFonts w:cstheme="minorHAnsi"/>
        </w:rPr>
        <w:t>z ukrepom »</w:t>
      </w:r>
      <w:r>
        <w:rPr>
          <w:rFonts w:cstheme="minorHAnsi"/>
        </w:rPr>
        <w:t>Izvedba eksperimentalnih in pilotnih projektov razvoja digitalnih kompetenc in temeljnega razvoja RIN</w:t>
      </w:r>
      <w:r w:rsidRPr="00BE2D59">
        <w:rPr>
          <w:rFonts w:cstheme="minorHAnsi"/>
        </w:rPr>
        <w:t>« ter ukrepo</w:t>
      </w:r>
      <w:r>
        <w:rPr>
          <w:rFonts w:cstheme="minorHAnsi"/>
        </w:rPr>
        <w:t>ma</w:t>
      </w:r>
      <w:r w:rsidRPr="00BE2D59">
        <w:rPr>
          <w:rFonts w:cstheme="minorHAnsi"/>
        </w:rPr>
        <w:t xml:space="preserve"> v okviru OP 21-27 »</w:t>
      </w:r>
      <w:r>
        <w:rPr>
          <w:rFonts w:cstheme="minorHAnsi"/>
        </w:rPr>
        <w:t>Razvijanje digitalnega izobraževanja«</w:t>
      </w:r>
      <w:r w:rsidRPr="00405900">
        <w:rPr>
          <w:rFonts w:cstheme="minorHAnsi"/>
        </w:rPr>
        <w:t xml:space="preserve"> </w:t>
      </w:r>
      <w:r>
        <w:rPr>
          <w:rFonts w:cstheme="minorHAnsi"/>
        </w:rPr>
        <w:t>in »Krepitev ključnih kompetenc«.</w:t>
      </w:r>
      <w:r w:rsidRPr="00BE2D59">
        <w:rPr>
          <w:rFonts w:cstheme="minorHAnsi"/>
        </w:rPr>
        <w:t xml:space="preserve"> </w:t>
      </w:r>
      <w:r w:rsidRPr="00141EDE">
        <w:rPr>
          <w:rFonts w:cstheme="minorHAnsi"/>
        </w:rPr>
        <w:t xml:space="preserve">V eksperimentalnih in </w:t>
      </w:r>
      <w:r w:rsidR="00A95F14">
        <w:rPr>
          <w:rFonts w:cstheme="minorHAnsi"/>
        </w:rPr>
        <w:t>pilotnih projektih v okviru NOO</w:t>
      </w:r>
      <w:r w:rsidR="00A95F14" w:rsidRPr="00A95F14">
        <w:rPr>
          <w:rFonts w:cstheme="minorHAnsi"/>
        </w:rPr>
        <w:t xml:space="preserve"> bo </w:t>
      </w:r>
      <w:r w:rsidR="00A95F14">
        <w:rPr>
          <w:rFonts w:cstheme="minorHAnsi"/>
        </w:rPr>
        <w:t xml:space="preserve">izvedenih </w:t>
      </w:r>
      <w:r w:rsidR="00A95F14" w:rsidRPr="00A95F14">
        <w:rPr>
          <w:rFonts w:cstheme="minorHAnsi"/>
        </w:rPr>
        <w:t xml:space="preserve">okvirno 7 projektov, ki bodo namenjeni  preizkušanju in testiranju celovitega razvoja digitalnih kompetenc, s poudarkom pri pouku. Rezultati projektov bodo učni scenariji, ki bodo prispevali k formalnemu spreminjanju in nadgradnji učnih načrtov v okviru reforme prenove. Projekti bodo vključevali mrežo po okvirno 20 vzgojno izobraževalnih zavodov. </w:t>
      </w:r>
      <w:r w:rsidR="00A95F14">
        <w:rPr>
          <w:rFonts w:cstheme="minorHAnsi"/>
        </w:rPr>
        <w:t xml:space="preserve">(razmejitev: SPP </w:t>
      </w:r>
      <w:r w:rsidR="00A95F14" w:rsidRPr="00A95F14">
        <w:rPr>
          <w:rFonts w:cstheme="minorHAnsi"/>
        </w:rPr>
        <w:t>Vsebine se ne bodo prekrivale s predvidenimi ukrepi</w:t>
      </w:r>
      <w:r w:rsidR="00A95F14">
        <w:rPr>
          <w:rFonts w:cstheme="minorHAnsi"/>
        </w:rPr>
        <w:t xml:space="preserve"> v NOO)</w:t>
      </w:r>
      <w:r w:rsidR="00A95F14" w:rsidRPr="00A95F14">
        <w:rPr>
          <w:rFonts w:cstheme="minorHAnsi"/>
        </w:rPr>
        <w:t>.</w:t>
      </w:r>
    </w:p>
    <w:p w14:paraId="0059FD85" w14:textId="3573CFDB" w:rsidR="00C63E9D" w:rsidRPr="00C63E9D" w:rsidRDefault="00D15944" w:rsidP="00C63E9D">
      <w:pPr>
        <w:pStyle w:val="Odstavekseznama"/>
        <w:spacing w:after="160" w:line="259" w:lineRule="auto"/>
        <w:ind w:left="1440"/>
        <w:jc w:val="both"/>
        <w:rPr>
          <w:rFonts w:cstheme="minorHAnsi"/>
        </w:rPr>
      </w:pPr>
      <w:r w:rsidRPr="00141EDE">
        <w:rPr>
          <w:rFonts w:cstheme="minorHAnsi"/>
        </w:rPr>
        <w:t xml:space="preserve">S projekti v okviru razvijanja digitalnega izobraževanja v okviru EKP 21-27 se bodo izvajali </w:t>
      </w:r>
      <w:r w:rsidR="00C63E9D">
        <w:rPr>
          <w:rFonts w:cstheme="minorHAnsi"/>
        </w:rPr>
        <w:t>ukrepi navedeni</w:t>
      </w:r>
      <w:r w:rsidR="00C63E9D" w:rsidRPr="00C63E9D">
        <w:rPr>
          <w:rFonts w:cstheme="minorHAnsi"/>
        </w:rPr>
        <w:t xml:space="preserve"> v Akcijskem načrtu za digitalno izobraževanje 2021-2027. Poudarek bo na krepitvi in zagotavljanju trajnosti človeških virov.  Z ukrepi želimo nasloviti čim večje število vzgojno izobraževalnih zavodov (VIZ) ter zagotoviti večjo kompetentnost učečih in strokovnih ter vodstvenih delavcev na področju digitalnega izobraževanja, vendar ne vseh. </w:t>
      </w:r>
      <w:r w:rsidR="00C63E9D">
        <w:rPr>
          <w:rFonts w:cstheme="minorHAnsi"/>
        </w:rPr>
        <w:t>Z</w:t>
      </w:r>
      <w:r w:rsidR="00C63E9D" w:rsidRPr="00C63E9D">
        <w:rPr>
          <w:rFonts w:cstheme="minorHAnsi"/>
        </w:rPr>
        <w:t xml:space="preserve"> ukrepi ESS </w:t>
      </w:r>
      <w:r w:rsidR="00C63E9D">
        <w:rPr>
          <w:rFonts w:cstheme="minorHAnsi"/>
        </w:rPr>
        <w:t xml:space="preserve">ne moremo </w:t>
      </w:r>
      <w:r w:rsidR="00C63E9D" w:rsidRPr="00C63E9D">
        <w:rPr>
          <w:rFonts w:cstheme="minorHAnsi"/>
        </w:rPr>
        <w:t>zajeti v izvajanje ukrepov  vseh oddelkov na posameznem VIZ. V sklopu ukrepa SPP bomo zagotovili vsešolski pristop (zajeti vse oddelke na posameznem VIZ; obogateno izvajanje). Načrtujemo tudi medpredmetno sodelovanje in izvajanje ukrepov po ve</w:t>
      </w:r>
      <w:r w:rsidR="00F13759">
        <w:rPr>
          <w:rFonts w:cstheme="minorHAnsi"/>
        </w:rPr>
        <w:t xml:space="preserve">rtikali in horizontalni ravni. </w:t>
      </w:r>
    </w:p>
    <w:p w14:paraId="4B0C52FD" w14:textId="6FBD5283" w:rsidR="00D15944" w:rsidRPr="00307135" w:rsidRDefault="00D15944" w:rsidP="00D15944">
      <w:pPr>
        <w:pStyle w:val="Odstavekseznama"/>
        <w:numPr>
          <w:ilvl w:val="0"/>
          <w:numId w:val="41"/>
        </w:numPr>
        <w:spacing w:after="160" w:line="259" w:lineRule="auto"/>
        <w:jc w:val="both"/>
        <w:rPr>
          <w:rFonts w:cstheme="minorHAnsi"/>
        </w:rPr>
      </w:pPr>
      <w:r>
        <w:rPr>
          <w:rFonts w:cstheme="minorHAnsi"/>
          <w:b/>
        </w:rPr>
        <w:t>2</w:t>
      </w:r>
      <w:r w:rsidR="0084328D">
        <w:rPr>
          <w:rFonts w:cstheme="minorHAnsi"/>
          <w:b/>
        </w:rPr>
        <w:t>.2. Vseživljenjska karierna orientacija</w:t>
      </w:r>
      <w:r w:rsidRPr="004A7282">
        <w:rPr>
          <w:rFonts w:cstheme="minorHAnsi"/>
          <w:b/>
        </w:rPr>
        <w:t xml:space="preserve"> in usposabljanje </w:t>
      </w:r>
      <w:r>
        <w:rPr>
          <w:rFonts w:cstheme="minorHAnsi"/>
          <w:b/>
        </w:rPr>
        <w:t>zaposlenih ter iskalcev</w:t>
      </w:r>
      <w:r w:rsidRPr="00307135">
        <w:rPr>
          <w:rFonts w:cstheme="minorHAnsi"/>
        </w:rPr>
        <w:t xml:space="preserve"> </w:t>
      </w:r>
      <w:r w:rsidRPr="001E1F17">
        <w:rPr>
          <w:rFonts w:cstheme="minorHAnsi"/>
          <w:b/>
        </w:rPr>
        <w:t>zaposlitev</w:t>
      </w:r>
      <w:r w:rsidRPr="00307135">
        <w:rPr>
          <w:rFonts w:cstheme="minorHAnsi"/>
        </w:rPr>
        <w:t xml:space="preserve"> bo podprt s strani OP 21-27 v okviru ukrepa »Spodbujanje vključevanja oseb, ki so pred izgubo zaposlitve za vključitev na trgu dela« </w:t>
      </w:r>
      <w:r w:rsidR="003D247F">
        <w:rPr>
          <w:rFonts w:cstheme="minorHAnsi"/>
        </w:rPr>
        <w:t xml:space="preserve">ter ukrepa Neformalno izobraževanje in usposabljanje </w:t>
      </w:r>
      <w:r>
        <w:rPr>
          <w:rFonts w:cstheme="minorHAnsi"/>
        </w:rPr>
        <w:t xml:space="preserve">(razmejitev: v SPP specifika glede na potrebe ciljnih skupin v premogovni regiji) </w:t>
      </w:r>
      <w:r w:rsidRPr="00307135">
        <w:rPr>
          <w:rFonts w:cstheme="minorHAnsi"/>
        </w:rPr>
        <w:t>ter NOO ukrepom »Usposabljanje in izobraževanje zaposlenih«</w:t>
      </w:r>
      <w:r>
        <w:rPr>
          <w:rFonts w:cstheme="minorHAnsi"/>
        </w:rPr>
        <w:t xml:space="preserve"> (razmejitev:</w:t>
      </w:r>
      <w:r w:rsidR="00BA782C">
        <w:rPr>
          <w:rFonts w:cstheme="minorHAnsi"/>
        </w:rPr>
        <w:t xml:space="preserve"> </w:t>
      </w:r>
      <w:r>
        <w:rPr>
          <w:rFonts w:cstheme="minorHAnsi"/>
        </w:rPr>
        <w:t>v SPP</w:t>
      </w:r>
      <w:r w:rsidRPr="00C07D4C">
        <w:t xml:space="preserve"> </w:t>
      </w:r>
      <w:r w:rsidRPr="00C07D4C">
        <w:rPr>
          <w:rFonts w:cstheme="minorHAnsi"/>
        </w:rPr>
        <w:t>specifika glede na potrebe cilj</w:t>
      </w:r>
      <w:r w:rsidR="00BA782C">
        <w:rPr>
          <w:rFonts w:cstheme="minorHAnsi"/>
        </w:rPr>
        <w:t xml:space="preserve">nih skupin v premogovni regiji </w:t>
      </w:r>
      <w:r>
        <w:rPr>
          <w:rFonts w:cstheme="minorHAnsi"/>
        </w:rPr>
        <w:t>)</w:t>
      </w:r>
      <w:r w:rsidRPr="00307135">
        <w:rPr>
          <w:rFonts w:cstheme="minorHAnsi"/>
        </w:rPr>
        <w:t>.</w:t>
      </w:r>
    </w:p>
    <w:p w14:paraId="32D897DE" w14:textId="66E9567F" w:rsidR="00D15944" w:rsidRDefault="00D15944" w:rsidP="00D15944">
      <w:pPr>
        <w:pStyle w:val="Odstavekseznama"/>
        <w:numPr>
          <w:ilvl w:val="0"/>
          <w:numId w:val="41"/>
        </w:numPr>
        <w:jc w:val="both"/>
        <w:rPr>
          <w:rFonts w:ascii="Calibri" w:eastAsia="Calibri" w:hAnsi="Calibri" w:cs="Calibri"/>
        </w:rPr>
      </w:pPr>
      <w:r>
        <w:rPr>
          <w:rFonts w:ascii="Calibri" w:eastAsia="Calibri" w:hAnsi="Calibri" w:cs="Calibri"/>
          <w:b/>
        </w:rPr>
        <w:t>2</w:t>
      </w:r>
      <w:r w:rsidRPr="00405900">
        <w:rPr>
          <w:rFonts w:ascii="Calibri" w:eastAsia="Calibri" w:hAnsi="Calibri" w:cs="Calibri"/>
          <w:b/>
        </w:rPr>
        <w:t xml:space="preserve">.3. Uvajanje krožnih vsebin v VIZ </w:t>
      </w:r>
      <w:r w:rsidRPr="00BE2D59">
        <w:rPr>
          <w:rFonts w:ascii="Calibri" w:eastAsia="Calibri" w:hAnsi="Calibri" w:cs="Calibri"/>
        </w:rPr>
        <w:t>se bo v okviru NOO dopolnjeval  z ukrepom »Prenova izobraževalnih programov s prenovo ključnih programskih dokumentov (kurikula za vrtce, učnih načrtov ter katalogov znanj)« (razmejitev: SPP: specifičnost lokalnega okolja, vključitev večine VIZ iz lokalnega okolja, mreženje z okoljem) ter ukrepom v okviru OP 21-27 »Krepitev ključnih kompetenc« (razmejitev:  SPP: poudarek na specifičnosti lokalnega okolja, vključenosti večine VIZ iz okolja in vsešolski pristop)</w:t>
      </w:r>
      <w:r w:rsidR="00BA782C">
        <w:rPr>
          <w:rFonts w:ascii="Calibri" w:eastAsia="Calibri" w:hAnsi="Calibri" w:cs="Calibri"/>
        </w:rPr>
        <w:t>.</w:t>
      </w:r>
    </w:p>
    <w:p w14:paraId="20A8218D" w14:textId="7EDEED9E" w:rsidR="0084328D" w:rsidRDefault="0084328D" w:rsidP="0084328D">
      <w:pPr>
        <w:pStyle w:val="Odstavekseznama"/>
        <w:numPr>
          <w:ilvl w:val="0"/>
          <w:numId w:val="41"/>
        </w:numPr>
        <w:jc w:val="both"/>
        <w:rPr>
          <w:rFonts w:ascii="Calibri" w:eastAsia="Calibri" w:hAnsi="Calibri" w:cs="Calibri"/>
        </w:rPr>
      </w:pPr>
      <w:r w:rsidRPr="0084328D">
        <w:rPr>
          <w:rFonts w:ascii="Calibri" w:eastAsia="Calibri" w:hAnsi="Calibri" w:cs="Calibri"/>
          <w:b/>
        </w:rPr>
        <w:t>2.4</w:t>
      </w:r>
      <w:r>
        <w:rPr>
          <w:rFonts w:ascii="Calibri" w:eastAsia="Calibri" w:hAnsi="Calibri" w:cs="Calibri"/>
          <w:b/>
        </w:rPr>
        <w:t>.</w:t>
      </w:r>
      <w:r>
        <w:rPr>
          <w:rFonts w:ascii="Calibri" w:eastAsia="Calibri" w:hAnsi="Calibri" w:cs="Calibri"/>
        </w:rPr>
        <w:t xml:space="preserve"> </w:t>
      </w:r>
      <w:r w:rsidRPr="00194AB8">
        <w:rPr>
          <w:rFonts w:ascii="Calibri" w:eastAsia="Calibri" w:hAnsi="Calibri" w:cs="Calibri"/>
          <w:b/>
        </w:rPr>
        <w:t>Izvajanje vsebin za razvoj kompetenc in izboljšanja zaposljivosti v regiji preko t.i. NVO inkubatorja</w:t>
      </w:r>
      <w:r w:rsidRPr="0084328D">
        <w:rPr>
          <w:rFonts w:ascii="Calibri" w:eastAsia="Calibri" w:hAnsi="Calibri" w:cs="Calibri"/>
        </w:rPr>
        <w:t xml:space="preserve"> (za izmenjavo znanja, razvoja socialnih inovacij in razvoja kompetenc), Akademije prekvalifikacij (razvojna-raziskovalna in ustvarjalna platforma za kritično razmišljanje za sodobne in prihodnje izzive povezane z zaposljivostjo) bodo podprti v okviru ES</w:t>
      </w:r>
      <w:r w:rsidR="00BA4CB4">
        <w:rPr>
          <w:rFonts w:ascii="Calibri" w:eastAsia="Calibri" w:hAnsi="Calibri" w:cs="Calibri"/>
        </w:rPr>
        <w:t>S</w:t>
      </w:r>
      <w:r w:rsidRPr="0084328D">
        <w:rPr>
          <w:rFonts w:ascii="Calibri" w:eastAsia="Calibri" w:hAnsi="Calibri" w:cs="Calibri"/>
        </w:rPr>
        <w:t>+ v okviru Programa EKP 21-27.</w:t>
      </w:r>
    </w:p>
    <w:p w14:paraId="5E6C437D" w14:textId="04E7DBE7" w:rsidR="0084328D" w:rsidRPr="0084328D" w:rsidRDefault="0084328D" w:rsidP="0084328D">
      <w:pPr>
        <w:pStyle w:val="Odstavekseznama"/>
        <w:numPr>
          <w:ilvl w:val="0"/>
          <w:numId w:val="41"/>
        </w:numPr>
        <w:jc w:val="both"/>
        <w:rPr>
          <w:rFonts w:ascii="Calibri" w:eastAsia="Calibri" w:hAnsi="Calibri" w:cs="Calibri"/>
        </w:rPr>
      </w:pPr>
      <w:r w:rsidRPr="0084328D">
        <w:rPr>
          <w:rFonts w:ascii="Calibri" w:eastAsia="Calibri" w:hAnsi="Calibri" w:cs="Calibri"/>
          <w:b/>
        </w:rPr>
        <w:t>2.5</w:t>
      </w:r>
      <w:r>
        <w:rPr>
          <w:rFonts w:ascii="Calibri" w:eastAsia="Calibri" w:hAnsi="Calibri" w:cs="Calibri"/>
        </w:rPr>
        <w:t xml:space="preserve">. </w:t>
      </w:r>
      <w:r w:rsidRPr="0084328D">
        <w:rPr>
          <w:rFonts w:ascii="Calibri" w:eastAsia="Calibri" w:hAnsi="Calibri" w:cs="Calibri"/>
        </w:rPr>
        <w:t xml:space="preserve">Aktivnosti za </w:t>
      </w:r>
      <w:r w:rsidRPr="00194AB8">
        <w:rPr>
          <w:rFonts w:ascii="Calibri" w:eastAsia="Calibri" w:hAnsi="Calibri" w:cs="Calibri"/>
          <w:b/>
        </w:rPr>
        <w:t>ustvarjanje novih delovnih mest za delavce in invalide</w:t>
      </w:r>
      <w:r w:rsidRPr="0084328D">
        <w:rPr>
          <w:rFonts w:ascii="Calibri" w:eastAsia="Calibri" w:hAnsi="Calibri" w:cs="Calibri"/>
        </w:rPr>
        <w:t>, ki so povezane povezane s prestrukturiranjem podjetij odvisnih od premogovniške dejavnosti se bo izvajalo v okviru ukrepov znotraj ESS+OP 21-27.</w:t>
      </w:r>
    </w:p>
    <w:p w14:paraId="2D13A79C" w14:textId="27C428C1" w:rsidR="00EF10AD" w:rsidRPr="006B3A6D" w:rsidRDefault="0084328D" w:rsidP="00AD010F">
      <w:pPr>
        <w:pStyle w:val="Odstavekseznama"/>
        <w:numPr>
          <w:ilvl w:val="0"/>
          <w:numId w:val="41"/>
        </w:numPr>
        <w:jc w:val="both"/>
        <w:rPr>
          <w:rFonts w:ascii="Calibri" w:eastAsia="Calibri" w:hAnsi="Calibri" w:cs="Calibri"/>
        </w:rPr>
      </w:pPr>
      <w:r w:rsidRPr="0084328D">
        <w:rPr>
          <w:rFonts w:cstheme="minorHAnsi"/>
          <w:b/>
        </w:rPr>
        <w:t>2.6.</w:t>
      </w:r>
      <w:r w:rsidRPr="0084328D">
        <w:rPr>
          <w:rFonts w:cstheme="minorHAnsi"/>
        </w:rPr>
        <w:t xml:space="preserve"> </w:t>
      </w:r>
      <w:r w:rsidR="00D15944" w:rsidRPr="0084328D">
        <w:rPr>
          <w:rFonts w:cstheme="minorHAnsi"/>
        </w:rPr>
        <w:t xml:space="preserve">Ciljne skupine, ki so zaradi opuščanja rabe premoga v regiji postale socialno izključene (invalidi, nezmožni za delo, starejši, ki živijo pod pragom revščine, socialno izključeni), bomo vključevali v družbo v okviru raznovrstnih dejavnosti v okviru vzpostavitve </w:t>
      </w:r>
      <w:r w:rsidR="00D15944" w:rsidRPr="0084328D">
        <w:rPr>
          <w:rFonts w:cstheme="minorHAnsi"/>
          <w:b/>
        </w:rPr>
        <w:t>večgeneracijskih centrov</w:t>
      </w:r>
      <w:r w:rsidR="00D15944" w:rsidRPr="0084328D">
        <w:rPr>
          <w:rFonts w:cstheme="minorHAnsi"/>
        </w:rPr>
        <w:t xml:space="preserve"> </w:t>
      </w:r>
      <w:r w:rsidR="00AD010F">
        <w:rPr>
          <w:rFonts w:cstheme="minorHAnsi"/>
        </w:rPr>
        <w:t>in</w:t>
      </w:r>
      <w:r w:rsidR="008732B4">
        <w:rPr>
          <w:rFonts w:cstheme="minorHAnsi"/>
        </w:rPr>
        <w:t xml:space="preserve"> </w:t>
      </w:r>
      <w:r w:rsidR="00AD010F" w:rsidRPr="00AD010F">
        <w:rPr>
          <w:rFonts w:cstheme="minorHAnsi"/>
        </w:rPr>
        <w:t>Razvoj in izvajanje</w:t>
      </w:r>
      <w:r w:rsidR="00AD010F">
        <w:rPr>
          <w:rFonts w:cstheme="minorHAnsi"/>
        </w:rPr>
        <w:t>m</w:t>
      </w:r>
      <w:r w:rsidR="00AD010F" w:rsidRPr="00AD010F">
        <w:rPr>
          <w:rFonts w:cstheme="minorHAnsi"/>
        </w:rPr>
        <w:t xml:space="preserve"> pr</w:t>
      </w:r>
      <w:r w:rsidR="00AD010F">
        <w:rPr>
          <w:rFonts w:cstheme="minorHAnsi"/>
        </w:rPr>
        <w:t xml:space="preserve">ogramov socialne aktivacije </w:t>
      </w:r>
      <w:r w:rsidR="00D15944" w:rsidRPr="0084328D">
        <w:rPr>
          <w:rFonts w:cstheme="minorHAnsi"/>
        </w:rPr>
        <w:t>financiranih iz sklada ESS+OP 21-27</w:t>
      </w:r>
      <w:r w:rsidR="00BA782C" w:rsidRPr="0084328D">
        <w:rPr>
          <w:rFonts w:cstheme="minorHAnsi"/>
        </w:rPr>
        <w:t>.</w:t>
      </w:r>
    </w:p>
    <w:p w14:paraId="4F27126A" w14:textId="429E1076" w:rsidR="00EF10AD" w:rsidRDefault="00EF10AD" w:rsidP="00EF10AD">
      <w:pPr>
        <w:pStyle w:val="Odstavekseznama"/>
        <w:numPr>
          <w:ilvl w:val="0"/>
          <w:numId w:val="39"/>
        </w:numPr>
        <w:spacing w:after="0"/>
        <w:rPr>
          <w:rFonts w:eastAsia="Times New Roman" w:cstheme="minorHAnsi"/>
        </w:rPr>
      </w:pPr>
      <w:r>
        <w:rPr>
          <w:rFonts w:eastAsia="Times New Roman" w:cstheme="minorHAnsi"/>
        </w:rPr>
        <w:lastRenderedPageBreak/>
        <w:t>Dodatna regionalna povezljivost in trajnostna mobilnost:</w:t>
      </w:r>
    </w:p>
    <w:p w14:paraId="30C74EC6" w14:textId="0E1C764A" w:rsidR="00EF10AD" w:rsidRPr="00EF10AD" w:rsidRDefault="00EF10AD" w:rsidP="00EF10AD">
      <w:pPr>
        <w:pStyle w:val="Odstavekseznama"/>
        <w:numPr>
          <w:ilvl w:val="1"/>
          <w:numId w:val="39"/>
        </w:numPr>
        <w:spacing w:after="0"/>
        <w:rPr>
          <w:rFonts w:eastAsia="Times New Roman" w:cstheme="minorHAnsi"/>
        </w:rPr>
      </w:pPr>
      <w:r w:rsidRPr="00EF10AD">
        <w:rPr>
          <w:rFonts w:eastAsia="Times New Roman" w:cstheme="minorHAnsi"/>
          <w:b/>
        </w:rPr>
        <w:t>3.1.Trajnostna lokalno mobilnost s poudarkom na javnem potniškem prometu</w:t>
      </w:r>
      <w:r>
        <w:rPr>
          <w:rFonts w:eastAsia="Times New Roman" w:cstheme="minorHAnsi"/>
        </w:rPr>
        <w:t>:</w:t>
      </w:r>
      <w:r w:rsidRPr="00EF10AD">
        <w:rPr>
          <w:rFonts w:eastAsia="Times New Roman" w:cstheme="minorHAnsi"/>
        </w:rPr>
        <w:t xml:space="preserve"> ni predvidenih sredstev SPP, rezultate se bo dosegalo izključno s prispevkom iz operacij, podprtih  v okviru ukrepov P</w:t>
      </w:r>
      <w:r>
        <w:rPr>
          <w:rFonts w:eastAsia="Times New Roman" w:cstheme="minorHAnsi"/>
        </w:rPr>
        <w:t>rograma</w:t>
      </w:r>
      <w:r w:rsidRPr="00EF10AD">
        <w:rPr>
          <w:rFonts w:eastAsia="Times New Roman" w:cstheme="minorHAnsi"/>
        </w:rPr>
        <w:t xml:space="preserve"> EKP 2021-2027: »infrastruktura za trajnostno mobilnost v urbanih območjih« in »spodbujanje uporabe alternativnih goriv v mestih«.</w:t>
      </w:r>
    </w:p>
    <w:p w14:paraId="59866E00" w14:textId="7BDD0FA2" w:rsidR="00EF10AD" w:rsidRPr="000404D1" w:rsidRDefault="00EF10AD" w:rsidP="0098301F">
      <w:pPr>
        <w:pStyle w:val="Odstavekseznama"/>
        <w:numPr>
          <w:ilvl w:val="1"/>
          <w:numId w:val="39"/>
        </w:numPr>
        <w:spacing w:after="120"/>
        <w:ind w:left="1434" w:hanging="357"/>
        <w:contextualSpacing w:val="0"/>
        <w:rPr>
          <w:rFonts w:eastAsia="Times New Roman" w:cstheme="minorHAnsi"/>
        </w:rPr>
      </w:pPr>
      <w:r w:rsidRPr="006B3A6D">
        <w:rPr>
          <w:rFonts w:eastAsia="Times New Roman" w:cstheme="minorHAnsi"/>
          <w:b/>
        </w:rPr>
        <w:t>3.2. Zagotavljanje pogojev za izboljšanje povezljivosti regije</w:t>
      </w:r>
      <w:r>
        <w:rPr>
          <w:rFonts w:eastAsia="Times New Roman" w:cstheme="minorHAnsi"/>
        </w:rPr>
        <w:t>:</w:t>
      </w:r>
      <w:r w:rsidRPr="00EF10AD">
        <w:t xml:space="preserve"> </w:t>
      </w:r>
      <w:r w:rsidRPr="00EF10AD">
        <w:rPr>
          <w:rFonts w:eastAsia="Times New Roman" w:cstheme="minorHAnsi"/>
        </w:rPr>
        <w:t xml:space="preserve">ni predvidenih sredstev </w:t>
      </w:r>
      <w:r w:rsidRPr="000404D1">
        <w:rPr>
          <w:rFonts w:eastAsia="Times New Roman" w:cstheme="minorHAnsi"/>
        </w:rPr>
        <w:t xml:space="preserve">SPP, rezultate se bo dosegalo izključno s prispevkom iz operacij, podprtih  </w:t>
      </w:r>
      <w:r w:rsidR="006B3A6D">
        <w:rPr>
          <w:rFonts w:eastAsia="Times New Roman" w:cstheme="minorHAnsi"/>
        </w:rPr>
        <w:t xml:space="preserve">iz drugih skladov Programa </w:t>
      </w:r>
      <w:r w:rsidR="00737739">
        <w:rPr>
          <w:rFonts w:eastAsia="Times New Roman" w:cstheme="minorHAnsi"/>
        </w:rPr>
        <w:t>EKP 21-27.</w:t>
      </w:r>
    </w:p>
    <w:p w14:paraId="0E07252F" w14:textId="3471C346" w:rsidR="00A14D18" w:rsidRPr="000404D1" w:rsidRDefault="000404D1" w:rsidP="00EF10AD">
      <w:pPr>
        <w:pStyle w:val="Odstavekseznama"/>
        <w:numPr>
          <w:ilvl w:val="0"/>
          <w:numId w:val="39"/>
        </w:numPr>
        <w:spacing w:after="0"/>
        <w:rPr>
          <w:rFonts w:eastAsia="Times New Roman" w:cstheme="minorHAnsi"/>
        </w:rPr>
      </w:pPr>
      <w:r w:rsidRPr="000404D1">
        <w:rPr>
          <w:rFonts w:eastAsia="Times New Roman" w:cstheme="minorHAnsi"/>
        </w:rPr>
        <w:t>Trajnostni, prožni in raznolik gospodarski razvoj:</w:t>
      </w:r>
    </w:p>
    <w:p w14:paraId="38CB6E1F" w14:textId="77777777" w:rsidR="00160CC8" w:rsidRDefault="00A33AC9" w:rsidP="00160CC8">
      <w:pPr>
        <w:pStyle w:val="Odstavekseznama"/>
        <w:numPr>
          <w:ilvl w:val="1"/>
          <w:numId w:val="39"/>
        </w:numPr>
        <w:rPr>
          <w:rFonts w:ascii="Calibri" w:hAnsi="Calibri" w:cs="Calibri"/>
        </w:rPr>
      </w:pPr>
      <w:r w:rsidRPr="00160CC8">
        <w:rPr>
          <w:rFonts w:cstheme="minorHAnsi"/>
          <w:b/>
        </w:rPr>
        <w:t>4.1.1</w:t>
      </w:r>
      <w:r w:rsidRPr="00160CC8">
        <w:rPr>
          <w:rFonts w:cstheme="minorHAnsi"/>
          <w:b/>
        </w:rPr>
        <w:tab/>
      </w:r>
      <w:r w:rsidRPr="00160CC8">
        <w:rPr>
          <w:rFonts w:ascii="Calibri" w:hAnsi="Calibri" w:cs="Calibri"/>
          <w:b/>
        </w:rPr>
        <w:t>Naložbe v RRI</w:t>
      </w:r>
      <w:r w:rsidRPr="00160CC8">
        <w:rPr>
          <w:rFonts w:ascii="Calibri" w:hAnsi="Calibri" w:cs="Calibri"/>
        </w:rPr>
        <w:t xml:space="preserve"> </w:t>
      </w:r>
      <w:r w:rsidR="00160CC8" w:rsidRPr="00160CC8">
        <w:rPr>
          <w:rFonts w:ascii="Calibri" w:hAnsi="Calibri" w:cs="Calibri"/>
        </w:rPr>
        <w:t>ni predvidenih tovrstnih ukrepov</w:t>
      </w:r>
      <w:r w:rsidRPr="00160CC8">
        <w:rPr>
          <w:rFonts w:ascii="Calibri" w:hAnsi="Calibri" w:cs="Calibri"/>
        </w:rPr>
        <w:t xml:space="preserve"> Programa EKP 21-27</w:t>
      </w:r>
      <w:r w:rsidR="00160CC8" w:rsidRPr="00160CC8">
        <w:rPr>
          <w:rFonts w:ascii="Calibri" w:hAnsi="Calibri" w:cs="Calibri"/>
        </w:rPr>
        <w:t xml:space="preserve"> </w:t>
      </w:r>
      <w:r w:rsidR="00160CC8">
        <w:rPr>
          <w:rFonts w:ascii="Calibri" w:hAnsi="Calibri" w:cs="Calibri"/>
        </w:rPr>
        <w:t>in NOO.</w:t>
      </w:r>
      <w:r w:rsidRPr="00160CC8">
        <w:rPr>
          <w:rFonts w:ascii="Calibri" w:hAnsi="Calibri" w:cs="Calibri"/>
        </w:rPr>
        <w:t xml:space="preserve"> </w:t>
      </w:r>
    </w:p>
    <w:p w14:paraId="65EE3AC9" w14:textId="773C953E" w:rsidR="0095503F" w:rsidRPr="0095503F" w:rsidRDefault="00A33AC9" w:rsidP="005A7A28">
      <w:pPr>
        <w:pStyle w:val="Odstavekseznama"/>
        <w:numPr>
          <w:ilvl w:val="1"/>
          <w:numId w:val="39"/>
        </w:numPr>
        <w:jc w:val="both"/>
        <w:rPr>
          <w:rFonts w:ascii="Calibri" w:hAnsi="Calibri" w:cs="Calibri"/>
        </w:rPr>
      </w:pPr>
      <w:r w:rsidRPr="0095503F">
        <w:rPr>
          <w:rFonts w:cstheme="minorHAnsi"/>
          <w:b/>
        </w:rPr>
        <w:t>4.1.2</w:t>
      </w:r>
      <w:r w:rsidRPr="0095503F">
        <w:rPr>
          <w:rFonts w:cstheme="minorHAnsi"/>
          <w:b/>
        </w:rPr>
        <w:tab/>
      </w:r>
      <w:r w:rsidRPr="0095503F">
        <w:rPr>
          <w:rFonts w:ascii="Calibri" w:hAnsi="Calibri" w:cs="Calibri"/>
          <w:b/>
        </w:rPr>
        <w:t>Pilotni in demonstracijski projekti</w:t>
      </w:r>
      <w:r w:rsidRPr="0095503F">
        <w:rPr>
          <w:rFonts w:ascii="Calibri" w:hAnsi="Calibri" w:cs="Calibri"/>
        </w:rPr>
        <w:t xml:space="preserve"> </w:t>
      </w:r>
      <w:r w:rsidR="0095503F" w:rsidRPr="0095503F">
        <w:rPr>
          <w:rFonts w:ascii="Calibri" w:hAnsi="Calibri" w:cs="Calibri"/>
        </w:rPr>
        <w:t>z ukrepom Programa EKP 21-27: »PN 1:Inovacijska družba znanja, Specifični cilj 1.1: Razvoj in izboljšanje raziskovalne in inovacijske zmogljivosti ter uvajanje naprednih tehnologij«, kjer bodo podprte aktivnosti demonstracijskih centrov, ki bodo spodbujali višje ravni tehnološke razvitosti (TRL 6-9) na prednostnih področjih S5 in NOO: »C3 K1: RRI – Raziskave, razvoj in inovacije - D: Sofinanciranje investicij v RRI demonstracijske in pilotne projekte«. V okviru NOO podpora projektom konzorcijev podjetij in raziskovalnih organizacij. (razmejitev: Ukrep SPP prilagojen na regijo in krepitev povezovanja z JRO v regiji);</w:t>
      </w:r>
    </w:p>
    <w:p w14:paraId="6F8F7915" w14:textId="77777777" w:rsidR="005A7A28" w:rsidRPr="005A7A28" w:rsidRDefault="00A33AC9" w:rsidP="005A7A28">
      <w:pPr>
        <w:pStyle w:val="Odstavekseznama"/>
        <w:numPr>
          <w:ilvl w:val="1"/>
          <w:numId w:val="52"/>
        </w:numPr>
        <w:pBdr>
          <w:top w:val="nil"/>
          <w:left w:val="nil"/>
          <w:bottom w:val="nil"/>
          <w:right w:val="nil"/>
          <w:between w:val="nil"/>
        </w:pBdr>
        <w:spacing w:after="0"/>
        <w:jc w:val="both"/>
        <w:rPr>
          <w:rFonts w:eastAsia="Times New Roman"/>
          <w:b/>
          <w:szCs w:val="24"/>
          <w:lang w:eastAsia="sl-SI"/>
        </w:rPr>
      </w:pPr>
      <w:r w:rsidRPr="005A7A28">
        <w:rPr>
          <w:rFonts w:ascii="Calibri" w:hAnsi="Calibri" w:cs="Calibri"/>
          <w:b/>
        </w:rPr>
        <w:t>4.1.3</w:t>
      </w:r>
      <w:r w:rsidRPr="005A7A28">
        <w:rPr>
          <w:rFonts w:ascii="Calibri" w:hAnsi="Calibri" w:cs="Calibri"/>
          <w:b/>
        </w:rPr>
        <w:tab/>
        <w:t>Podpora produktivnim naložbam za diverzifikacijo</w:t>
      </w:r>
      <w:r w:rsidRPr="005A7A28">
        <w:rPr>
          <w:rFonts w:ascii="Calibri" w:hAnsi="Calibri" w:cs="Calibri"/>
          <w:b/>
          <w:i/>
        </w:rPr>
        <w:t xml:space="preserve"> </w:t>
      </w:r>
      <w:r w:rsidR="005A7A28" w:rsidRPr="00D62E66">
        <w:rPr>
          <w:rFonts w:cstheme="minorHAnsi"/>
        </w:rPr>
        <w:t>z ukrepom</w:t>
      </w:r>
      <w:r w:rsidR="005A7A28" w:rsidRPr="00D62E66">
        <w:rPr>
          <w:rFonts w:cstheme="minorHAnsi"/>
          <w:b/>
        </w:rPr>
        <w:t xml:space="preserve"> </w:t>
      </w:r>
      <w:r w:rsidR="005A7A28" w:rsidRPr="00D62E66">
        <w:rPr>
          <w:rFonts w:cstheme="minorHAnsi"/>
        </w:rPr>
        <w:t xml:space="preserve">NOO: </w:t>
      </w:r>
      <w:r w:rsidR="005A7A28">
        <w:rPr>
          <w:rFonts w:cstheme="minorHAnsi"/>
        </w:rPr>
        <w:t>»</w:t>
      </w:r>
      <w:r w:rsidR="005A7A28" w:rsidRPr="00D62E66">
        <w:rPr>
          <w:rFonts w:cstheme="minorHAnsi"/>
        </w:rPr>
        <w:t>C3 K2: Dvig produktivnosti, prijazno poslovno okolje za investitorje - C: Podpora za dekarbonizacijo, produktivnost in konkurenčnost podjetij</w:t>
      </w:r>
      <w:r w:rsidR="005A7A28">
        <w:rPr>
          <w:rFonts w:cstheme="minorHAnsi"/>
        </w:rPr>
        <w:t xml:space="preserve">« </w:t>
      </w:r>
      <w:r w:rsidR="005A7A28" w:rsidRPr="00D62E66">
        <w:rPr>
          <w:rFonts w:cstheme="minorHAnsi"/>
        </w:rPr>
        <w:t>(razmejitev: NOO spodbujanje večjih investicij za večjo produktivnost in konkurenčnost ter investicij v obmejnih problemskih območjih, ukrep SPP prilagojen na regijo - podpora MSP in velikih podjetij v regiji, ki bodo prešla na bolj trajnostno poslovanje in imela ključno vlogo pri nadomestitvi izgubljenih delovnih mest zaradi prestrukturiranja. V razpisu SPP bo določeno, da investicije, že podprte s sredstvi is razpisa NOO, ne morejo biti dvojno financirane še s sredstvi iz razpisa SPP).</w:t>
      </w:r>
    </w:p>
    <w:p w14:paraId="17201D14" w14:textId="74DBAE73" w:rsidR="005A7A28" w:rsidRPr="005A7A28" w:rsidRDefault="00A33AC9" w:rsidP="005A7A28">
      <w:pPr>
        <w:pStyle w:val="Odstavekseznama"/>
        <w:numPr>
          <w:ilvl w:val="1"/>
          <w:numId w:val="52"/>
        </w:numPr>
        <w:pBdr>
          <w:top w:val="nil"/>
          <w:left w:val="nil"/>
          <w:bottom w:val="nil"/>
          <w:right w:val="nil"/>
          <w:between w:val="nil"/>
        </w:pBdr>
        <w:spacing w:after="0"/>
        <w:jc w:val="both"/>
        <w:rPr>
          <w:rFonts w:eastAsia="Times New Roman"/>
          <w:b/>
          <w:szCs w:val="24"/>
          <w:lang w:eastAsia="sl-SI"/>
        </w:rPr>
      </w:pPr>
      <w:r w:rsidRPr="005A7A28">
        <w:rPr>
          <w:rFonts w:ascii="Calibri" w:hAnsi="Calibri" w:cs="Calibri"/>
          <w:b/>
        </w:rPr>
        <w:t>4.2.1</w:t>
      </w:r>
      <w:r w:rsidRPr="005A7A28">
        <w:rPr>
          <w:rFonts w:ascii="Calibri" w:hAnsi="Calibri" w:cs="Calibri"/>
          <w:b/>
        </w:rPr>
        <w:tab/>
        <w:t>Izboljševanje kakovosti in pestrosti ponudbe storitev podpornega</w:t>
      </w:r>
      <w:r w:rsidR="00820FE9">
        <w:rPr>
          <w:rFonts w:ascii="Calibri" w:hAnsi="Calibri" w:cs="Calibri"/>
          <w:b/>
        </w:rPr>
        <w:t xml:space="preserve"> </w:t>
      </w:r>
      <w:r w:rsidR="00820FE9" w:rsidRPr="00256E42">
        <w:rPr>
          <w:rFonts w:ascii="Calibri" w:hAnsi="Calibri" w:cs="Calibri"/>
          <w:b/>
        </w:rPr>
        <w:t>okolja</w:t>
      </w:r>
      <w:r w:rsidRPr="00256E42">
        <w:rPr>
          <w:rFonts w:ascii="Calibri" w:hAnsi="Calibri" w:cs="Calibri"/>
          <w:b/>
        </w:rPr>
        <w:t xml:space="preserve"> </w:t>
      </w:r>
      <w:r w:rsidR="005A7A28" w:rsidRPr="00256E42">
        <w:rPr>
          <w:rFonts w:eastAsia="Times New Roman" w:cstheme="minorHAnsi"/>
          <w:lang w:eastAsia="sl-SI"/>
        </w:rPr>
        <w:t>ni predvidenih sredstev SPP</w:t>
      </w:r>
      <w:r w:rsidR="005A7A28" w:rsidRPr="005A7A28">
        <w:rPr>
          <w:rFonts w:eastAsia="Times New Roman" w:cstheme="minorHAnsi"/>
          <w:lang w:eastAsia="sl-SI"/>
        </w:rPr>
        <w:t>, rezultate se bo dosegalo izključno s prispevkom iz operacij, podprtih  v okviru ukrepa Programa EKP 21-27:</w:t>
      </w:r>
      <w:r w:rsidR="005A7A28" w:rsidRPr="005A7A28">
        <w:rPr>
          <w:rFonts w:eastAsia="Times New Roman"/>
          <w:szCs w:val="24"/>
          <w:lang w:eastAsia="sl-SI"/>
        </w:rPr>
        <w:t xml:space="preserve"> </w:t>
      </w:r>
      <w:r w:rsidR="005A7A28" w:rsidRPr="005A7A28">
        <w:rPr>
          <w:rFonts w:eastAsia="Times New Roman" w:cstheme="minorHAnsi"/>
          <w:lang w:eastAsia="sl-SI"/>
        </w:rPr>
        <w:t>Prednostna naloga 1: Inovacijska družba znanja Specifični cilj 1.2: Krepitev trajnostne rasti in konkurenčnosti MSP ter ustvarjanje delovnih mest v MSP, vključno s produktivnimi naložbami</w:t>
      </w:r>
      <w:r w:rsidR="005A7A28" w:rsidRPr="005A7A28" w:rsidDel="00833851">
        <w:rPr>
          <w:rFonts w:eastAsia="Times New Roman" w:cstheme="minorHAnsi"/>
          <w:lang w:eastAsia="sl-SI"/>
        </w:rPr>
        <w:t xml:space="preserve"> </w:t>
      </w:r>
      <w:r w:rsidR="005A7A28" w:rsidRPr="005A7A28">
        <w:rPr>
          <w:rFonts w:eastAsia="Times New Roman" w:cstheme="minorHAnsi"/>
          <w:lang w:eastAsia="sl-SI"/>
        </w:rPr>
        <w:t>(razmejitev: V okviru Programa EKP 21-27 je predvideno financiranje storitev subjektov inovativnega okolja – inkubatorji, tehnološki parki ter SPOT točk, kar pa ni predmet financiranja v okviru SPP)</w:t>
      </w:r>
      <w:r w:rsidR="00820FE9">
        <w:rPr>
          <w:rFonts w:eastAsia="Times New Roman" w:cstheme="minorHAnsi"/>
          <w:color w:val="000000" w:themeColor="text1"/>
          <w:lang w:eastAsia="sl-SI"/>
        </w:rPr>
        <w:t>.</w:t>
      </w:r>
    </w:p>
    <w:p w14:paraId="11FF550E" w14:textId="77777777" w:rsidR="00AD307A" w:rsidRDefault="00A33AC9" w:rsidP="00AD307A">
      <w:pPr>
        <w:pStyle w:val="Odstavekseznama"/>
        <w:numPr>
          <w:ilvl w:val="1"/>
          <w:numId w:val="39"/>
        </w:numPr>
        <w:spacing w:after="120"/>
        <w:ind w:left="1434" w:hanging="357"/>
        <w:contextualSpacing w:val="0"/>
        <w:rPr>
          <w:rFonts w:eastAsia="Times New Roman" w:cstheme="minorHAnsi"/>
        </w:rPr>
      </w:pPr>
      <w:r w:rsidRPr="00AD307A">
        <w:rPr>
          <w:rFonts w:ascii="Calibri" w:hAnsi="Calibri" w:cs="Calibri"/>
          <w:b/>
        </w:rPr>
        <w:t>4.2.</w:t>
      </w:r>
      <w:r w:rsidR="00793719" w:rsidRPr="00AD307A">
        <w:rPr>
          <w:rFonts w:ascii="Calibri" w:hAnsi="Calibri" w:cs="Calibri"/>
          <w:b/>
        </w:rPr>
        <w:t>2</w:t>
      </w:r>
      <w:r w:rsidRPr="00A33AC9">
        <w:rPr>
          <w:rFonts w:cstheme="minorHAnsi"/>
          <w:b/>
        </w:rPr>
        <w:tab/>
      </w:r>
      <w:r w:rsidR="00793719" w:rsidRPr="00AD307A">
        <w:rPr>
          <w:rFonts w:ascii="Calibri" w:hAnsi="Calibri" w:cs="Calibri"/>
          <w:b/>
        </w:rPr>
        <w:t xml:space="preserve">Naložbe </w:t>
      </w:r>
      <w:r w:rsidRPr="00AD307A">
        <w:rPr>
          <w:rFonts w:ascii="Calibri" w:hAnsi="Calibri" w:cs="Calibri"/>
          <w:b/>
        </w:rPr>
        <w:t>v funkcionalni razvoj saniranih prostorsko in okoljsko degradiranih območij</w:t>
      </w:r>
      <w:r w:rsidRPr="00A33AC9">
        <w:t xml:space="preserve"> </w:t>
      </w:r>
      <w:r w:rsidR="00DC4B2E" w:rsidRPr="00DC4B2E">
        <w:rPr>
          <w:rFonts w:eastAsia="Times New Roman" w:cstheme="minorHAnsi"/>
          <w:lang w:eastAsia="sl-SI"/>
        </w:rPr>
        <w:t xml:space="preserve">z ukrepom NOO: »C3 K2: Dvig produktivnosti, prijazno poslovno okolje za investitorje - D: Zagotavljanje inovativnih ekosistemov ekonomsko-poslovne infrastrukture«(razmejitev: SPP degradirana območja zaradi premogovništva, NOO specializirane </w:t>
      </w:r>
      <w:r w:rsidR="00DC4B2E" w:rsidRPr="00DC4B2E">
        <w:rPr>
          <w:rFonts w:eastAsia="Times New Roman" w:cstheme="minorHAnsi"/>
        </w:rPr>
        <w:t>cone</w:t>
      </w:r>
      <w:r w:rsidR="00DC4B2E" w:rsidRPr="00DC4B2E">
        <w:rPr>
          <w:rFonts w:eastAsia="Times New Roman" w:cstheme="minorHAnsi"/>
          <w:lang w:eastAsia="sl-SI"/>
        </w:rPr>
        <w:t xml:space="preserve"> in cone z lažjim dostopom do avtocestnega omrežja);</w:t>
      </w:r>
    </w:p>
    <w:p w14:paraId="64741CEC" w14:textId="796AD1CB" w:rsidR="000404D1" w:rsidRPr="000404D1" w:rsidRDefault="000404D1" w:rsidP="00AD307A">
      <w:pPr>
        <w:pStyle w:val="Odstavekseznama"/>
        <w:numPr>
          <w:ilvl w:val="0"/>
          <w:numId w:val="39"/>
        </w:numPr>
        <w:spacing w:after="0"/>
        <w:rPr>
          <w:rFonts w:eastAsia="Times New Roman" w:cstheme="minorHAnsi"/>
        </w:rPr>
      </w:pPr>
      <w:r w:rsidRPr="000404D1">
        <w:rPr>
          <w:rFonts w:eastAsia="Times New Roman" w:cstheme="minorHAnsi"/>
        </w:rPr>
        <w:t>Postopna sanacija in revitalizacija prostorsko in okoljsko degradiranih območij</w:t>
      </w:r>
      <w:r w:rsidR="00AD307A">
        <w:rPr>
          <w:rFonts w:eastAsia="Times New Roman" w:cstheme="minorHAnsi"/>
        </w:rPr>
        <w:t>.</w:t>
      </w:r>
    </w:p>
    <w:p w14:paraId="24301BD4" w14:textId="3126C520" w:rsidR="000404D1" w:rsidRDefault="000404D1" w:rsidP="006B3A6D">
      <w:pPr>
        <w:pStyle w:val="Odstavekseznama"/>
        <w:numPr>
          <w:ilvl w:val="1"/>
          <w:numId w:val="40"/>
        </w:numPr>
        <w:spacing w:after="0"/>
        <w:jc w:val="both"/>
        <w:rPr>
          <w:rFonts w:eastAsia="Times New Roman" w:cstheme="minorHAnsi"/>
        </w:rPr>
      </w:pPr>
      <w:r w:rsidRPr="004B5B8E">
        <w:rPr>
          <w:rFonts w:eastAsia="Times New Roman" w:cstheme="minorHAnsi"/>
          <w:b/>
        </w:rPr>
        <w:t>5.1</w:t>
      </w:r>
      <w:r w:rsidRPr="004B5B8E">
        <w:rPr>
          <w:rFonts w:eastAsia="Times New Roman" w:cstheme="minorHAnsi"/>
          <w:b/>
        </w:rPr>
        <w:tab/>
        <w:t xml:space="preserve">Razgradnja in sprememba namena objektov, povezanih z rabo premoga, potrebna za izvedbo naložb v dvig proizvodnih zmoglivosti iz OVE (Stara elektrarna - </w:t>
      </w:r>
      <w:r w:rsidRPr="004B5B8E">
        <w:rPr>
          <w:rFonts w:eastAsia="Times New Roman" w:cstheme="minorHAnsi"/>
          <w:b/>
        </w:rPr>
        <w:lastRenderedPageBreak/>
        <w:t>Velenje, Blok 1-3 - Šoštanj, Blok 4 – Šoštanj, Hladilni stolp 4 - Šoštanj)</w:t>
      </w:r>
      <w:r w:rsidR="008732B4">
        <w:rPr>
          <w:rFonts w:eastAsia="Times New Roman" w:cstheme="minorHAnsi"/>
        </w:rPr>
        <w:t xml:space="preserve"> je komplementaren ukrepoma SPP »</w:t>
      </w:r>
      <w:r w:rsidR="008732B4" w:rsidRPr="008732B4">
        <w:rPr>
          <w:rFonts w:eastAsia="Times New Roman" w:cstheme="minorHAnsi"/>
        </w:rPr>
        <w:t>1.3.1</w:t>
      </w:r>
      <w:r w:rsidR="008732B4">
        <w:rPr>
          <w:rFonts w:eastAsia="Times New Roman" w:cstheme="minorHAnsi"/>
        </w:rPr>
        <w:t xml:space="preserve"> </w:t>
      </w:r>
      <w:r w:rsidR="008732B4" w:rsidRPr="008732B4">
        <w:rPr>
          <w:rFonts w:eastAsia="Times New Roman" w:cstheme="minorHAnsi"/>
        </w:rPr>
        <w:t>Dvig proizvodnih zmogljivosti za zanesljivo proizvodnjo električne energije iz OVE</w:t>
      </w:r>
      <w:r w:rsidR="008732B4">
        <w:rPr>
          <w:rFonts w:eastAsia="Times New Roman" w:cstheme="minorHAnsi"/>
        </w:rPr>
        <w:t>«  in »</w:t>
      </w:r>
      <w:r w:rsidR="008732B4" w:rsidRPr="008732B4">
        <w:rPr>
          <w:rFonts w:eastAsia="Times New Roman" w:cstheme="minorHAnsi"/>
        </w:rPr>
        <w:t>1.3.3 Proizvodnja energije iz OVE (vključno z naprednimi biogorivi po predhodni preučitvi drugih OVE), zlasti na lokaciji TEŠ, za proizvodnjo vodika, sintetičnega metana in uplinjanje odpadne biomase</w:t>
      </w:r>
      <w:r w:rsidR="008732B4">
        <w:rPr>
          <w:rFonts w:eastAsia="Times New Roman" w:cstheme="minorHAnsi"/>
        </w:rPr>
        <w:t>«</w:t>
      </w:r>
    </w:p>
    <w:p w14:paraId="376521A3" w14:textId="77777777" w:rsidR="00AD307A" w:rsidRPr="00AD307A" w:rsidRDefault="00AD307A" w:rsidP="00AD307A">
      <w:pPr>
        <w:spacing w:after="0"/>
        <w:ind w:left="1080"/>
        <w:rPr>
          <w:rFonts w:eastAsia="Times New Roman" w:cstheme="minorHAnsi"/>
        </w:rPr>
      </w:pPr>
    </w:p>
    <w:p w14:paraId="20C76362" w14:textId="3F87C2BD" w:rsidR="00A14AD2" w:rsidRPr="008B037E" w:rsidRDefault="00A14AD2" w:rsidP="00A14AD2">
      <w:pPr>
        <w:shd w:val="clear" w:color="auto" w:fill="D9E2F3" w:themeFill="accent5" w:themeFillTint="33"/>
        <w:spacing w:before="0" w:after="0" w:line="276" w:lineRule="auto"/>
        <w:rPr>
          <w:rFonts w:asciiTheme="minorHAnsi" w:hAnsiTheme="minorHAnsi" w:cstheme="minorBidi"/>
          <w:b/>
          <w:i/>
          <w:sz w:val="22"/>
        </w:rPr>
      </w:pPr>
      <w:r w:rsidRPr="008B037E">
        <w:rPr>
          <w:rFonts w:asciiTheme="minorHAnsi" w:hAnsiTheme="minorHAnsi" w:cstheme="minorBidi"/>
          <w:b/>
          <w:i/>
          <w:sz w:val="22"/>
        </w:rPr>
        <w:t>Identificiran</w:t>
      </w:r>
      <w:r w:rsidR="003C22F8" w:rsidRPr="008B037E">
        <w:rPr>
          <w:rFonts w:asciiTheme="minorHAnsi" w:hAnsiTheme="minorHAnsi" w:cstheme="minorBidi"/>
          <w:b/>
          <w:i/>
          <w:sz w:val="22"/>
        </w:rPr>
        <w:t>i vodilni projekti</w:t>
      </w:r>
    </w:p>
    <w:p w14:paraId="1C3C7D12" w14:textId="77777777" w:rsidR="00A14AD2" w:rsidRPr="008B037E" w:rsidRDefault="00A14AD2" w:rsidP="00A14AD2">
      <w:pPr>
        <w:spacing w:before="0" w:after="0" w:line="276" w:lineRule="auto"/>
        <w:rPr>
          <w:rFonts w:asciiTheme="minorHAnsi" w:hAnsiTheme="minorHAnsi"/>
          <w:sz w:val="22"/>
        </w:rPr>
      </w:pPr>
    </w:p>
    <w:p w14:paraId="5796E68B" w14:textId="0EFE2146" w:rsidR="00A14AD2" w:rsidRPr="008B037E" w:rsidRDefault="00A14AD2" w:rsidP="00E44330">
      <w:pPr>
        <w:spacing w:before="0" w:line="276" w:lineRule="auto"/>
        <w:rPr>
          <w:rFonts w:asciiTheme="minorHAnsi" w:hAnsiTheme="minorHAnsi"/>
          <w:sz w:val="22"/>
        </w:rPr>
      </w:pPr>
      <w:r w:rsidRPr="008B037E">
        <w:rPr>
          <w:rFonts w:asciiTheme="minorHAnsi" w:hAnsiTheme="minorHAnsi"/>
          <w:sz w:val="22"/>
        </w:rPr>
        <w:t xml:space="preserve">V procesu priprave tega dokumenta so imeli deležniki v regiji več možnosti, da predlagajo in identificirajo projekte za prehod regije v brezogljično družbo. Med pripravljenimi projekti so bili med vsemi deležniki, tako na regionalni kot na nacionalni ravni, kot </w:t>
      </w:r>
      <w:r w:rsidR="003C22F8" w:rsidRPr="008B037E">
        <w:rPr>
          <w:rFonts w:asciiTheme="minorHAnsi" w:hAnsiTheme="minorHAnsi"/>
          <w:sz w:val="22"/>
        </w:rPr>
        <w:t xml:space="preserve">vodilni </w:t>
      </w:r>
      <w:r w:rsidRPr="008B037E">
        <w:rPr>
          <w:rFonts w:asciiTheme="minorHAnsi" w:hAnsiTheme="minorHAnsi"/>
          <w:sz w:val="22"/>
        </w:rPr>
        <w:t>izbrani naslednji projekti:</w:t>
      </w:r>
    </w:p>
    <w:p w14:paraId="441D074F" w14:textId="6EB3D93F" w:rsidR="00F644DB" w:rsidRDefault="00000DE5" w:rsidP="005D4792">
      <w:pPr>
        <w:pStyle w:val="Odstavekseznama"/>
        <w:numPr>
          <w:ilvl w:val="0"/>
          <w:numId w:val="9"/>
        </w:numPr>
        <w:spacing w:after="0"/>
        <w:rPr>
          <w:rFonts w:eastAsia="Times New Roman" w:cstheme="minorHAnsi"/>
          <w:b/>
        </w:rPr>
      </w:pPr>
      <w:r w:rsidRPr="004B5B8E">
        <w:rPr>
          <w:b/>
        </w:rPr>
        <w:t>P</w:t>
      </w:r>
      <w:r w:rsidR="005D4792" w:rsidRPr="004B5B8E">
        <w:rPr>
          <w:b/>
        </w:rPr>
        <w:t>reobrazba daljinskega ogrevanja (Komunalno podjetje Velenje</w:t>
      </w:r>
      <w:r w:rsidR="005D4792" w:rsidRPr="004B5B8E">
        <w:rPr>
          <w:rFonts w:eastAsia="Times New Roman" w:cstheme="minorHAnsi"/>
          <w:b/>
        </w:rPr>
        <w:t>)</w:t>
      </w:r>
      <w:r w:rsidR="00AE7511">
        <w:rPr>
          <w:rFonts w:eastAsia="Times New Roman" w:cstheme="minorHAnsi"/>
          <w:b/>
        </w:rPr>
        <w:t>:</w:t>
      </w:r>
    </w:p>
    <w:p w14:paraId="6A265F20" w14:textId="6940E971" w:rsidR="008D1F72" w:rsidRPr="002B7996" w:rsidRDefault="00AA13B2" w:rsidP="002B7996">
      <w:pPr>
        <w:spacing w:before="0" w:line="276" w:lineRule="auto"/>
        <w:rPr>
          <w:rFonts w:asciiTheme="minorHAnsi" w:hAnsiTheme="minorHAnsi"/>
          <w:sz w:val="22"/>
        </w:rPr>
      </w:pPr>
      <w:r w:rsidRPr="002B7996">
        <w:rPr>
          <w:rFonts w:asciiTheme="minorHAnsi" w:hAnsiTheme="minorHAnsi"/>
          <w:sz w:val="22"/>
        </w:rPr>
        <w:t xml:space="preserve">Sistem daljinskega ogrevanja Šaleške doline trenutno temelji na viru toplote iz </w:t>
      </w:r>
      <w:r w:rsidR="004B5B8E" w:rsidRPr="002B7996">
        <w:rPr>
          <w:rFonts w:asciiTheme="minorHAnsi" w:hAnsiTheme="minorHAnsi"/>
          <w:sz w:val="22"/>
        </w:rPr>
        <w:t>TEŠ.</w:t>
      </w:r>
      <w:r w:rsidRPr="002B7996">
        <w:rPr>
          <w:rFonts w:asciiTheme="minorHAnsi" w:hAnsiTheme="minorHAnsi"/>
          <w:sz w:val="22"/>
        </w:rPr>
        <w:t xml:space="preserve"> </w:t>
      </w:r>
      <w:r w:rsidR="00156372" w:rsidRPr="002B7996">
        <w:rPr>
          <w:rFonts w:asciiTheme="minorHAnsi" w:hAnsiTheme="minorHAnsi"/>
          <w:sz w:val="22"/>
        </w:rPr>
        <w:t>K</w:t>
      </w:r>
      <w:r w:rsidRPr="002B7996">
        <w:rPr>
          <w:rFonts w:asciiTheme="minorHAnsi" w:hAnsiTheme="minorHAnsi"/>
          <w:sz w:val="22"/>
        </w:rPr>
        <w:t xml:space="preserve">ot osnovni energent uporablja lignit iz </w:t>
      </w:r>
      <w:r w:rsidR="004B5B8E" w:rsidRPr="002B7996">
        <w:rPr>
          <w:rFonts w:asciiTheme="minorHAnsi" w:hAnsiTheme="minorHAnsi"/>
          <w:sz w:val="22"/>
        </w:rPr>
        <w:t>PV</w:t>
      </w:r>
      <w:r w:rsidR="008642E7" w:rsidRPr="002B7996">
        <w:rPr>
          <w:rFonts w:asciiTheme="minorHAnsi" w:hAnsiTheme="minorHAnsi"/>
          <w:sz w:val="22"/>
        </w:rPr>
        <w:t xml:space="preserve"> in je zasnovan na kombiniranem procesu za proizvodnjo električne in toplotne energije, s temperaturo v distribucijskem omrežju nad 100°C. Obratovalno-</w:t>
      </w:r>
      <w:r w:rsidRPr="002B7996">
        <w:rPr>
          <w:rFonts w:asciiTheme="minorHAnsi" w:hAnsiTheme="minorHAnsi"/>
          <w:sz w:val="22"/>
        </w:rPr>
        <w:t xml:space="preserve">tehnološki koncept enovitega energetskega </w:t>
      </w:r>
      <w:r w:rsidR="00E512CD" w:rsidRPr="002B7996">
        <w:rPr>
          <w:rFonts w:asciiTheme="minorHAnsi" w:hAnsiTheme="minorHAnsi"/>
          <w:sz w:val="22"/>
        </w:rPr>
        <w:t>daljinskega ogrevanja</w:t>
      </w:r>
      <w:r w:rsidRPr="002B7996">
        <w:rPr>
          <w:rFonts w:asciiTheme="minorHAnsi" w:hAnsiTheme="minorHAnsi"/>
          <w:sz w:val="22"/>
        </w:rPr>
        <w:t xml:space="preserve"> je star 60 let in je v marcu 2022 zagotavljal možnost uporabe daljinskega ogrevanja 28.755 prebivalcem (vir: Komunalno podjetje Velenje). Občina Velenje, ki je lastnik omrežja, želi izvesti prehod na novo generacijo daljinskega ogrevanja v Šaleški dolini, ki bo ekonomsko in okoljsko trajnostna </w:t>
      </w:r>
      <w:r w:rsidR="004227CF" w:rsidRPr="002B7996">
        <w:rPr>
          <w:rFonts w:asciiTheme="minorHAnsi" w:hAnsiTheme="minorHAnsi"/>
          <w:sz w:val="22"/>
        </w:rPr>
        <w:t>ter popolnoma neodvisna</w:t>
      </w:r>
      <w:r w:rsidRPr="002B7996">
        <w:rPr>
          <w:rFonts w:asciiTheme="minorHAnsi" w:hAnsiTheme="minorHAnsi"/>
          <w:sz w:val="22"/>
        </w:rPr>
        <w:t xml:space="preserve"> od premoga.</w:t>
      </w:r>
    </w:p>
    <w:p w14:paraId="0C1BBF32" w14:textId="376F1A56" w:rsidR="00AA13B2" w:rsidRDefault="00915300" w:rsidP="002B7996">
      <w:pPr>
        <w:spacing w:before="0" w:line="276" w:lineRule="auto"/>
        <w:rPr>
          <w:rFonts w:asciiTheme="minorHAnsi" w:hAnsiTheme="minorHAnsi"/>
          <w:sz w:val="22"/>
        </w:rPr>
      </w:pPr>
      <w:r w:rsidRPr="002B7996">
        <w:rPr>
          <w:rFonts w:asciiTheme="minorHAnsi" w:hAnsiTheme="minorHAnsi"/>
          <w:sz w:val="22"/>
        </w:rPr>
        <w:t>Preobrazba daljinskega sistema</w:t>
      </w:r>
      <w:r w:rsidR="008D1F72" w:rsidRPr="002B7996">
        <w:rPr>
          <w:rFonts w:asciiTheme="minorHAnsi" w:hAnsiTheme="minorHAnsi"/>
          <w:sz w:val="22"/>
        </w:rPr>
        <w:t xml:space="preserve"> stremi</w:t>
      </w:r>
      <w:r w:rsidRPr="002B7996">
        <w:rPr>
          <w:rFonts w:asciiTheme="minorHAnsi" w:hAnsiTheme="minorHAnsi"/>
          <w:sz w:val="22"/>
        </w:rPr>
        <w:t xml:space="preserve"> k uporabi</w:t>
      </w:r>
      <w:r w:rsidR="008D1F72" w:rsidRPr="002B7996">
        <w:rPr>
          <w:rFonts w:asciiTheme="minorHAnsi" w:hAnsiTheme="minorHAnsi"/>
          <w:sz w:val="22"/>
        </w:rPr>
        <w:t xml:space="preserve"> </w:t>
      </w:r>
      <w:r w:rsidRPr="002B7996">
        <w:rPr>
          <w:rFonts w:asciiTheme="minorHAnsi" w:hAnsiTheme="minorHAnsi"/>
          <w:sz w:val="22"/>
        </w:rPr>
        <w:t>obnovljivih virov energije,</w:t>
      </w:r>
      <w:r w:rsidR="008D1F72" w:rsidRPr="002B7996">
        <w:rPr>
          <w:rFonts w:asciiTheme="minorHAnsi" w:hAnsiTheme="minorHAnsi"/>
          <w:sz w:val="22"/>
        </w:rPr>
        <w:t xml:space="preserve"> z </w:t>
      </w:r>
      <w:r w:rsidRPr="002B7996">
        <w:rPr>
          <w:rFonts w:asciiTheme="minorHAnsi" w:hAnsiTheme="minorHAnsi"/>
          <w:sz w:val="22"/>
        </w:rPr>
        <w:t>možnostjo</w:t>
      </w:r>
      <w:r w:rsidR="008D1F72" w:rsidRPr="002B7996">
        <w:rPr>
          <w:rFonts w:asciiTheme="minorHAnsi" w:hAnsiTheme="minorHAnsi"/>
          <w:sz w:val="22"/>
        </w:rPr>
        <w:t xml:space="preserve"> nadomestitve posameznega vira z drugim virom. </w:t>
      </w:r>
      <w:r w:rsidRPr="002B7996">
        <w:rPr>
          <w:rFonts w:asciiTheme="minorHAnsi" w:hAnsiTheme="minorHAnsi"/>
          <w:sz w:val="22"/>
        </w:rPr>
        <w:t>Omogočeno bo</w:t>
      </w:r>
      <w:r w:rsidR="008D1F72" w:rsidRPr="002B7996">
        <w:rPr>
          <w:rFonts w:asciiTheme="minorHAnsi" w:hAnsiTheme="minorHAnsi"/>
          <w:sz w:val="22"/>
        </w:rPr>
        <w:t xml:space="preserve"> tudi vkl</w:t>
      </w:r>
      <w:r w:rsidRPr="002B7996">
        <w:rPr>
          <w:rFonts w:asciiTheme="minorHAnsi" w:hAnsiTheme="minorHAnsi"/>
          <w:sz w:val="22"/>
        </w:rPr>
        <w:t>jučevanje zunanjih dobaviteljev</w:t>
      </w:r>
      <w:r w:rsidR="008D1F72" w:rsidRPr="002B7996">
        <w:rPr>
          <w:rFonts w:asciiTheme="minorHAnsi" w:hAnsiTheme="minorHAnsi"/>
          <w:sz w:val="22"/>
        </w:rPr>
        <w:t>, ki razpolagajo z odvečno odpadno toploto.</w:t>
      </w:r>
      <w:r w:rsidRPr="002B7996">
        <w:rPr>
          <w:rFonts w:asciiTheme="minorHAnsi" w:hAnsiTheme="minorHAnsi"/>
          <w:sz w:val="22"/>
        </w:rPr>
        <w:t xml:space="preserve"> P</w:t>
      </w:r>
      <w:r w:rsidR="00156372" w:rsidRPr="002B7996">
        <w:rPr>
          <w:rFonts w:asciiTheme="minorHAnsi" w:hAnsiTheme="minorHAnsi"/>
          <w:sz w:val="22"/>
        </w:rPr>
        <w:t>reobraženi</w:t>
      </w:r>
      <w:r w:rsidR="00E512CD" w:rsidRPr="002B7996">
        <w:rPr>
          <w:rFonts w:asciiTheme="minorHAnsi" w:hAnsiTheme="minorHAnsi"/>
          <w:sz w:val="22"/>
        </w:rPr>
        <w:t xml:space="preserve"> sistem daljinskega ogrevanja </w:t>
      </w:r>
      <w:r w:rsidRPr="002B7996">
        <w:rPr>
          <w:rFonts w:asciiTheme="minorHAnsi" w:hAnsiTheme="minorHAnsi"/>
          <w:sz w:val="22"/>
        </w:rPr>
        <w:t xml:space="preserve">mora </w:t>
      </w:r>
      <w:r w:rsidR="00E512CD" w:rsidRPr="002B7996">
        <w:rPr>
          <w:rFonts w:asciiTheme="minorHAnsi" w:hAnsiTheme="minorHAnsi"/>
          <w:sz w:val="22"/>
        </w:rPr>
        <w:t xml:space="preserve">izpolnjevati </w:t>
      </w:r>
      <w:r w:rsidRPr="002B7996">
        <w:rPr>
          <w:rFonts w:asciiTheme="minorHAnsi" w:hAnsiTheme="minorHAnsi"/>
          <w:sz w:val="22"/>
        </w:rPr>
        <w:t xml:space="preserve">tudi </w:t>
      </w:r>
      <w:r w:rsidR="004B5B8E" w:rsidRPr="002B7996">
        <w:rPr>
          <w:rFonts w:asciiTheme="minorHAnsi" w:hAnsiTheme="minorHAnsi"/>
          <w:sz w:val="22"/>
        </w:rPr>
        <w:t xml:space="preserve">zahteve </w:t>
      </w:r>
      <w:r w:rsidR="008D1F72" w:rsidRPr="002B7996">
        <w:rPr>
          <w:rFonts w:asciiTheme="minorHAnsi" w:hAnsiTheme="minorHAnsi"/>
          <w:sz w:val="22"/>
        </w:rPr>
        <w:t>nove e</w:t>
      </w:r>
      <w:r w:rsidR="004B5B8E" w:rsidRPr="002B7996">
        <w:rPr>
          <w:rFonts w:asciiTheme="minorHAnsi" w:hAnsiTheme="minorHAnsi"/>
          <w:sz w:val="22"/>
        </w:rPr>
        <w:t>nergetske zakonodaje glede energetske</w:t>
      </w:r>
      <w:r w:rsidR="003B7837" w:rsidRPr="002B7996">
        <w:rPr>
          <w:rFonts w:asciiTheme="minorHAnsi" w:hAnsiTheme="minorHAnsi"/>
          <w:sz w:val="22"/>
        </w:rPr>
        <w:t xml:space="preserve"> učinkovitost</w:t>
      </w:r>
      <w:r w:rsidR="004B5B8E" w:rsidRPr="002B7996">
        <w:rPr>
          <w:rFonts w:asciiTheme="minorHAnsi" w:hAnsiTheme="minorHAnsi"/>
          <w:sz w:val="22"/>
        </w:rPr>
        <w:t>i</w:t>
      </w:r>
      <w:r w:rsidR="003B7837" w:rsidRPr="002B7996">
        <w:rPr>
          <w:rFonts w:asciiTheme="minorHAnsi" w:hAnsiTheme="minorHAnsi"/>
          <w:sz w:val="22"/>
        </w:rPr>
        <w:t>, zato bo preobrazba potekala v dveh fazah. V prvi fazi bo povečana učinkovitost sistema</w:t>
      </w:r>
      <w:r w:rsidR="004B5B8E" w:rsidRPr="002B7996">
        <w:rPr>
          <w:rFonts w:asciiTheme="minorHAnsi" w:hAnsiTheme="minorHAnsi"/>
          <w:sz w:val="22"/>
        </w:rPr>
        <w:t xml:space="preserve"> (zmanjšanje izgub, znižanje temperature v sistemu pod 100</w:t>
      </w:r>
      <w:r w:rsidR="003B7837" w:rsidRPr="002B7996">
        <w:rPr>
          <w:rFonts w:asciiTheme="minorHAnsi" w:hAnsiTheme="minorHAnsi"/>
          <w:sz w:val="22"/>
        </w:rPr>
        <w:t xml:space="preserve">, </w:t>
      </w:r>
      <w:r w:rsidR="004B5B8E" w:rsidRPr="002B7996">
        <w:rPr>
          <w:rFonts w:asciiTheme="minorHAnsi" w:hAnsiTheme="minorHAnsi"/>
          <w:sz w:val="22"/>
        </w:rPr>
        <w:t>v</w:t>
      </w:r>
      <w:r w:rsidR="003B7837" w:rsidRPr="002B7996">
        <w:rPr>
          <w:rFonts w:asciiTheme="minorHAnsi" w:hAnsiTheme="minorHAnsi"/>
          <w:sz w:val="22"/>
        </w:rPr>
        <w:t xml:space="preserve"> drugi fazi </w:t>
      </w:r>
      <w:r w:rsidR="004B5B8E" w:rsidRPr="002B7996">
        <w:rPr>
          <w:rFonts w:asciiTheme="minorHAnsi" w:hAnsiTheme="minorHAnsi"/>
          <w:sz w:val="22"/>
        </w:rPr>
        <w:t xml:space="preserve">pa </w:t>
      </w:r>
      <w:r w:rsidR="003B7837" w:rsidRPr="002B7996">
        <w:rPr>
          <w:rFonts w:asciiTheme="minorHAnsi" w:hAnsiTheme="minorHAnsi"/>
          <w:sz w:val="22"/>
        </w:rPr>
        <w:t xml:space="preserve">bodo </w:t>
      </w:r>
      <w:r w:rsidR="004B5B8E" w:rsidRPr="002B7996">
        <w:rPr>
          <w:rFonts w:asciiTheme="minorHAnsi" w:hAnsiTheme="minorHAnsi"/>
          <w:sz w:val="22"/>
        </w:rPr>
        <w:t>fosilni viri nadomeščeni z</w:t>
      </w:r>
      <w:r w:rsidR="003B7837" w:rsidRPr="002B7996">
        <w:rPr>
          <w:rFonts w:asciiTheme="minorHAnsi" w:hAnsiTheme="minorHAnsi"/>
          <w:sz w:val="22"/>
        </w:rPr>
        <w:t xml:space="preserve"> obnovljivi viri energije in izveden prehod na temperaturni režim 50-60°C.</w:t>
      </w:r>
    </w:p>
    <w:p w14:paraId="5569DD6B" w14:textId="77777777" w:rsidR="002B7996" w:rsidRPr="007575BC" w:rsidRDefault="002B7996" w:rsidP="002B7996">
      <w:pPr>
        <w:pStyle w:val="Odstavekseznama"/>
        <w:numPr>
          <w:ilvl w:val="0"/>
          <w:numId w:val="9"/>
        </w:numPr>
        <w:spacing w:after="0"/>
        <w:rPr>
          <w:rFonts w:eastAsia="Times New Roman" w:cstheme="minorHAnsi"/>
          <w:b/>
        </w:rPr>
      </w:pPr>
      <w:r w:rsidRPr="007575BC">
        <w:rPr>
          <w:rFonts w:eastAsia="Times New Roman" w:cstheme="minorHAnsi"/>
          <w:b/>
        </w:rPr>
        <w:t>Center prihodnosti (Mestna občina Velenje)</w:t>
      </w:r>
    </w:p>
    <w:p w14:paraId="0AAD69D8" w14:textId="7BE4D27A" w:rsidR="002B7996" w:rsidRPr="00256E42" w:rsidRDefault="002B7996" w:rsidP="00256E42">
      <w:pPr>
        <w:rPr>
          <w:rFonts w:asciiTheme="minorHAnsi" w:eastAsia="Times New Roman" w:hAnsiTheme="minorHAnsi" w:cstheme="minorHAnsi"/>
          <w:sz w:val="22"/>
        </w:rPr>
      </w:pPr>
      <w:r w:rsidRPr="00B426A4">
        <w:rPr>
          <w:rFonts w:asciiTheme="minorHAnsi" w:eastAsia="Times New Roman" w:hAnsiTheme="minorHAnsi" w:cstheme="minorHAnsi"/>
          <w:sz w:val="22"/>
        </w:rPr>
        <w:t xml:space="preserve">Inovacijski ekosistem Center prihodnosti (CP) je platformno okolje, ki spodbuja in povezuje sodelovanje za pravilno kroženje znanja za izvajanje inovacijskih programov na področjih gospodarstva, akademske in raziskovalne sfere, javnega sektorja in širše družbe. Skupine znotraj ekosistema izvajajo strukturirane programe, ki so zajeti znotraj treh stebrov CP: </w:t>
      </w:r>
      <w:r w:rsidRPr="00256E42">
        <w:rPr>
          <w:rFonts w:asciiTheme="minorHAnsi" w:eastAsia="Times New Roman" w:hAnsiTheme="minorHAnsi" w:cstheme="minorHAnsi"/>
          <w:sz w:val="22"/>
        </w:rPr>
        <w:t>izobraževanje, gospodarstvo in</w:t>
      </w:r>
      <w:r w:rsidR="00256E42" w:rsidRPr="00256E42">
        <w:rPr>
          <w:rFonts w:asciiTheme="minorHAnsi" w:eastAsia="Times New Roman" w:hAnsiTheme="minorHAnsi" w:cstheme="minorHAnsi"/>
          <w:sz w:val="22"/>
        </w:rPr>
        <w:t xml:space="preserve"> </w:t>
      </w:r>
      <w:r w:rsidRPr="00256E42">
        <w:rPr>
          <w:rFonts w:asciiTheme="minorHAnsi" w:eastAsia="Times New Roman" w:hAnsiTheme="minorHAnsi" w:cstheme="minorHAnsi"/>
          <w:sz w:val="22"/>
        </w:rPr>
        <w:t xml:space="preserve">okolje. </w:t>
      </w:r>
    </w:p>
    <w:p w14:paraId="39C2493A" w14:textId="77777777" w:rsidR="002B7996" w:rsidRPr="00B426A4" w:rsidRDefault="002B7996" w:rsidP="0083400C">
      <w:pPr>
        <w:spacing w:before="0" w:after="0"/>
        <w:rPr>
          <w:rFonts w:asciiTheme="minorHAnsi" w:eastAsia="Times New Roman" w:hAnsiTheme="minorHAnsi" w:cstheme="minorHAnsi"/>
          <w:sz w:val="22"/>
        </w:rPr>
      </w:pPr>
      <w:r w:rsidRPr="00B426A4">
        <w:rPr>
          <w:rFonts w:asciiTheme="minorHAnsi" w:eastAsia="Times New Roman" w:hAnsiTheme="minorHAnsi" w:cstheme="minorHAnsi"/>
          <w:sz w:val="22"/>
        </w:rPr>
        <w:t>Steber izobraževanje bo ključnega pomena pri reševanju problema zaposlenih v tranzicijskih sektorjih, njihovega izobraževanja, usposabljanja in prekvalifikacije. V objektu bo delovala Fakulteta za energetiko z laboratoriji, Akademija prekvali</w:t>
      </w:r>
      <w:r>
        <w:rPr>
          <w:rFonts w:asciiTheme="minorHAnsi" w:eastAsia="Times New Roman" w:hAnsiTheme="minorHAnsi" w:cstheme="minorHAnsi"/>
          <w:sz w:val="22"/>
        </w:rPr>
        <w:t>f</w:t>
      </w:r>
      <w:r w:rsidRPr="00B426A4">
        <w:rPr>
          <w:rFonts w:asciiTheme="minorHAnsi" w:eastAsia="Times New Roman" w:hAnsiTheme="minorHAnsi" w:cstheme="minorHAnsi"/>
          <w:sz w:val="22"/>
        </w:rPr>
        <w:t>ikacij, podjetje CORe za virtualno in obogateno resničnost, inkubator za nevladne organizacije in drugi.</w:t>
      </w:r>
    </w:p>
    <w:p w14:paraId="6D801407" w14:textId="77777777" w:rsidR="002B7996" w:rsidRPr="00B426A4" w:rsidRDefault="002B7996" w:rsidP="002B7996">
      <w:pPr>
        <w:spacing w:after="0"/>
        <w:rPr>
          <w:rFonts w:asciiTheme="minorHAnsi" w:eastAsia="Times New Roman" w:hAnsiTheme="minorHAnsi" w:cstheme="minorHAnsi"/>
          <w:sz w:val="22"/>
        </w:rPr>
      </w:pPr>
      <w:r w:rsidRPr="00B426A4">
        <w:rPr>
          <w:rFonts w:asciiTheme="minorHAnsi" w:eastAsia="Times New Roman" w:hAnsiTheme="minorHAnsi" w:cstheme="minorHAnsi"/>
          <w:sz w:val="22"/>
        </w:rPr>
        <w:t>Steber gospodarstvo je ključnega pomena za dvih konkurečnosti regijskega gospodarstva, saj bodo v objektu vzpostavljeni edinstveni laboratoriji za izvajanje kakovosti produktov ter v povezavi za drugimi stebri tvoril komplementarne vsebine.</w:t>
      </w:r>
    </w:p>
    <w:p w14:paraId="658D4834" w14:textId="77777777" w:rsidR="002B7996" w:rsidRPr="00B426A4" w:rsidRDefault="002B7996" w:rsidP="002B7996">
      <w:pPr>
        <w:spacing w:after="0"/>
        <w:rPr>
          <w:rFonts w:asciiTheme="minorHAnsi" w:eastAsia="Times New Roman" w:hAnsiTheme="minorHAnsi" w:cstheme="minorHAnsi"/>
          <w:sz w:val="22"/>
        </w:rPr>
      </w:pPr>
      <w:r w:rsidRPr="00B426A4">
        <w:rPr>
          <w:rFonts w:asciiTheme="minorHAnsi" w:eastAsia="Times New Roman" w:hAnsiTheme="minorHAnsi" w:cstheme="minorHAnsi"/>
          <w:sz w:val="22"/>
        </w:rPr>
        <w:t>Steber okolje temelji na Centru za razvoj sonaravnih tehnologij, saj želimo potencial znanja s področja okolja in energetike izkoristiti za razvoj novih tehnologij, novih produktov in izvajanje pilotnih projektov.</w:t>
      </w:r>
    </w:p>
    <w:p w14:paraId="7817CFE0" w14:textId="77777777" w:rsidR="002B7996" w:rsidRPr="00B426A4" w:rsidRDefault="002B7996" w:rsidP="002B7996">
      <w:pPr>
        <w:spacing w:after="0"/>
        <w:rPr>
          <w:rFonts w:asciiTheme="minorHAnsi" w:eastAsia="Times New Roman" w:hAnsiTheme="minorHAnsi" w:cstheme="minorHAnsi"/>
          <w:sz w:val="22"/>
        </w:rPr>
      </w:pPr>
      <w:r w:rsidRPr="00B426A4">
        <w:rPr>
          <w:rFonts w:asciiTheme="minorHAnsi" w:eastAsia="Times New Roman" w:hAnsiTheme="minorHAnsi" w:cstheme="minorHAnsi"/>
          <w:sz w:val="22"/>
        </w:rPr>
        <w:t xml:space="preserve">V objektu, ki ga bomo celovito prenovili bo </w:t>
      </w:r>
      <w:r>
        <w:rPr>
          <w:rFonts w:asciiTheme="minorHAnsi" w:eastAsia="Times New Roman" w:hAnsiTheme="minorHAnsi" w:cstheme="minorHAnsi"/>
          <w:sz w:val="22"/>
        </w:rPr>
        <w:t>deloval</w:t>
      </w:r>
      <w:r w:rsidRPr="00B426A4">
        <w:rPr>
          <w:rFonts w:asciiTheme="minorHAnsi" w:eastAsia="Times New Roman" w:hAnsiTheme="minorHAnsi" w:cstheme="minorHAnsi"/>
          <w:sz w:val="22"/>
        </w:rPr>
        <w:t xml:space="preserve"> tudi Center za </w:t>
      </w:r>
      <w:r>
        <w:rPr>
          <w:rFonts w:asciiTheme="minorHAnsi" w:eastAsia="Times New Roman" w:hAnsiTheme="minorHAnsi" w:cstheme="minorHAnsi"/>
          <w:sz w:val="22"/>
        </w:rPr>
        <w:t>pravični</w:t>
      </w:r>
      <w:r w:rsidRPr="00B426A4">
        <w:rPr>
          <w:rFonts w:asciiTheme="minorHAnsi" w:eastAsia="Times New Roman" w:hAnsiTheme="minorHAnsi" w:cstheme="minorHAnsi"/>
          <w:sz w:val="22"/>
        </w:rPr>
        <w:t xml:space="preserve"> prehod. </w:t>
      </w:r>
    </w:p>
    <w:p w14:paraId="3C522D5C" w14:textId="77777777" w:rsidR="002B7996" w:rsidRPr="002B7996" w:rsidRDefault="002B7996" w:rsidP="002B7996">
      <w:pPr>
        <w:spacing w:before="0" w:line="276" w:lineRule="auto"/>
        <w:rPr>
          <w:rFonts w:asciiTheme="minorHAnsi" w:hAnsiTheme="minorHAnsi"/>
          <w:sz w:val="22"/>
        </w:rPr>
      </w:pPr>
    </w:p>
    <w:p w14:paraId="331BDD22" w14:textId="202EDBBC" w:rsidR="005D4792" w:rsidRPr="00EF10AD" w:rsidRDefault="002C3726" w:rsidP="002C3726">
      <w:pPr>
        <w:pStyle w:val="Odstavekseznama"/>
        <w:numPr>
          <w:ilvl w:val="0"/>
          <w:numId w:val="9"/>
        </w:numPr>
        <w:spacing w:after="0"/>
        <w:rPr>
          <w:rFonts w:eastAsia="Times New Roman" w:cstheme="minorHAnsi"/>
          <w:b/>
        </w:rPr>
      </w:pPr>
      <w:r w:rsidRPr="00EF10AD">
        <w:rPr>
          <w:rFonts w:eastAsia="Times New Roman" w:cstheme="minorHAnsi"/>
          <w:b/>
        </w:rPr>
        <w:lastRenderedPageBreak/>
        <w:t>Laboratorij za raziskave bio-rafinacije biomase</w:t>
      </w:r>
      <w:r w:rsidR="00EF10AD">
        <w:rPr>
          <w:rFonts w:eastAsia="Times New Roman" w:cstheme="minorHAnsi"/>
          <w:b/>
        </w:rPr>
        <w:t xml:space="preserve"> (Kemijski inštitut):</w:t>
      </w:r>
    </w:p>
    <w:p w14:paraId="56E56CA3" w14:textId="0EF47A96" w:rsidR="00EF10AD" w:rsidRPr="00EF10AD" w:rsidRDefault="00EF10AD" w:rsidP="00EF10AD">
      <w:pPr>
        <w:spacing w:after="0"/>
        <w:rPr>
          <w:rFonts w:asciiTheme="minorHAnsi" w:eastAsia="Times New Roman" w:hAnsiTheme="minorHAnsi" w:cstheme="minorHAnsi"/>
          <w:sz w:val="22"/>
        </w:rPr>
      </w:pPr>
      <w:r w:rsidRPr="00EF10AD">
        <w:rPr>
          <w:rFonts w:asciiTheme="minorHAnsi" w:eastAsia="Times New Roman" w:hAnsiTheme="minorHAnsi" w:cstheme="minorHAnsi"/>
          <w:sz w:val="22"/>
        </w:rPr>
        <w:t xml:space="preserve">Projekt  Laboratorij za raziskave bio-rafinacije biomase temelji na razvoju »zelene ekonomije«, ki naslavlja tako uravnoteženo tranzicijo energetike, okolja, kot človeških virov in gospodarstva v Šaleški dolini. To področje je alternativa tradicionalnim rafinerijam nafte ali plina, kjer je surovinski material obnovljiv in trajnosten, to je biomasa. Biomasa je neposredno vključena v S4 in naslavlja sklop Naravni in tradicionalni viri za prihodnost z izzivom »povezati različne posamične proizvodne faze v celovito verigo oz. mrežo« z mobilizacijo biomasnega potenciala regije SAŠA. </w:t>
      </w:r>
    </w:p>
    <w:p w14:paraId="3E0EEF05" w14:textId="65904093" w:rsidR="00EF10AD" w:rsidRDefault="00EF10AD" w:rsidP="00EF10AD">
      <w:pPr>
        <w:spacing w:after="0"/>
        <w:rPr>
          <w:rFonts w:asciiTheme="minorHAnsi" w:eastAsia="Times New Roman" w:hAnsiTheme="minorHAnsi" w:cstheme="minorHAnsi"/>
          <w:sz w:val="22"/>
        </w:rPr>
      </w:pPr>
      <w:r w:rsidRPr="00EF10AD">
        <w:rPr>
          <w:rFonts w:asciiTheme="minorHAnsi" w:eastAsia="Times New Roman" w:hAnsiTheme="minorHAnsi" w:cstheme="minorHAnsi"/>
          <w:sz w:val="22"/>
        </w:rPr>
        <w:t>Projekt naslavlja tudi izzive pravičnega prehoda z zagotavljanjem sistemske, trajnostne in sonaravne mobilizacije biomasnega potenciala SAŠA regije in države, za oskrbo podjetij, ki že uporabljajo biomaso, ali pa načrtujejo povečati de</w:t>
      </w:r>
      <w:r>
        <w:rPr>
          <w:rFonts w:asciiTheme="minorHAnsi" w:eastAsia="Times New Roman" w:hAnsiTheme="minorHAnsi" w:cstheme="minorHAnsi"/>
          <w:sz w:val="22"/>
        </w:rPr>
        <w:t>lež biomase v svojih produktih.</w:t>
      </w:r>
    </w:p>
    <w:p w14:paraId="6A0A3B9D" w14:textId="77777777" w:rsidR="00EF10AD" w:rsidRPr="00EF10AD" w:rsidRDefault="00EF10AD" w:rsidP="00EF10AD">
      <w:pPr>
        <w:spacing w:after="0"/>
        <w:rPr>
          <w:rFonts w:asciiTheme="minorHAnsi" w:eastAsia="Times New Roman" w:hAnsiTheme="minorHAnsi" w:cstheme="minorHAnsi"/>
          <w:sz w:val="22"/>
        </w:rPr>
      </w:pPr>
    </w:p>
    <w:p w14:paraId="19108BD5" w14:textId="2F9A2AA7" w:rsidR="003B0B8A" w:rsidRPr="00FB6EAE" w:rsidRDefault="003B0B8A" w:rsidP="005D4792">
      <w:pPr>
        <w:pStyle w:val="Odstavekseznama"/>
        <w:numPr>
          <w:ilvl w:val="0"/>
          <w:numId w:val="9"/>
        </w:numPr>
        <w:spacing w:after="0"/>
        <w:rPr>
          <w:rFonts w:eastAsia="Times New Roman" w:cstheme="minorHAnsi"/>
        </w:rPr>
      </w:pPr>
      <w:r w:rsidRPr="00FB6EAE">
        <w:rPr>
          <w:rFonts w:eastAsia="Times New Roman" w:cstheme="minorHAnsi"/>
          <w:b/>
        </w:rPr>
        <w:t xml:space="preserve">Vodikove tehnologije v brezemisijskem transportu in razogličenju energetike </w:t>
      </w:r>
      <w:r w:rsidRPr="00FB6EAE">
        <w:rPr>
          <w:rFonts w:eastAsia="Times New Roman" w:cstheme="minorHAnsi"/>
        </w:rPr>
        <w:t>(posodobitev obstoječe infrastrukture za prizvodnjo in hranjenje vodika; izgradnja vodikove polnilnice za vozila na gorivne celice, nakup VCG kategorije M3 za javni poštniški promet)</w:t>
      </w:r>
      <w:r w:rsidR="0052627A" w:rsidRPr="00FB6EAE">
        <w:rPr>
          <w:rFonts w:eastAsia="Times New Roman" w:cstheme="minorHAnsi"/>
        </w:rPr>
        <w:t xml:space="preserve"> </w:t>
      </w:r>
    </w:p>
    <w:p w14:paraId="6EFE2079" w14:textId="77777777" w:rsidR="00D23038" w:rsidRPr="00D23038" w:rsidRDefault="00D23038" w:rsidP="00D23038">
      <w:pPr>
        <w:spacing w:after="0"/>
        <w:rPr>
          <w:rFonts w:asciiTheme="minorHAnsi" w:eastAsia="Times New Roman" w:hAnsiTheme="minorHAnsi" w:cstheme="minorHAnsi"/>
          <w:sz w:val="22"/>
        </w:rPr>
      </w:pPr>
      <w:r w:rsidRPr="00FB6EAE">
        <w:rPr>
          <w:rFonts w:asciiTheme="minorHAnsi" w:eastAsia="Times New Roman" w:hAnsiTheme="minorHAnsi" w:cstheme="minorHAnsi"/>
          <w:sz w:val="22"/>
        </w:rPr>
        <w:t>Vzpostavljen bo koridor brezemisijske mobilnosti, v okviru katerega bo vzpostavljena proizvodnja</w:t>
      </w:r>
      <w:r w:rsidRPr="00D23038">
        <w:rPr>
          <w:rFonts w:asciiTheme="minorHAnsi" w:eastAsia="Times New Roman" w:hAnsiTheme="minorHAnsi" w:cstheme="minorHAnsi"/>
          <w:sz w:val="22"/>
        </w:rPr>
        <w:t xml:space="preserve"> vodika iz OVE, baterijski hranilnik, zalogovnik vodika ter polnilne postaje za električna vozila. Prenovljen bo javni potniški promet z vozili na vodik. Ocenjena vrednost koridorja brez vozil za javni potniški promet je 10,4 mio EUR. </w:t>
      </w:r>
    </w:p>
    <w:p w14:paraId="2630B473" w14:textId="10E91B9E" w:rsidR="00D23038" w:rsidRDefault="00D23038" w:rsidP="00D23038">
      <w:pPr>
        <w:spacing w:after="0"/>
        <w:rPr>
          <w:rFonts w:asciiTheme="minorHAnsi" w:eastAsia="Times New Roman" w:hAnsiTheme="minorHAnsi" w:cstheme="minorHAnsi"/>
          <w:sz w:val="22"/>
        </w:rPr>
      </w:pPr>
      <w:r w:rsidRPr="00D23038">
        <w:rPr>
          <w:rFonts w:asciiTheme="minorHAnsi" w:eastAsia="Times New Roman" w:hAnsiTheme="minorHAnsi" w:cstheme="minorHAnsi"/>
          <w:sz w:val="22"/>
        </w:rPr>
        <w:t>Brezemisijska mobilnost bo prispevala k blažitvi negativnih vplivov na okolje in dvignila kvaliteto življenja v regiji ter bo bazirana na lokalnem in obnovljivem viru energije.</w:t>
      </w:r>
    </w:p>
    <w:p w14:paraId="59D54478" w14:textId="77777777" w:rsidR="00D23038" w:rsidRPr="00D23038" w:rsidRDefault="00D23038" w:rsidP="00D23038">
      <w:pPr>
        <w:spacing w:after="0"/>
        <w:rPr>
          <w:rFonts w:asciiTheme="minorHAnsi" w:eastAsia="Times New Roman" w:hAnsiTheme="minorHAnsi" w:cstheme="minorHAnsi"/>
          <w:sz w:val="22"/>
        </w:rPr>
      </w:pPr>
    </w:p>
    <w:p w14:paraId="1C3B1D59" w14:textId="77777777" w:rsidR="00FB6EAE" w:rsidRPr="00144C8C" w:rsidRDefault="00FB6EAE" w:rsidP="00FB6EAE">
      <w:pPr>
        <w:pStyle w:val="Odstavekseznama"/>
        <w:numPr>
          <w:ilvl w:val="0"/>
          <w:numId w:val="9"/>
        </w:numPr>
        <w:spacing w:after="0"/>
        <w:rPr>
          <w:rFonts w:ascii="Calibri" w:eastAsia="Times New Roman" w:hAnsi="Calibri" w:cs="Calibri"/>
          <w:b/>
          <w:bCs/>
        </w:rPr>
      </w:pPr>
      <w:r w:rsidRPr="00144C8C">
        <w:rPr>
          <w:rFonts w:ascii="Calibri" w:eastAsia="Times New Roman" w:hAnsi="Calibri" w:cs="Calibri"/>
          <w:b/>
          <w:bCs/>
        </w:rPr>
        <w:t xml:space="preserve">Revitalizacija in opremljanje površin namenjenih ekonomsko poslovni infrastrukturi </w:t>
      </w:r>
      <w:r>
        <w:rPr>
          <w:rFonts w:ascii="Calibri" w:eastAsia="Times New Roman" w:hAnsi="Calibri" w:cs="Calibri"/>
          <w:b/>
          <w:bCs/>
        </w:rPr>
        <w:t>(Mestna občina Velenje, občini Šoštanj in Šmartno ob Paki)</w:t>
      </w:r>
    </w:p>
    <w:p w14:paraId="22E1B25B" w14:textId="77777777" w:rsidR="00FB6EAE" w:rsidRPr="00144C8C" w:rsidRDefault="00FB6EAE" w:rsidP="00FB6EAE">
      <w:pPr>
        <w:spacing w:after="0"/>
        <w:rPr>
          <w:rFonts w:asciiTheme="minorHAnsi" w:eastAsia="Times New Roman" w:hAnsiTheme="minorHAnsi" w:cstheme="minorHAnsi"/>
          <w:sz w:val="22"/>
        </w:rPr>
      </w:pPr>
      <w:r w:rsidRPr="00144C8C">
        <w:rPr>
          <w:rFonts w:asciiTheme="minorHAnsi" w:eastAsia="Times New Roman" w:hAnsiTheme="minorHAnsi" w:cstheme="minorHAnsi"/>
          <w:sz w:val="22"/>
        </w:rPr>
        <w:t xml:space="preserve">Vzpostavitev dobrega podpornega okolja za podjetništvo, s poudarkom na ekonomsko poslovni infrastrukturi (EPI) in oblikovanju celovitega podpornega ekosistema je ključno za uspešno prestrukturiranje SAŠA regije. V SAŠA regiji </w:t>
      </w:r>
      <w:r>
        <w:rPr>
          <w:rFonts w:asciiTheme="minorHAnsi" w:eastAsia="Times New Roman" w:hAnsiTheme="minorHAnsi" w:cstheme="minorHAnsi"/>
          <w:sz w:val="22"/>
        </w:rPr>
        <w:t>bodo podprte</w:t>
      </w:r>
      <w:r w:rsidRPr="00144C8C">
        <w:rPr>
          <w:rFonts w:asciiTheme="minorHAnsi" w:eastAsia="Times New Roman" w:hAnsiTheme="minorHAnsi" w:cstheme="minorHAnsi"/>
          <w:sz w:val="22"/>
        </w:rPr>
        <w:t xml:space="preserve"> poslovne con</w:t>
      </w:r>
      <w:r>
        <w:rPr>
          <w:rFonts w:asciiTheme="minorHAnsi" w:eastAsia="Times New Roman" w:hAnsiTheme="minorHAnsi" w:cstheme="minorHAnsi"/>
          <w:sz w:val="22"/>
        </w:rPr>
        <w:t>e,</w:t>
      </w:r>
      <w:r w:rsidRPr="00144C8C">
        <w:rPr>
          <w:rFonts w:asciiTheme="minorHAnsi" w:eastAsia="Times New Roman" w:hAnsiTheme="minorHAnsi" w:cstheme="minorHAnsi"/>
          <w:sz w:val="22"/>
        </w:rPr>
        <w:t xml:space="preserve"> k</w:t>
      </w:r>
      <w:r>
        <w:rPr>
          <w:rFonts w:asciiTheme="minorHAnsi" w:eastAsia="Times New Roman" w:hAnsiTheme="minorHAnsi" w:cstheme="minorHAnsi"/>
          <w:sz w:val="22"/>
        </w:rPr>
        <w:t>i bodo prispevale k</w:t>
      </w:r>
      <w:r w:rsidRPr="00144C8C">
        <w:rPr>
          <w:rFonts w:asciiTheme="minorHAnsi" w:eastAsia="Times New Roman" w:hAnsiTheme="minorHAnsi" w:cstheme="minorHAnsi"/>
          <w:sz w:val="22"/>
        </w:rPr>
        <w:t xml:space="preserve"> trajnostnemu okoljskemu in prostorskemu razvoju ter k uravnoteženi in kvalitetni infrastrukturni opremljenosti regije, spodbujanju novih investicij za ustvarjanje novih delovnih mest ter ustvarjanju čim boljših razmer za razvoj vseh gospodarskih dejavnosti. </w:t>
      </w:r>
      <w:r>
        <w:rPr>
          <w:rFonts w:asciiTheme="minorHAnsi" w:eastAsia="Times New Roman" w:hAnsiTheme="minorHAnsi" w:cstheme="minorHAnsi"/>
          <w:sz w:val="22"/>
        </w:rPr>
        <w:t>Omenjeno je</w:t>
      </w:r>
      <w:r w:rsidRPr="00144C8C">
        <w:rPr>
          <w:rFonts w:asciiTheme="minorHAnsi" w:eastAsia="Times New Roman" w:hAnsiTheme="minorHAnsi" w:cstheme="minorHAnsi"/>
          <w:sz w:val="22"/>
        </w:rPr>
        <w:t xml:space="preserve"> ključnega pomena za blažitev </w:t>
      </w:r>
      <w:r>
        <w:rPr>
          <w:rFonts w:asciiTheme="minorHAnsi" w:eastAsia="Times New Roman" w:hAnsiTheme="minorHAnsi" w:cstheme="minorHAnsi"/>
          <w:sz w:val="22"/>
        </w:rPr>
        <w:t xml:space="preserve">negativnih </w:t>
      </w:r>
      <w:r w:rsidRPr="00144C8C">
        <w:rPr>
          <w:rFonts w:asciiTheme="minorHAnsi" w:eastAsia="Times New Roman" w:hAnsiTheme="minorHAnsi" w:cstheme="minorHAnsi"/>
          <w:sz w:val="22"/>
        </w:rPr>
        <w:t>vplivov prehoda.</w:t>
      </w:r>
    </w:p>
    <w:p w14:paraId="47840A6D" w14:textId="77777777" w:rsidR="00FB6EAE" w:rsidRPr="00740DD3" w:rsidRDefault="00FB6EAE" w:rsidP="00FB6EAE">
      <w:pPr>
        <w:spacing w:after="0"/>
        <w:rPr>
          <w:rFonts w:asciiTheme="minorHAnsi" w:eastAsia="Times New Roman" w:hAnsiTheme="minorHAnsi" w:cstheme="minorHAnsi"/>
          <w:sz w:val="22"/>
        </w:rPr>
      </w:pPr>
      <w:r w:rsidRPr="00144C8C">
        <w:rPr>
          <w:rFonts w:asciiTheme="minorHAnsi" w:eastAsia="Times New Roman" w:hAnsiTheme="minorHAnsi" w:cstheme="minorHAnsi"/>
          <w:sz w:val="22"/>
        </w:rPr>
        <w:t>Večina poslovnih con v regiji (trenutno jih je 21 v ožjem vplivnem območju, v širšem pa 25) je polno zasedenih. V tistih, kjer je še prostor, je tega občutno premalo, da bi bil primeren za večje investicije (Zaključno poročilo projekta Metodologija za popis poslovnih con in subjektov inovativnega okolja na območju Slovenije CRP V5-1723 Metodologija za popis poslovnih con in subjektov inovativnega okolja na območju Slovenije, izvedba terenskega popisa in vzpostavitev ažurne evidence). Pri zagotavljanju fizične infrastrukture za gospodarstvo regije, bodo med drugim imela prednost zemljišča na degradiranih območjih, ki bi na eni strani pridobila uporabno vrednost, na drugi strani pa postala gonilna sila nadaljnjega razvoja regije. Hkrati bo z ustrezno umestitvijo v prostor zagotovljen</w:t>
      </w:r>
      <w:r>
        <w:rPr>
          <w:rFonts w:asciiTheme="minorHAnsi" w:eastAsia="Times New Roman" w:hAnsiTheme="minorHAnsi" w:cstheme="minorHAnsi"/>
          <w:sz w:val="22"/>
        </w:rPr>
        <w:t>a racionalna raba</w:t>
      </w:r>
      <w:r w:rsidRPr="00144C8C">
        <w:rPr>
          <w:rFonts w:asciiTheme="minorHAnsi" w:eastAsia="Times New Roman" w:hAnsiTheme="minorHAnsi" w:cstheme="minorHAnsi"/>
          <w:sz w:val="22"/>
        </w:rPr>
        <w:t xml:space="preserve"> prostora.</w:t>
      </w:r>
      <w:r>
        <w:rPr>
          <w:rFonts w:asciiTheme="minorHAnsi" w:eastAsia="Times New Roman" w:hAnsiTheme="minorHAnsi" w:cstheme="minorHAnsi"/>
          <w:sz w:val="22"/>
        </w:rPr>
        <w:t xml:space="preserve"> </w:t>
      </w:r>
      <w:r w:rsidRPr="00144C8C">
        <w:rPr>
          <w:rFonts w:asciiTheme="minorHAnsi" w:eastAsia="Times New Roman" w:hAnsiTheme="minorHAnsi" w:cstheme="minorHAnsi"/>
          <w:sz w:val="22"/>
        </w:rPr>
        <w:t>Zagotavljanje ustreznih kapa</w:t>
      </w:r>
      <w:r>
        <w:rPr>
          <w:rFonts w:asciiTheme="minorHAnsi" w:eastAsia="Times New Roman" w:hAnsiTheme="minorHAnsi" w:cstheme="minorHAnsi"/>
          <w:sz w:val="22"/>
        </w:rPr>
        <w:t xml:space="preserve">citet v poslovnih conah je </w:t>
      </w:r>
      <w:r w:rsidRPr="00144C8C">
        <w:rPr>
          <w:rFonts w:asciiTheme="minorHAnsi" w:eastAsia="Times New Roman" w:hAnsiTheme="minorHAnsi" w:cstheme="minorHAnsi"/>
          <w:sz w:val="22"/>
        </w:rPr>
        <w:t>ključno za realizacijo zastavljenih projektov podjetij ter strateškega razvoja območja, ki bo regiji zagotovil pravični prehod</w:t>
      </w:r>
      <w:r>
        <w:rPr>
          <w:rFonts w:asciiTheme="minorHAnsi" w:eastAsia="Times New Roman" w:hAnsiTheme="minorHAnsi" w:cstheme="minorHAnsi"/>
          <w:sz w:val="22"/>
        </w:rPr>
        <w:t>.</w:t>
      </w:r>
    </w:p>
    <w:p w14:paraId="597704D5" w14:textId="77777777" w:rsidR="00222E1A" w:rsidRPr="008B037E" w:rsidRDefault="00222E1A" w:rsidP="00720E72">
      <w:pPr>
        <w:spacing w:before="0" w:after="0" w:line="276" w:lineRule="auto"/>
        <w:ind w:left="1800"/>
        <w:contextualSpacing/>
        <w:rPr>
          <w:rFonts w:asciiTheme="minorHAnsi" w:eastAsia="Times New Roman" w:hAnsiTheme="minorHAnsi" w:cstheme="minorHAnsi"/>
          <w:sz w:val="22"/>
          <w:highlight w:val="yellow"/>
        </w:rPr>
      </w:pPr>
    </w:p>
    <w:p w14:paraId="72C050C8" w14:textId="77777777" w:rsidR="002A4554" w:rsidRDefault="002A4554">
      <w:pPr>
        <w:spacing w:before="0" w:after="160" w:line="259" w:lineRule="auto"/>
        <w:jc w:val="left"/>
        <w:rPr>
          <w:rFonts w:asciiTheme="minorHAnsi" w:hAnsiTheme="minorHAnsi" w:cstheme="minorHAnsi"/>
          <w:sz w:val="22"/>
        </w:rPr>
      </w:pPr>
      <w:r>
        <w:rPr>
          <w:rFonts w:cstheme="minorHAnsi"/>
        </w:rPr>
        <w:br w:type="page"/>
      </w:r>
    </w:p>
    <w:p w14:paraId="0D0F34D0" w14:textId="77777777" w:rsidR="002A4554" w:rsidRDefault="002A4554" w:rsidP="00720E72">
      <w:pPr>
        <w:pStyle w:val="Odstavekseznama"/>
        <w:spacing w:after="0"/>
        <w:jc w:val="both"/>
        <w:rPr>
          <w:rFonts w:cstheme="minorHAnsi"/>
        </w:rPr>
        <w:sectPr w:rsidR="002A4554" w:rsidSect="0054316B">
          <w:headerReference w:type="default" r:id="rId11"/>
          <w:footerReference w:type="default" r:id="rId12"/>
          <w:pgSz w:w="11906" w:h="16838" w:code="9"/>
          <w:pgMar w:top="1417" w:right="1417" w:bottom="1417" w:left="1417" w:header="708" w:footer="708" w:gutter="0"/>
          <w:cols w:space="708"/>
          <w:docGrid w:linePitch="360"/>
        </w:sectPr>
      </w:pPr>
    </w:p>
    <w:p w14:paraId="44BF8246" w14:textId="6FAAF894" w:rsidR="004742D2" w:rsidRPr="008B037E" w:rsidRDefault="004742D2" w:rsidP="00720E72">
      <w:pPr>
        <w:pStyle w:val="Odstavekseznama"/>
        <w:spacing w:after="0"/>
        <w:jc w:val="both"/>
        <w:rPr>
          <w:rFonts w:cstheme="minorHAnsi"/>
        </w:rPr>
      </w:pPr>
      <w:r w:rsidRPr="008B037E">
        <w:rPr>
          <w:rFonts w:cstheme="minorHAnsi"/>
        </w:rPr>
        <w:lastRenderedPageBreak/>
        <w:t>2.5. Kazalniki učinka ali rezultatov, ki so specifični za posamezni program</w:t>
      </w:r>
    </w:p>
    <w:p w14:paraId="01F59086" w14:textId="77777777" w:rsidR="004742D2" w:rsidRPr="008B037E" w:rsidRDefault="004742D2" w:rsidP="00720E72">
      <w:pPr>
        <w:spacing w:before="0" w:after="0" w:line="276" w:lineRule="auto"/>
        <w:ind w:firstLine="720"/>
        <w:contextualSpacing/>
        <w:rPr>
          <w:rFonts w:asciiTheme="minorHAnsi" w:eastAsia="Times New Roman" w:hAnsiTheme="minorHAnsi" w:cstheme="minorHAnsi"/>
          <w:sz w:val="22"/>
        </w:rPr>
      </w:pPr>
      <w:r w:rsidRPr="008B037E">
        <w:rPr>
          <w:rFonts w:asciiTheme="minorHAnsi" w:hAnsiTheme="minorHAnsi" w:cstheme="minorHAnsi"/>
          <w:i/>
          <w:sz w:val="22"/>
        </w:rPr>
        <w:t>Sklic: člen 8(1)</w:t>
      </w:r>
    </w:p>
    <w:tbl>
      <w:tblPr>
        <w:tblStyle w:val="Tabelamrea"/>
        <w:tblW w:w="0" w:type="auto"/>
        <w:tblInd w:w="0" w:type="dxa"/>
        <w:tblLook w:val="04A0" w:firstRow="1" w:lastRow="0" w:firstColumn="1" w:lastColumn="0" w:noHBand="0" w:noVBand="1"/>
      </w:tblPr>
      <w:tblGrid>
        <w:gridCol w:w="9288"/>
      </w:tblGrid>
      <w:tr w:rsidR="004742D2" w:rsidRPr="008B037E" w14:paraId="105AEEED" w14:textId="77777777" w:rsidTr="00AC698E">
        <w:tc>
          <w:tcPr>
            <w:tcW w:w="9288" w:type="dxa"/>
            <w:tcBorders>
              <w:top w:val="single" w:sz="4" w:space="0" w:color="auto"/>
              <w:left w:val="single" w:sz="4" w:space="0" w:color="auto"/>
              <w:bottom w:val="single" w:sz="4" w:space="0" w:color="auto"/>
              <w:right w:val="single" w:sz="4" w:space="0" w:color="auto"/>
            </w:tcBorders>
            <w:hideMark/>
          </w:tcPr>
          <w:p w14:paraId="44B61708"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i/>
                <w:sz w:val="22"/>
              </w:rPr>
              <w:t>Izpolnite le, če se predvidevajo kazalniki, ki so specifični za posamezni program:</w:t>
            </w:r>
          </w:p>
          <w:p w14:paraId="189E6A26"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xml:space="preserve">– utemeljitev potrebnosti kazalnikov učinka ali rezultatov na podlagi predvidenih vrst operacij. </w:t>
            </w:r>
          </w:p>
        </w:tc>
      </w:tr>
    </w:tbl>
    <w:p w14:paraId="0B8CB9A4" w14:textId="77777777" w:rsidR="004742D2" w:rsidRPr="008B037E" w:rsidRDefault="004742D2" w:rsidP="00720E72">
      <w:pPr>
        <w:spacing w:before="0" w:after="0" w:line="276" w:lineRule="auto"/>
        <w:ind w:left="1800"/>
        <w:contextualSpacing/>
        <w:rPr>
          <w:rFonts w:asciiTheme="minorHAnsi" w:eastAsia="Times New Roman" w:hAnsiTheme="minorHAnsi" w:cstheme="minorHAnsi"/>
          <w:sz w:val="22"/>
          <w:highlight w:val="yellow"/>
        </w:rPr>
      </w:pPr>
    </w:p>
    <w:p w14:paraId="7273DEA0" w14:textId="77777777" w:rsidR="003D4439" w:rsidRPr="003D4439" w:rsidRDefault="003D4439" w:rsidP="003D4439">
      <w:pPr>
        <w:spacing w:before="0" w:after="0" w:line="276" w:lineRule="auto"/>
        <w:rPr>
          <w:rFonts w:asciiTheme="minorHAnsi" w:hAnsiTheme="minorHAnsi" w:cstheme="minorHAnsi"/>
          <w:b/>
          <w:sz w:val="22"/>
        </w:rPr>
      </w:pPr>
    </w:p>
    <w:tbl>
      <w:tblPr>
        <w:tblStyle w:val="Tabelamrea"/>
        <w:tblW w:w="11715" w:type="dxa"/>
        <w:tblInd w:w="0" w:type="dxa"/>
        <w:tblLook w:val="04A0" w:firstRow="1" w:lastRow="0" w:firstColumn="1" w:lastColumn="0" w:noHBand="0" w:noVBand="1"/>
      </w:tblPr>
      <w:tblGrid>
        <w:gridCol w:w="3114"/>
        <w:gridCol w:w="1287"/>
        <w:gridCol w:w="28"/>
        <w:gridCol w:w="3079"/>
        <w:gridCol w:w="1381"/>
        <w:gridCol w:w="1369"/>
        <w:gridCol w:w="1441"/>
        <w:gridCol w:w="16"/>
      </w:tblGrid>
      <w:tr w:rsidR="003D4439" w:rsidRPr="003D4439" w14:paraId="7EF962E2" w14:textId="77777777" w:rsidTr="002A4554">
        <w:tc>
          <w:tcPr>
            <w:tcW w:w="11715" w:type="dxa"/>
            <w:gridSpan w:val="8"/>
            <w:tcBorders>
              <w:top w:val="single" w:sz="4" w:space="0" w:color="auto"/>
              <w:left w:val="single" w:sz="4" w:space="0" w:color="auto"/>
              <w:bottom w:val="single" w:sz="4" w:space="0" w:color="auto"/>
              <w:right w:val="single" w:sz="4" w:space="0" w:color="auto"/>
            </w:tcBorders>
            <w:hideMark/>
          </w:tcPr>
          <w:p w14:paraId="6230A366"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Preglednica 1 Kazalniki učinka</w:t>
            </w:r>
          </w:p>
        </w:tc>
      </w:tr>
      <w:tr w:rsidR="00EB2B18" w:rsidRPr="003D4439" w14:paraId="050E36AC" w14:textId="77777777" w:rsidTr="002A4554">
        <w:trPr>
          <w:gridAfter w:val="1"/>
          <w:wAfter w:w="16" w:type="dxa"/>
          <w:trHeight w:val="484"/>
        </w:trPr>
        <w:tc>
          <w:tcPr>
            <w:tcW w:w="3114" w:type="dxa"/>
            <w:tcBorders>
              <w:top w:val="single" w:sz="4" w:space="0" w:color="auto"/>
              <w:left w:val="single" w:sz="4" w:space="0" w:color="auto"/>
              <w:bottom w:val="single" w:sz="4" w:space="0" w:color="auto"/>
              <w:right w:val="single" w:sz="4" w:space="0" w:color="auto"/>
            </w:tcBorders>
            <w:hideMark/>
          </w:tcPr>
          <w:p w14:paraId="40536858"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Posebni cilj</w:t>
            </w:r>
          </w:p>
        </w:tc>
        <w:tc>
          <w:tcPr>
            <w:tcW w:w="1287" w:type="dxa"/>
            <w:tcBorders>
              <w:top w:val="single" w:sz="4" w:space="0" w:color="auto"/>
              <w:left w:val="single" w:sz="4" w:space="0" w:color="auto"/>
              <w:bottom w:val="single" w:sz="4" w:space="0" w:color="auto"/>
              <w:right w:val="single" w:sz="4" w:space="0" w:color="auto"/>
            </w:tcBorders>
            <w:hideMark/>
          </w:tcPr>
          <w:p w14:paraId="5AD6D5B4"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ID [5]</w:t>
            </w:r>
          </w:p>
        </w:tc>
        <w:tc>
          <w:tcPr>
            <w:tcW w:w="3107" w:type="dxa"/>
            <w:gridSpan w:val="2"/>
            <w:tcBorders>
              <w:top w:val="single" w:sz="4" w:space="0" w:color="auto"/>
              <w:left w:val="single" w:sz="4" w:space="0" w:color="auto"/>
              <w:bottom w:val="single" w:sz="4" w:space="0" w:color="auto"/>
              <w:right w:val="single" w:sz="4" w:space="0" w:color="auto"/>
            </w:tcBorders>
            <w:hideMark/>
          </w:tcPr>
          <w:p w14:paraId="7ED13D25"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Kazalnik [255]</w:t>
            </w:r>
          </w:p>
        </w:tc>
        <w:tc>
          <w:tcPr>
            <w:tcW w:w="1381" w:type="dxa"/>
            <w:tcBorders>
              <w:top w:val="single" w:sz="4" w:space="0" w:color="auto"/>
              <w:left w:val="single" w:sz="4" w:space="0" w:color="auto"/>
              <w:bottom w:val="single" w:sz="4" w:space="0" w:color="auto"/>
              <w:right w:val="single" w:sz="4" w:space="0" w:color="auto"/>
            </w:tcBorders>
            <w:hideMark/>
          </w:tcPr>
          <w:p w14:paraId="3C239DB7"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Merska enota</w:t>
            </w:r>
          </w:p>
        </w:tc>
        <w:tc>
          <w:tcPr>
            <w:tcW w:w="1369" w:type="dxa"/>
            <w:tcBorders>
              <w:top w:val="single" w:sz="4" w:space="0" w:color="auto"/>
              <w:left w:val="single" w:sz="4" w:space="0" w:color="auto"/>
              <w:bottom w:val="single" w:sz="4" w:space="0" w:color="auto"/>
              <w:right w:val="single" w:sz="4" w:space="0" w:color="auto"/>
            </w:tcBorders>
            <w:hideMark/>
          </w:tcPr>
          <w:p w14:paraId="3D665743"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Mejnik (2024)</w:t>
            </w:r>
          </w:p>
        </w:tc>
        <w:tc>
          <w:tcPr>
            <w:tcW w:w="1441" w:type="dxa"/>
            <w:tcBorders>
              <w:top w:val="single" w:sz="4" w:space="0" w:color="auto"/>
              <w:left w:val="single" w:sz="4" w:space="0" w:color="auto"/>
              <w:bottom w:val="single" w:sz="4" w:space="0" w:color="auto"/>
              <w:right w:val="single" w:sz="4" w:space="0" w:color="auto"/>
            </w:tcBorders>
            <w:hideMark/>
          </w:tcPr>
          <w:p w14:paraId="1A2E80C1"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Cilj (2029)</w:t>
            </w:r>
          </w:p>
        </w:tc>
      </w:tr>
      <w:tr w:rsidR="00EB2B18" w:rsidRPr="003D4439" w14:paraId="231E4227" w14:textId="77777777" w:rsidTr="002A4554">
        <w:trPr>
          <w:gridAfter w:val="1"/>
          <w:wAfter w:w="16" w:type="dxa"/>
          <w:trHeight w:val="705"/>
        </w:trPr>
        <w:tc>
          <w:tcPr>
            <w:tcW w:w="3114" w:type="dxa"/>
          </w:tcPr>
          <w:p w14:paraId="1AD7841F" w14:textId="77777777" w:rsidR="003D4439" w:rsidRPr="00595853" w:rsidRDefault="003D4439" w:rsidP="00F61186">
            <w:pPr>
              <w:spacing w:before="0" w:after="0" w:line="276" w:lineRule="auto"/>
              <w:jc w:val="left"/>
              <w:rPr>
                <w:rFonts w:ascii="Calibri" w:hAnsi="Calibri" w:cs="Calibri"/>
                <w:b/>
                <w:sz w:val="20"/>
              </w:rPr>
            </w:pPr>
            <w:r w:rsidRPr="00595853">
              <w:rPr>
                <w:rFonts w:ascii="Calibri" w:hAnsi="Calibri" w:cs="Calibri"/>
                <w:b/>
                <w:sz w:val="20"/>
              </w:rPr>
              <w:t>Trajnostni, prožni in raznolik gospodarski razvoj</w:t>
            </w:r>
          </w:p>
        </w:tc>
        <w:tc>
          <w:tcPr>
            <w:tcW w:w="1315" w:type="dxa"/>
            <w:gridSpan w:val="2"/>
            <w:hideMark/>
          </w:tcPr>
          <w:p w14:paraId="58F46BD5"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RCO01</w:t>
            </w:r>
          </w:p>
        </w:tc>
        <w:tc>
          <w:tcPr>
            <w:tcW w:w="3079" w:type="dxa"/>
            <w:hideMark/>
          </w:tcPr>
          <w:p w14:paraId="33D9AAAA"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Podprta podjetja (od tega: mikro, mala, srednja, velika)</w:t>
            </w:r>
          </w:p>
        </w:tc>
        <w:tc>
          <w:tcPr>
            <w:tcW w:w="1381" w:type="dxa"/>
            <w:hideMark/>
          </w:tcPr>
          <w:p w14:paraId="4074FEE5"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Število</w:t>
            </w:r>
          </w:p>
        </w:tc>
        <w:tc>
          <w:tcPr>
            <w:tcW w:w="1369" w:type="dxa"/>
          </w:tcPr>
          <w:p w14:paraId="63636770" w14:textId="3B517519" w:rsidR="003D4439" w:rsidRPr="00595853" w:rsidRDefault="00EB2B18" w:rsidP="003D4439">
            <w:pPr>
              <w:spacing w:before="0" w:after="0" w:line="276" w:lineRule="auto"/>
              <w:rPr>
                <w:rFonts w:ascii="Calibri" w:hAnsi="Calibri" w:cs="Calibri"/>
                <w:b/>
                <w:sz w:val="20"/>
              </w:rPr>
            </w:pPr>
            <w:r w:rsidRPr="00595853">
              <w:rPr>
                <w:rFonts w:ascii="Calibri" w:hAnsi="Calibri" w:cs="Calibri"/>
                <w:b/>
                <w:sz w:val="20"/>
              </w:rPr>
              <w:t>4</w:t>
            </w:r>
          </w:p>
        </w:tc>
        <w:tc>
          <w:tcPr>
            <w:tcW w:w="1441" w:type="dxa"/>
          </w:tcPr>
          <w:p w14:paraId="77842221" w14:textId="3A83DD6C" w:rsidR="003D4439" w:rsidRPr="00595853" w:rsidRDefault="00EB2B18" w:rsidP="003D4439">
            <w:pPr>
              <w:spacing w:before="0" w:after="0" w:line="276" w:lineRule="auto"/>
              <w:rPr>
                <w:rFonts w:ascii="Calibri" w:hAnsi="Calibri" w:cs="Calibri"/>
                <w:b/>
                <w:sz w:val="20"/>
              </w:rPr>
            </w:pPr>
            <w:r w:rsidRPr="00595853">
              <w:rPr>
                <w:rFonts w:ascii="Calibri" w:hAnsi="Calibri" w:cs="Calibri"/>
                <w:b/>
                <w:sz w:val="20"/>
              </w:rPr>
              <w:t>50</w:t>
            </w:r>
          </w:p>
        </w:tc>
      </w:tr>
      <w:tr w:rsidR="00EB2B18" w:rsidRPr="003D4439" w14:paraId="13DC9CD1" w14:textId="77777777" w:rsidTr="002A4554">
        <w:trPr>
          <w:gridAfter w:val="1"/>
          <w:wAfter w:w="16" w:type="dxa"/>
          <w:trHeight w:val="715"/>
        </w:trPr>
        <w:tc>
          <w:tcPr>
            <w:tcW w:w="3114" w:type="dxa"/>
          </w:tcPr>
          <w:p w14:paraId="5ADC96E0" w14:textId="77777777" w:rsidR="003D4439" w:rsidRPr="00595853" w:rsidRDefault="003D4439" w:rsidP="00F61186">
            <w:pPr>
              <w:spacing w:before="0" w:after="0" w:line="276" w:lineRule="auto"/>
              <w:jc w:val="left"/>
              <w:rPr>
                <w:rFonts w:ascii="Calibri" w:hAnsi="Calibri" w:cs="Calibri"/>
                <w:b/>
                <w:sz w:val="20"/>
              </w:rPr>
            </w:pPr>
            <w:r w:rsidRPr="00595853">
              <w:rPr>
                <w:rFonts w:ascii="Calibri" w:hAnsi="Calibri" w:cs="Calibri"/>
                <w:b/>
                <w:sz w:val="20"/>
              </w:rPr>
              <w:t>Trajnostni, prožni in raznolik gospodarski razvoj</w:t>
            </w:r>
          </w:p>
        </w:tc>
        <w:tc>
          <w:tcPr>
            <w:tcW w:w="1315" w:type="dxa"/>
            <w:gridSpan w:val="2"/>
            <w:hideMark/>
          </w:tcPr>
          <w:p w14:paraId="5B94FEDE"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RCO02</w:t>
            </w:r>
          </w:p>
        </w:tc>
        <w:tc>
          <w:tcPr>
            <w:tcW w:w="3079" w:type="dxa"/>
            <w:hideMark/>
          </w:tcPr>
          <w:p w14:paraId="7E026F46"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Podjetja, podprta z nepovratnimi sredstvi</w:t>
            </w:r>
          </w:p>
        </w:tc>
        <w:tc>
          <w:tcPr>
            <w:tcW w:w="1381" w:type="dxa"/>
            <w:hideMark/>
          </w:tcPr>
          <w:p w14:paraId="3E73CE76"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Število</w:t>
            </w:r>
          </w:p>
        </w:tc>
        <w:tc>
          <w:tcPr>
            <w:tcW w:w="1369" w:type="dxa"/>
          </w:tcPr>
          <w:p w14:paraId="7BC44C6C" w14:textId="4635686B" w:rsidR="003D4439" w:rsidRPr="00595853" w:rsidRDefault="00EB2B18" w:rsidP="003D4439">
            <w:pPr>
              <w:spacing w:before="0" w:after="0" w:line="276" w:lineRule="auto"/>
              <w:rPr>
                <w:rFonts w:ascii="Calibri" w:hAnsi="Calibri" w:cs="Calibri"/>
                <w:b/>
                <w:sz w:val="20"/>
              </w:rPr>
            </w:pPr>
            <w:r w:rsidRPr="00595853">
              <w:rPr>
                <w:rFonts w:ascii="Calibri" w:hAnsi="Calibri" w:cs="Calibri"/>
                <w:b/>
                <w:sz w:val="20"/>
              </w:rPr>
              <w:t>4</w:t>
            </w:r>
          </w:p>
        </w:tc>
        <w:tc>
          <w:tcPr>
            <w:tcW w:w="1441" w:type="dxa"/>
          </w:tcPr>
          <w:p w14:paraId="34B4B6FB" w14:textId="29898CA0" w:rsidR="003D4439" w:rsidRPr="00595853" w:rsidRDefault="00EB2B18" w:rsidP="003D4439">
            <w:pPr>
              <w:spacing w:before="0" w:after="0" w:line="276" w:lineRule="auto"/>
              <w:rPr>
                <w:rFonts w:ascii="Calibri" w:hAnsi="Calibri" w:cs="Calibri"/>
                <w:b/>
                <w:sz w:val="20"/>
              </w:rPr>
            </w:pPr>
            <w:r w:rsidRPr="00595853">
              <w:rPr>
                <w:rFonts w:ascii="Calibri" w:hAnsi="Calibri" w:cs="Calibri"/>
                <w:b/>
                <w:sz w:val="20"/>
              </w:rPr>
              <w:t>50</w:t>
            </w:r>
          </w:p>
        </w:tc>
      </w:tr>
      <w:tr w:rsidR="00EB2B18" w:rsidRPr="003D4439" w14:paraId="374CA3DA" w14:textId="77777777" w:rsidTr="002A4554">
        <w:trPr>
          <w:gridAfter w:val="1"/>
          <w:wAfter w:w="16" w:type="dxa"/>
          <w:trHeight w:val="684"/>
        </w:trPr>
        <w:tc>
          <w:tcPr>
            <w:tcW w:w="3114" w:type="dxa"/>
          </w:tcPr>
          <w:p w14:paraId="4EB37B34" w14:textId="34B276BC" w:rsidR="003D4439" w:rsidRPr="00595853" w:rsidRDefault="00EB2B18" w:rsidP="00F61186">
            <w:pPr>
              <w:spacing w:before="0" w:after="0" w:line="276" w:lineRule="auto"/>
              <w:jc w:val="left"/>
              <w:rPr>
                <w:rFonts w:ascii="Calibri" w:hAnsi="Calibri" w:cs="Calibri"/>
                <w:b/>
                <w:sz w:val="20"/>
              </w:rPr>
            </w:pPr>
            <w:r w:rsidRPr="00595853">
              <w:rPr>
                <w:rFonts w:ascii="Calibri" w:hAnsi="Calibri" w:cs="Calibri"/>
                <w:b/>
                <w:sz w:val="20"/>
              </w:rPr>
              <w:t>Trajnostni, prožni in raznolik gospodarski razvoj</w:t>
            </w:r>
          </w:p>
        </w:tc>
        <w:tc>
          <w:tcPr>
            <w:tcW w:w="1315" w:type="dxa"/>
            <w:gridSpan w:val="2"/>
          </w:tcPr>
          <w:p w14:paraId="568A632A"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RCO 10</w:t>
            </w:r>
          </w:p>
        </w:tc>
        <w:tc>
          <w:tcPr>
            <w:tcW w:w="3079" w:type="dxa"/>
          </w:tcPr>
          <w:p w14:paraId="160B23F8"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Podjetja, ki sodelujejo z raziskovalnimi organizacijami</w:t>
            </w:r>
          </w:p>
        </w:tc>
        <w:tc>
          <w:tcPr>
            <w:tcW w:w="1381" w:type="dxa"/>
          </w:tcPr>
          <w:p w14:paraId="446F8F2D"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Število</w:t>
            </w:r>
          </w:p>
        </w:tc>
        <w:tc>
          <w:tcPr>
            <w:tcW w:w="1369" w:type="dxa"/>
          </w:tcPr>
          <w:p w14:paraId="06D48007"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0</w:t>
            </w:r>
          </w:p>
        </w:tc>
        <w:tc>
          <w:tcPr>
            <w:tcW w:w="1441" w:type="dxa"/>
          </w:tcPr>
          <w:p w14:paraId="21403562" w14:textId="77777777" w:rsidR="003D4439" w:rsidRPr="00595853" w:rsidRDefault="003D4439" w:rsidP="003D4439">
            <w:pPr>
              <w:spacing w:before="0" w:after="0" w:line="276" w:lineRule="auto"/>
              <w:rPr>
                <w:rFonts w:ascii="Calibri" w:hAnsi="Calibri" w:cs="Calibri"/>
                <w:b/>
                <w:sz w:val="20"/>
              </w:rPr>
            </w:pPr>
            <w:r w:rsidRPr="00595853">
              <w:rPr>
                <w:rFonts w:ascii="Calibri" w:hAnsi="Calibri" w:cs="Calibri"/>
                <w:b/>
                <w:sz w:val="20"/>
              </w:rPr>
              <w:t>15</w:t>
            </w:r>
          </w:p>
        </w:tc>
      </w:tr>
      <w:tr w:rsidR="00F61186" w:rsidRPr="003D4439" w14:paraId="66AFA825" w14:textId="77777777" w:rsidTr="002A4554">
        <w:trPr>
          <w:gridAfter w:val="1"/>
          <w:wAfter w:w="16" w:type="dxa"/>
          <w:trHeight w:val="1133"/>
        </w:trPr>
        <w:tc>
          <w:tcPr>
            <w:tcW w:w="3114" w:type="dxa"/>
          </w:tcPr>
          <w:p w14:paraId="1236C554" w14:textId="77777777"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t>Naložbe v kapacitete za zanesljivo preskrbo s toplotno energijo in/ali hladom, ki bo temeljila na obnovljivih virih energije</w:t>
            </w:r>
          </w:p>
        </w:tc>
        <w:tc>
          <w:tcPr>
            <w:tcW w:w="1315" w:type="dxa"/>
            <w:gridSpan w:val="2"/>
          </w:tcPr>
          <w:p w14:paraId="5A3CE6E7"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RCO20</w:t>
            </w:r>
          </w:p>
        </w:tc>
        <w:tc>
          <w:tcPr>
            <w:tcW w:w="3079" w:type="dxa"/>
          </w:tcPr>
          <w:p w14:paraId="6D731F61" w14:textId="2B317875" w:rsidR="00F61186" w:rsidRPr="00595853" w:rsidRDefault="00595853" w:rsidP="00F61186">
            <w:pPr>
              <w:spacing w:before="0" w:after="0" w:line="276" w:lineRule="auto"/>
              <w:rPr>
                <w:rFonts w:ascii="Calibri" w:hAnsi="Calibri" w:cs="Calibri"/>
                <w:b/>
                <w:sz w:val="20"/>
              </w:rPr>
            </w:pPr>
            <w:r>
              <w:rPr>
                <w:rFonts w:ascii="Calibri" w:hAnsi="Calibri" w:cs="Calibri"/>
                <w:b/>
                <w:sz w:val="20"/>
              </w:rPr>
              <w:t>N</w:t>
            </w:r>
            <w:r w:rsidR="00F61186" w:rsidRPr="00595853">
              <w:rPr>
                <w:rFonts w:ascii="Calibri" w:hAnsi="Calibri" w:cs="Calibri"/>
                <w:b/>
                <w:sz w:val="20"/>
              </w:rPr>
              <w:t>ovozgrajena ali izboljšana omrežja za daljinsko ogrevanje in hlajenje</w:t>
            </w:r>
          </w:p>
        </w:tc>
        <w:tc>
          <w:tcPr>
            <w:tcW w:w="1381" w:type="dxa"/>
          </w:tcPr>
          <w:p w14:paraId="7487C8EB"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Km</w:t>
            </w:r>
          </w:p>
        </w:tc>
        <w:tc>
          <w:tcPr>
            <w:tcW w:w="1369" w:type="dxa"/>
          </w:tcPr>
          <w:p w14:paraId="1833C2CE" w14:textId="3D74312A"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0</w:t>
            </w:r>
          </w:p>
        </w:tc>
        <w:tc>
          <w:tcPr>
            <w:tcW w:w="1441" w:type="dxa"/>
          </w:tcPr>
          <w:p w14:paraId="14C50DD0" w14:textId="2D8EDE3E"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180</w:t>
            </w:r>
          </w:p>
        </w:tc>
      </w:tr>
      <w:tr w:rsidR="00F61186" w:rsidRPr="003D4439" w14:paraId="3240D13F" w14:textId="77777777" w:rsidTr="002A4554">
        <w:trPr>
          <w:gridAfter w:val="1"/>
          <w:wAfter w:w="16" w:type="dxa"/>
          <w:trHeight w:val="1121"/>
        </w:trPr>
        <w:tc>
          <w:tcPr>
            <w:tcW w:w="3114" w:type="dxa"/>
          </w:tcPr>
          <w:p w14:paraId="7BD28D7F"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Spodbujanje energije iz obnovljivih virov</w:t>
            </w:r>
          </w:p>
        </w:tc>
        <w:tc>
          <w:tcPr>
            <w:tcW w:w="1315" w:type="dxa"/>
            <w:gridSpan w:val="2"/>
          </w:tcPr>
          <w:p w14:paraId="578B3D38"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RCO22</w:t>
            </w:r>
          </w:p>
        </w:tc>
        <w:tc>
          <w:tcPr>
            <w:tcW w:w="3079" w:type="dxa"/>
          </w:tcPr>
          <w:p w14:paraId="13B85F65"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Dodatna proizvodna zmogljivost za energijo iz obnovljivih virov (od tega: električna energija, toplotna energija)</w:t>
            </w:r>
          </w:p>
        </w:tc>
        <w:tc>
          <w:tcPr>
            <w:tcW w:w="1381" w:type="dxa"/>
          </w:tcPr>
          <w:p w14:paraId="23305533"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MWe</w:t>
            </w:r>
          </w:p>
          <w:p w14:paraId="10413F27"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MWth</w:t>
            </w:r>
          </w:p>
        </w:tc>
        <w:tc>
          <w:tcPr>
            <w:tcW w:w="1369" w:type="dxa"/>
          </w:tcPr>
          <w:p w14:paraId="3220626E" w14:textId="5CF0BD06"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0</w:t>
            </w:r>
          </w:p>
        </w:tc>
        <w:tc>
          <w:tcPr>
            <w:tcW w:w="1441" w:type="dxa"/>
          </w:tcPr>
          <w:p w14:paraId="1F6CF6B2" w14:textId="1A907A7B"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33</w:t>
            </w:r>
          </w:p>
        </w:tc>
      </w:tr>
      <w:tr w:rsidR="00F61186" w:rsidRPr="003D4439" w14:paraId="102B0475" w14:textId="77777777" w:rsidTr="002A4554">
        <w:trPr>
          <w:gridAfter w:val="1"/>
          <w:wAfter w:w="16" w:type="dxa"/>
          <w:trHeight w:val="836"/>
        </w:trPr>
        <w:tc>
          <w:tcPr>
            <w:tcW w:w="3114" w:type="dxa"/>
            <w:tcBorders>
              <w:top w:val="single" w:sz="4" w:space="0" w:color="auto"/>
              <w:left w:val="single" w:sz="4" w:space="0" w:color="auto"/>
              <w:bottom w:val="single" w:sz="4" w:space="0" w:color="auto"/>
              <w:right w:val="single" w:sz="4" w:space="0" w:color="auto"/>
            </w:tcBorders>
          </w:tcPr>
          <w:p w14:paraId="7BA83BC5" w14:textId="77777777"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t>Postopna sanacija in revitalizacija prostorsko in okoljsko degradiranih območij</w:t>
            </w:r>
          </w:p>
        </w:tc>
        <w:tc>
          <w:tcPr>
            <w:tcW w:w="1315" w:type="dxa"/>
            <w:gridSpan w:val="2"/>
            <w:tcBorders>
              <w:top w:val="single" w:sz="4" w:space="0" w:color="auto"/>
              <w:left w:val="single" w:sz="4" w:space="0" w:color="auto"/>
              <w:bottom w:val="single" w:sz="4" w:space="0" w:color="auto"/>
              <w:right w:val="single" w:sz="4" w:space="0" w:color="auto"/>
            </w:tcBorders>
          </w:tcPr>
          <w:p w14:paraId="0009E543"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RCO38</w:t>
            </w:r>
          </w:p>
        </w:tc>
        <w:tc>
          <w:tcPr>
            <w:tcW w:w="3079" w:type="dxa"/>
            <w:tcBorders>
              <w:top w:val="single" w:sz="4" w:space="0" w:color="auto"/>
              <w:left w:val="single" w:sz="4" w:space="0" w:color="auto"/>
              <w:bottom w:val="single" w:sz="4" w:space="0" w:color="auto"/>
              <w:right w:val="single" w:sz="4" w:space="0" w:color="auto"/>
            </w:tcBorders>
          </w:tcPr>
          <w:p w14:paraId="16ACF603"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Površina podprtih saniranih zemljišč</w:t>
            </w:r>
          </w:p>
        </w:tc>
        <w:tc>
          <w:tcPr>
            <w:tcW w:w="1381" w:type="dxa"/>
            <w:tcBorders>
              <w:top w:val="single" w:sz="4" w:space="0" w:color="auto"/>
              <w:left w:val="single" w:sz="4" w:space="0" w:color="auto"/>
              <w:bottom w:val="single" w:sz="4" w:space="0" w:color="auto"/>
              <w:right w:val="single" w:sz="4" w:space="0" w:color="auto"/>
            </w:tcBorders>
          </w:tcPr>
          <w:p w14:paraId="04668D30"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Ha</w:t>
            </w:r>
          </w:p>
        </w:tc>
        <w:tc>
          <w:tcPr>
            <w:tcW w:w="1369" w:type="dxa"/>
            <w:tcBorders>
              <w:top w:val="single" w:sz="4" w:space="0" w:color="auto"/>
              <w:left w:val="single" w:sz="4" w:space="0" w:color="auto"/>
              <w:bottom w:val="single" w:sz="4" w:space="0" w:color="auto"/>
              <w:right w:val="single" w:sz="4" w:space="0" w:color="auto"/>
            </w:tcBorders>
          </w:tcPr>
          <w:p w14:paraId="6D431F21" w14:textId="20911354"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0</w:t>
            </w:r>
          </w:p>
        </w:tc>
        <w:tc>
          <w:tcPr>
            <w:tcW w:w="1441" w:type="dxa"/>
          </w:tcPr>
          <w:p w14:paraId="430E2194" w14:textId="789F2FF0"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13</w:t>
            </w:r>
          </w:p>
        </w:tc>
      </w:tr>
      <w:tr w:rsidR="00F61186" w:rsidRPr="003D4439" w14:paraId="087E1A6B" w14:textId="77777777" w:rsidTr="002A4554">
        <w:trPr>
          <w:gridAfter w:val="1"/>
          <w:wAfter w:w="16" w:type="dxa"/>
          <w:trHeight w:val="978"/>
        </w:trPr>
        <w:tc>
          <w:tcPr>
            <w:tcW w:w="3114" w:type="dxa"/>
            <w:tcBorders>
              <w:top w:val="single" w:sz="4" w:space="0" w:color="auto"/>
              <w:left w:val="single" w:sz="4" w:space="0" w:color="auto"/>
              <w:bottom w:val="single" w:sz="4" w:space="0" w:color="auto"/>
              <w:right w:val="single" w:sz="4" w:space="0" w:color="auto"/>
            </w:tcBorders>
          </w:tcPr>
          <w:p w14:paraId="7CEA972D" w14:textId="4AC51243"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lastRenderedPageBreak/>
              <w:t>Postopna sanacija in revitalizacija prostorsko in okoljsko degradiranih območij</w:t>
            </w:r>
          </w:p>
        </w:tc>
        <w:tc>
          <w:tcPr>
            <w:tcW w:w="1315" w:type="dxa"/>
            <w:gridSpan w:val="2"/>
            <w:tcBorders>
              <w:top w:val="single" w:sz="4" w:space="0" w:color="auto"/>
              <w:left w:val="single" w:sz="4" w:space="0" w:color="auto"/>
              <w:bottom w:val="single" w:sz="4" w:space="0" w:color="auto"/>
              <w:right w:val="single" w:sz="4" w:space="0" w:color="auto"/>
            </w:tcBorders>
          </w:tcPr>
          <w:p w14:paraId="4EB68DA3" w14:textId="3C397784"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RCO105</w:t>
            </w:r>
          </w:p>
        </w:tc>
        <w:tc>
          <w:tcPr>
            <w:tcW w:w="3079" w:type="dxa"/>
            <w:tcBorders>
              <w:top w:val="single" w:sz="4" w:space="0" w:color="auto"/>
              <w:left w:val="single" w:sz="4" w:space="0" w:color="auto"/>
              <w:bottom w:val="single" w:sz="4" w:space="0" w:color="auto"/>
              <w:right w:val="single" w:sz="4" w:space="0" w:color="auto"/>
            </w:tcBorders>
          </w:tcPr>
          <w:p w14:paraId="4C647C75" w14:textId="03AAD202"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Rešitve za shranjevanje električne energije</w:t>
            </w:r>
          </w:p>
        </w:tc>
        <w:tc>
          <w:tcPr>
            <w:tcW w:w="1381" w:type="dxa"/>
            <w:tcBorders>
              <w:top w:val="single" w:sz="4" w:space="0" w:color="auto"/>
              <w:left w:val="single" w:sz="4" w:space="0" w:color="auto"/>
              <w:bottom w:val="single" w:sz="4" w:space="0" w:color="auto"/>
              <w:right w:val="single" w:sz="4" w:space="0" w:color="auto"/>
            </w:tcBorders>
          </w:tcPr>
          <w:p w14:paraId="460770F7" w14:textId="4B473C0A"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t>Število projektov</w:t>
            </w:r>
          </w:p>
        </w:tc>
        <w:tc>
          <w:tcPr>
            <w:tcW w:w="1369" w:type="dxa"/>
            <w:tcBorders>
              <w:top w:val="single" w:sz="4" w:space="0" w:color="auto"/>
              <w:left w:val="single" w:sz="4" w:space="0" w:color="auto"/>
              <w:bottom w:val="single" w:sz="4" w:space="0" w:color="auto"/>
              <w:right w:val="single" w:sz="4" w:space="0" w:color="auto"/>
            </w:tcBorders>
          </w:tcPr>
          <w:p w14:paraId="2685931E" w14:textId="06D73702"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t>0</w:t>
            </w:r>
          </w:p>
        </w:tc>
        <w:tc>
          <w:tcPr>
            <w:tcW w:w="1441" w:type="dxa"/>
          </w:tcPr>
          <w:p w14:paraId="6D69A223" w14:textId="0966065F"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t>1</w:t>
            </w:r>
          </w:p>
        </w:tc>
      </w:tr>
      <w:tr w:rsidR="00F61186" w:rsidRPr="003D4439" w14:paraId="7E440945" w14:textId="77777777" w:rsidTr="002A4554">
        <w:trPr>
          <w:gridAfter w:val="1"/>
          <w:wAfter w:w="16" w:type="dxa"/>
          <w:trHeight w:val="978"/>
        </w:trPr>
        <w:tc>
          <w:tcPr>
            <w:tcW w:w="3114" w:type="dxa"/>
            <w:tcBorders>
              <w:top w:val="single" w:sz="4" w:space="0" w:color="auto"/>
              <w:left w:val="single" w:sz="4" w:space="0" w:color="auto"/>
              <w:bottom w:val="single" w:sz="4" w:space="0" w:color="auto"/>
              <w:right w:val="single" w:sz="4" w:space="0" w:color="auto"/>
            </w:tcBorders>
          </w:tcPr>
          <w:p w14:paraId="5D56C03D" w14:textId="1871A25F" w:rsidR="00F61186" w:rsidRPr="00595853" w:rsidRDefault="00F61186" w:rsidP="00F61186">
            <w:pPr>
              <w:spacing w:before="0" w:after="0" w:line="276" w:lineRule="auto"/>
              <w:jc w:val="left"/>
              <w:rPr>
                <w:rFonts w:ascii="Calibri" w:hAnsi="Calibri" w:cs="Calibri"/>
                <w:b/>
                <w:sz w:val="20"/>
              </w:rPr>
            </w:pPr>
            <w:r w:rsidRPr="00595853">
              <w:rPr>
                <w:rFonts w:ascii="Calibri" w:hAnsi="Calibri" w:cs="Calibri"/>
                <w:b/>
                <w:sz w:val="20"/>
              </w:rPr>
              <w:t>Trajnostni, prožni in raznolik gospodarski razvoj</w:t>
            </w:r>
          </w:p>
        </w:tc>
        <w:tc>
          <w:tcPr>
            <w:tcW w:w="1315" w:type="dxa"/>
            <w:gridSpan w:val="2"/>
            <w:tcBorders>
              <w:top w:val="single" w:sz="4" w:space="0" w:color="auto"/>
              <w:left w:val="single" w:sz="4" w:space="0" w:color="auto"/>
              <w:bottom w:val="single" w:sz="4" w:space="0" w:color="auto"/>
              <w:right w:val="single" w:sz="4" w:space="0" w:color="auto"/>
            </w:tcBorders>
          </w:tcPr>
          <w:p w14:paraId="6419C5CA" w14:textId="38B9B244"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Programsko specifični kazalnik</w:t>
            </w:r>
          </w:p>
        </w:tc>
        <w:tc>
          <w:tcPr>
            <w:tcW w:w="3079" w:type="dxa"/>
            <w:tcBorders>
              <w:top w:val="single" w:sz="4" w:space="0" w:color="auto"/>
              <w:left w:val="single" w:sz="4" w:space="0" w:color="auto"/>
              <w:bottom w:val="single" w:sz="4" w:space="0" w:color="auto"/>
              <w:right w:val="single" w:sz="4" w:space="0" w:color="auto"/>
            </w:tcBorders>
          </w:tcPr>
          <w:p w14:paraId="4BC5CA39" w14:textId="10862011" w:rsidR="00F61186" w:rsidRPr="00595853" w:rsidRDefault="00D83B7A" w:rsidP="00D83B7A">
            <w:pPr>
              <w:spacing w:before="0" w:after="0" w:line="276" w:lineRule="auto"/>
              <w:jc w:val="left"/>
              <w:rPr>
                <w:rFonts w:ascii="Calibri" w:hAnsi="Calibri" w:cs="Calibri"/>
                <w:b/>
                <w:sz w:val="20"/>
              </w:rPr>
            </w:pPr>
            <w:r w:rsidRPr="00595853">
              <w:rPr>
                <w:rFonts w:ascii="Calibri" w:hAnsi="Calibri" w:cs="Calibri"/>
                <w:b/>
                <w:sz w:val="20"/>
              </w:rPr>
              <w:t>Urejene površine za gospodarsko dejavnost</w:t>
            </w:r>
          </w:p>
        </w:tc>
        <w:tc>
          <w:tcPr>
            <w:tcW w:w="1381" w:type="dxa"/>
          </w:tcPr>
          <w:p w14:paraId="7DEBBF80" w14:textId="59D2AFF5" w:rsidR="00F61186" w:rsidRPr="00595853" w:rsidRDefault="00D83B7A" w:rsidP="00F61186">
            <w:pPr>
              <w:spacing w:before="0" w:after="0" w:line="276" w:lineRule="auto"/>
              <w:rPr>
                <w:rFonts w:ascii="Calibri" w:hAnsi="Calibri" w:cs="Calibri"/>
                <w:b/>
                <w:sz w:val="20"/>
                <w:vertAlign w:val="superscript"/>
              </w:rPr>
            </w:pPr>
            <w:r w:rsidRPr="00595853">
              <w:rPr>
                <w:rFonts w:ascii="Calibri" w:hAnsi="Calibri" w:cs="Calibri"/>
                <w:b/>
                <w:sz w:val="20"/>
              </w:rPr>
              <w:t>m</w:t>
            </w:r>
            <w:r w:rsidRPr="00595853">
              <w:rPr>
                <w:rFonts w:ascii="Calibri" w:hAnsi="Calibri" w:cs="Calibri"/>
                <w:b/>
                <w:sz w:val="20"/>
                <w:vertAlign w:val="superscript"/>
              </w:rPr>
              <w:t>2</w:t>
            </w:r>
          </w:p>
        </w:tc>
        <w:tc>
          <w:tcPr>
            <w:tcW w:w="1369" w:type="dxa"/>
          </w:tcPr>
          <w:p w14:paraId="581E86B0" w14:textId="1993F549" w:rsidR="00F61186" w:rsidRPr="00595853" w:rsidRDefault="0086247E" w:rsidP="0086247E">
            <w:pPr>
              <w:spacing w:before="0" w:after="0" w:line="276" w:lineRule="auto"/>
              <w:jc w:val="left"/>
              <w:rPr>
                <w:rFonts w:ascii="Calibri" w:hAnsi="Calibri" w:cs="Calibri"/>
                <w:sz w:val="20"/>
              </w:rPr>
            </w:pPr>
            <w:r w:rsidRPr="00595853">
              <w:rPr>
                <w:rFonts w:ascii="Calibri" w:hAnsi="Calibri" w:cs="Calibri"/>
                <w:sz w:val="20"/>
              </w:rPr>
              <w:t>Vrednost bo opredeljena naknadno</w:t>
            </w:r>
          </w:p>
        </w:tc>
        <w:tc>
          <w:tcPr>
            <w:tcW w:w="1441" w:type="dxa"/>
          </w:tcPr>
          <w:p w14:paraId="2621EB13" w14:textId="1C8432E7" w:rsidR="00F61186" w:rsidRPr="00595853" w:rsidRDefault="0086247E" w:rsidP="00F61186">
            <w:pPr>
              <w:spacing w:before="0" w:after="0" w:line="276" w:lineRule="auto"/>
              <w:rPr>
                <w:rFonts w:ascii="Calibri" w:hAnsi="Calibri" w:cs="Calibri"/>
                <w:b/>
                <w:sz w:val="20"/>
              </w:rPr>
            </w:pPr>
            <w:r w:rsidRPr="00595853">
              <w:rPr>
                <w:rFonts w:ascii="Calibri" w:hAnsi="Calibri" w:cs="Calibri"/>
                <w:sz w:val="20"/>
              </w:rPr>
              <w:t>Vrednost bo opredeljena naknadno</w:t>
            </w:r>
          </w:p>
        </w:tc>
      </w:tr>
      <w:tr w:rsidR="00F61186" w:rsidRPr="003D4439" w14:paraId="2C1B20A5" w14:textId="77777777" w:rsidTr="002A4554">
        <w:trPr>
          <w:gridAfter w:val="1"/>
          <w:wAfter w:w="16" w:type="dxa"/>
          <w:trHeight w:val="707"/>
        </w:trPr>
        <w:tc>
          <w:tcPr>
            <w:tcW w:w="3114" w:type="dxa"/>
            <w:tcBorders>
              <w:top w:val="single" w:sz="4" w:space="0" w:color="auto"/>
              <w:left w:val="single" w:sz="4" w:space="0" w:color="auto"/>
              <w:bottom w:val="single" w:sz="4" w:space="0" w:color="auto"/>
              <w:right w:val="single" w:sz="4" w:space="0" w:color="auto"/>
            </w:tcBorders>
          </w:tcPr>
          <w:p w14:paraId="1324A650"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000D037D"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01</w:t>
            </w:r>
          </w:p>
        </w:tc>
        <w:tc>
          <w:tcPr>
            <w:tcW w:w="3079" w:type="dxa"/>
            <w:tcBorders>
              <w:top w:val="single" w:sz="4" w:space="0" w:color="auto"/>
              <w:left w:val="single" w:sz="4" w:space="0" w:color="auto"/>
              <w:bottom w:val="single" w:sz="4" w:space="0" w:color="auto"/>
              <w:right w:val="single" w:sz="4" w:space="0" w:color="auto"/>
            </w:tcBorders>
          </w:tcPr>
          <w:p w14:paraId="0E4B7D46"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Brezposelni, vključno z dolgotrajno brezposelnimi</w:t>
            </w:r>
          </w:p>
        </w:tc>
        <w:tc>
          <w:tcPr>
            <w:tcW w:w="1381" w:type="dxa"/>
          </w:tcPr>
          <w:p w14:paraId="01119604"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1AB4BF56"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800</w:t>
            </w:r>
          </w:p>
        </w:tc>
        <w:tc>
          <w:tcPr>
            <w:tcW w:w="1441" w:type="dxa"/>
          </w:tcPr>
          <w:p w14:paraId="231D0A26"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2800</w:t>
            </w:r>
          </w:p>
        </w:tc>
      </w:tr>
      <w:tr w:rsidR="00F61186" w:rsidRPr="003D4439" w14:paraId="447DEFD7" w14:textId="77777777" w:rsidTr="002A4554">
        <w:trPr>
          <w:gridAfter w:val="1"/>
          <w:wAfter w:w="16" w:type="dxa"/>
          <w:trHeight w:val="562"/>
        </w:trPr>
        <w:tc>
          <w:tcPr>
            <w:tcW w:w="3114" w:type="dxa"/>
            <w:tcBorders>
              <w:top w:val="single" w:sz="4" w:space="0" w:color="auto"/>
              <w:left w:val="single" w:sz="4" w:space="0" w:color="auto"/>
              <w:bottom w:val="single" w:sz="4" w:space="0" w:color="auto"/>
              <w:right w:val="single" w:sz="4" w:space="0" w:color="auto"/>
            </w:tcBorders>
          </w:tcPr>
          <w:p w14:paraId="27C02B0E"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12407066"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02</w:t>
            </w:r>
          </w:p>
        </w:tc>
        <w:tc>
          <w:tcPr>
            <w:tcW w:w="3079" w:type="dxa"/>
            <w:tcBorders>
              <w:top w:val="single" w:sz="4" w:space="0" w:color="auto"/>
              <w:left w:val="single" w:sz="4" w:space="0" w:color="auto"/>
              <w:bottom w:val="single" w:sz="4" w:space="0" w:color="auto"/>
              <w:right w:val="single" w:sz="4" w:space="0" w:color="auto"/>
            </w:tcBorders>
          </w:tcPr>
          <w:p w14:paraId="4D24ACA4"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Dolgotrajno brezposelni</w:t>
            </w:r>
          </w:p>
        </w:tc>
        <w:tc>
          <w:tcPr>
            <w:tcW w:w="1381" w:type="dxa"/>
          </w:tcPr>
          <w:p w14:paraId="12FFFEE3"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01E20A75"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300</w:t>
            </w:r>
          </w:p>
        </w:tc>
        <w:tc>
          <w:tcPr>
            <w:tcW w:w="1441" w:type="dxa"/>
          </w:tcPr>
          <w:p w14:paraId="57B7E2A0"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1120</w:t>
            </w:r>
          </w:p>
        </w:tc>
      </w:tr>
      <w:tr w:rsidR="00F61186" w:rsidRPr="003D4439" w14:paraId="4D9E3E2A" w14:textId="77777777" w:rsidTr="002A4554">
        <w:trPr>
          <w:gridAfter w:val="1"/>
          <w:wAfter w:w="16" w:type="dxa"/>
          <w:trHeight w:val="270"/>
        </w:trPr>
        <w:tc>
          <w:tcPr>
            <w:tcW w:w="3114" w:type="dxa"/>
            <w:tcBorders>
              <w:top w:val="single" w:sz="6" w:space="0" w:color="000000"/>
              <w:left w:val="single" w:sz="6" w:space="0" w:color="000000"/>
              <w:bottom w:val="single" w:sz="6" w:space="0" w:color="000000"/>
              <w:right w:val="single" w:sz="6" w:space="0" w:color="000000"/>
            </w:tcBorders>
            <w:vAlign w:val="center"/>
          </w:tcPr>
          <w:p w14:paraId="2E66E22C"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6" w:space="0" w:color="000000"/>
              <w:left w:val="single" w:sz="6" w:space="0" w:color="000000"/>
              <w:bottom w:val="single" w:sz="6" w:space="0" w:color="000000"/>
              <w:right w:val="single" w:sz="6" w:space="0" w:color="000000"/>
            </w:tcBorders>
            <w:vAlign w:val="center"/>
          </w:tcPr>
          <w:p w14:paraId="3BFF8E5F" w14:textId="77777777" w:rsidR="00F61186" w:rsidRPr="00595853" w:rsidRDefault="00F61186" w:rsidP="00F61186">
            <w:pPr>
              <w:spacing w:before="0" w:after="0" w:line="276" w:lineRule="auto"/>
              <w:rPr>
                <w:rFonts w:ascii="Calibri" w:hAnsi="Calibri" w:cs="Calibri"/>
                <w:b/>
                <w:bCs/>
                <w:sz w:val="20"/>
              </w:rPr>
            </w:pPr>
            <w:r w:rsidRPr="00595853">
              <w:rPr>
                <w:rFonts w:ascii="Calibri" w:hAnsi="Calibri" w:cs="Calibri"/>
                <w:b/>
                <w:bCs/>
                <w:sz w:val="20"/>
              </w:rPr>
              <w:t>Programsko specifični kazalnik</w:t>
            </w:r>
          </w:p>
        </w:tc>
        <w:tc>
          <w:tcPr>
            <w:tcW w:w="3079" w:type="dxa"/>
            <w:tcBorders>
              <w:top w:val="single" w:sz="6" w:space="0" w:color="000000"/>
              <w:left w:val="single" w:sz="6" w:space="0" w:color="000000"/>
              <w:bottom w:val="single" w:sz="6" w:space="0" w:color="000000"/>
              <w:right w:val="single" w:sz="6" w:space="0" w:color="000000"/>
            </w:tcBorders>
            <w:vAlign w:val="center"/>
          </w:tcPr>
          <w:p w14:paraId="5605AAED" w14:textId="71C4E1CF" w:rsidR="00F61186" w:rsidRPr="00595853" w:rsidRDefault="00F61186" w:rsidP="00595853">
            <w:pPr>
              <w:spacing w:before="0" w:after="0" w:line="276" w:lineRule="auto"/>
              <w:jc w:val="left"/>
              <w:rPr>
                <w:rFonts w:ascii="Calibri" w:hAnsi="Calibri" w:cs="Calibri"/>
                <w:b/>
                <w:bCs/>
                <w:sz w:val="20"/>
              </w:rPr>
            </w:pPr>
            <w:r w:rsidRPr="00595853">
              <w:rPr>
                <w:rFonts w:ascii="Calibri" w:hAnsi="Calibri" w:cs="Calibri"/>
                <w:b/>
                <w:bCs/>
                <w:sz w:val="20"/>
              </w:rPr>
              <w:t>Število organizacij ki so vključene v razvojne projekte za izboljšanje znanja spretnosti in kompetenc</w:t>
            </w:r>
          </w:p>
        </w:tc>
        <w:tc>
          <w:tcPr>
            <w:tcW w:w="1381" w:type="dxa"/>
            <w:tcBorders>
              <w:top w:val="single" w:sz="6" w:space="0" w:color="000000"/>
              <w:left w:val="single" w:sz="6" w:space="0" w:color="000000"/>
              <w:bottom w:val="single" w:sz="6" w:space="0" w:color="000000"/>
              <w:right w:val="single" w:sz="6" w:space="0" w:color="000000"/>
            </w:tcBorders>
            <w:vAlign w:val="center"/>
          </w:tcPr>
          <w:p w14:paraId="327B2CD3" w14:textId="77777777" w:rsidR="00F61186" w:rsidRPr="00595853" w:rsidRDefault="00F61186" w:rsidP="00F61186">
            <w:pPr>
              <w:spacing w:before="0" w:after="0" w:line="276" w:lineRule="auto"/>
              <w:rPr>
                <w:rFonts w:ascii="Calibri" w:hAnsi="Calibri" w:cs="Calibri"/>
                <w:b/>
                <w:bCs/>
                <w:sz w:val="20"/>
              </w:rPr>
            </w:pPr>
            <w:r w:rsidRPr="00595853">
              <w:rPr>
                <w:rFonts w:ascii="Calibri" w:hAnsi="Calibri" w:cs="Calibri"/>
                <w:b/>
                <w:bCs/>
                <w:sz w:val="20"/>
              </w:rPr>
              <w:t>Število</w:t>
            </w:r>
          </w:p>
        </w:tc>
        <w:tc>
          <w:tcPr>
            <w:tcW w:w="1369" w:type="dxa"/>
            <w:tcBorders>
              <w:top w:val="single" w:sz="6" w:space="0" w:color="000000"/>
              <w:left w:val="single" w:sz="6" w:space="0" w:color="000000"/>
              <w:bottom w:val="single" w:sz="6" w:space="0" w:color="000000"/>
              <w:right w:val="single" w:sz="6" w:space="0" w:color="000000"/>
            </w:tcBorders>
            <w:vAlign w:val="center"/>
          </w:tcPr>
          <w:p w14:paraId="3A73759E" w14:textId="77777777" w:rsidR="00F61186" w:rsidRPr="00595853" w:rsidRDefault="00F61186" w:rsidP="00F61186">
            <w:pPr>
              <w:spacing w:before="0" w:after="0" w:line="276" w:lineRule="auto"/>
              <w:rPr>
                <w:rFonts w:ascii="Calibri" w:hAnsi="Calibri" w:cs="Calibri"/>
                <w:b/>
                <w:bCs/>
                <w:sz w:val="20"/>
              </w:rPr>
            </w:pPr>
            <w:r w:rsidRPr="00595853">
              <w:rPr>
                <w:rFonts w:ascii="Calibri" w:hAnsi="Calibri" w:cs="Calibri"/>
                <w:b/>
                <w:bCs/>
                <w:sz w:val="20"/>
              </w:rPr>
              <w:t>6</w:t>
            </w:r>
          </w:p>
        </w:tc>
        <w:tc>
          <w:tcPr>
            <w:tcW w:w="1441" w:type="dxa"/>
            <w:tcBorders>
              <w:top w:val="single" w:sz="6" w:space="0" w:color="000000"/>
              <w:left w:val="single" w:sz="6" w:space="0" w:color="000000"/>
              <w:bottom w:val="single" w:sz="6" w:space="0" w:color="000000"/>
              <w:right w:val="single" w:sz="6" w:space="0" w:color="000000"/>
            </w:tcBorders>
            <w:vAlign w:val="center"/>
          </w:tcPr>
          <w:p w14:paraId="7A73F581" w14:textId="77777777" w:rsidR="00F61186" w:rsidRPr="00595853" w:rsidRDefault="00F61186" w:rsidP="00F61186">
            <w:pPr>
              <w:spacing w:before="0" w:after="0" w:line="276" w:lineRule="auto"/>
              <w:rPr>
                <w:rFonts w:ascii="Calibri" w:hAnsi="Calibri" w:cs="Calibri"/>
                <w:b/>
                <w:bCs/>
                <w:sz w:val="20"/>
              </w:rPr>
            </w:pPr>
            <w:r w:rsidRPr="00595853">
              <w:rPr>
                <w:rFonts w:ascii="Calibri" w:hAnsi="Calibri" w:cs="Calibri"/>
                <w:b/>
                <w:bCs/>
                <w:sz w:val="20"/>
              </w:rPr>
              <w:t>23</w:t>
            </w:r>
          </w:p>
        </w:tc>
      </w:tr>
      <w:tr w:rsidR="00F61186" w:rsidRPr="003D4439" w14:paraId="5BB8DB65" w14:textId="77777777" w:rsidTr="002A4554">
        <w:trPr>
          <w:gridAfter w:val="1"/>
          <w:wAfter w:w="16" w:type="dxa"/>
          <w:trHeight w:val="392"/>
        </w:trPr>
        <w:tc>
          <w:tcPr>
            <w:tcW w:w="3114" w:type="dxa"/>
            <w:tcBorders>
              <w:top w:val="single" w:sz="4" w:space="0" w:color="auto"/>
              <w:left w:val="single" w:sz="4" w:space="0" w:color="auto"/>
              <w:bottom w:val="single" w:sz="4" w:space="0" w:color="auto"/>
              <w:right w:val="single" w:sz="4" w:space="0" w:color="auto"/>
            </w:tcBorders>
          </w:tcPr>
          <w:p w14:paraId="7663E39B"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711FA751"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05</w:t>
            </w:r>
          </w:p>
        </w:tc>
        <w:tc>
          <w:tcPr>
            <w:tcW w:w="3079" w:type="dxa"/>
            <w:tcBorders>
              <w:top w:val="single" w:sz="4" w:space="0" w:color="auto"/>
              <w:left w:val="single" w:sz="4" w:space="0" w:color="auto"/>
              <w:bottom w:val="single" w:sz="4" w:space="0" w:color="auto"/>
              <w:right w:val="single" w:sz="4" w:space="0" w:color="auto"/>
            </w:tcBorders>
          </w:tcPr>
          <w:p w14:paraId="6662D1EC"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Število otrok, mlajših od 18 let</w:t>
            </w:r>
          </w:p>
        </w:tc>
        <w:tc>
          <w:tcPr>
            <w:tcW w:w="1381" w:type="dxa"/>
          </w:tcPr>
          <w:p w14:paraId="781C428B"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6F31B957"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20</w:t>
            </w:r>
          </w:p>
        </w:tc>
        <w:tc>
          <w:tcPr>
            <w:tcW w:w="1441" w:type="dxa"/>
          </w:tcPr>
          <w:p w14:paraId="61A03FB5"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50</w:t>
            </w:r>
          </w:p>
        </w:tc>
      </w:tr>
      <w:tr w:rsidR="00F61186" w:rsidRPr="003D4439" w14:paraId="5F325F1A" w14:textId="77777777" w:rsidTr="002A4554">
        <w:trPr>
          <w:gridAfter w:val="1"/>
          <w:wAfter w:w="16" w:type="dxa"/>
          <w:trHeight w:val="559"/>
        </w:trPr>
        <w:tc>
          <w:tcPr>
            <w:tcW w:w="3114" w:type="dxa"/>
            <w:tcBorders>
              <w:top w:val="single" w:sz="4" w:space="0" w:color="auto"/>
              <w:left w:val="single" w:sz="4" w:space="0" w:color="auto"/>
              <w:bottom w:val="single" w:sz="4" w:space="0" w:color="auto"/>
              <w:right w:val="single" w:sz="4" w:space="0" w:color="auto"/>
            </w:tcBorders>
          </w:tcPr>
          <w:p w14:paraId="5DC586F5"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7DD759F7"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07</w:t>
            </w:r>
          </w:p>
        </w:tc>
        <w:tc>
          <w:tcPr>
            <w:tcW w:w="3079" w:type="dxa"/>
            <w:tcBorders>
              <w:top w:val="single" w:sz="4" w:space="0" w:color="auto"/>
              <w:left w:val="single" w:sz="4" w:space="0" w:color="auto"/>
              <w:bottom w:val="single" w:sz="4" w:space="0" w:color="auto"/>
              <w:right w:val="single" w:sz="4" w:space="0" w:color="auto"/>
            </w:tcBorders>
          </w:tcPr>
          <w:p w14:paraId="49A34753"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Število udeležencev, starih 55 in več</w:t>
            </w:r>
          </w:p>
        </w:tc>
        <w:tc>
          <w:tcPr>
            <w:tcW w:w="1381" w:type="dxa"/>
          </w:tcPr>
          <w:p w14:paraId="17F418E4"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0A6B9F39"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80</w:t>
            </w:r>
          </w:p>
        </w:tc>
        <w:tc>
          <w:tcPr>
            <w:tcW w:w="1441" w:type="dxa"/>
          </w:tcPr>
          <w:p w14:paraId="5DC8109E"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250</w:t>
            </w:r>
          </w:p>
        </w:tc>
      </w:tr>
      <w:tr w:rsidR="00F61186" w:rsidRPr="003D4439" w14:paraId="5EEB157C" w14:textId="77777777" w:rsidTr="002A4554">
        <w:trPr>
          <w:gridAfter w:val="1"/>
          <w:wAfter w:w="16" w:type="dxa"/>
          <w:trHeight w:val="412"/>
        </w:trPr>
        <w:tc>
          <w:tcPr>
            <w:tcW w:w="3114" w:type="dxa"/>
            <w:tcBorders>
              <w:top w:val="single" w:sz="4" w:space="0" w:color="auto"/>
              <w:left w:val="single" w:sz="4" w:space="0" w:color="auto"/>
              <w:bottom w:val="single" w:sz="4" w:space="0" w:color="auto"/>
              <w:right w:val="single" w:sz="4" w:space="0" w:color="auto"/>
            </w:tcBorders>
          </w:tcPr>
          <w:p w14:paraId="2A776341"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4127834A"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08</w:t>
            </w:r>
          </w:p>
        </w:tc>
        <w:tc>
          <w:tcPr>
            <w:tcW w:w="3079" w:type="dxa"/>
            <w:tcBorders>
              <w:top w:val="single" w:sz="4" w:space="0" w:color="auto"/>
              <w:left w:val="single" w:sz="4" w:space="0" w:color="auto"/>
              <w:bottom w:val="single" w:sz="4" w:space="0" w:color="auto"/>
              <w:right w:val="single" w:sz="4" w:space="0" w:color="auto"/>
            </w:tcBorders>
          </w:tcPr>
          <w:p w14:paraId="23E47D16" w14:textId="0972664C"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Izobrazbo ali manj (ISCED 0-2)</w:t>
            </w:r>
          </w:p>
        </w:tc>
        <w:tc>
          <w:tcPr>
            <w:tcW w:w="1381" w:type="dxa"/>
          </w:tcPr>
          <w:p w14:paraId="0F9F683F"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716EF5A7"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100</w:t>
            </w:r>
          </w:p>
        </w:tc>
        <w:tc>
          <w:tcPr>
            <w:tcW w:w="1441" w:type="dxa"/>
          </w:tcPr>
          <w:p w14:paraId="48D2ED6C"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270</w:t>
            </w:r>
          </w:p>
        </w:tc>
      </w:tr>
      <w:tr w:rsidR="00F61186" w:rsidRPr="003D4439" w14:paraId="0B981220" w14:textId="77777777" w:rsidTr="002A4554">
        <w:trPr>
          <w:gridAfter w:val="1"/>
          <w:wAfter w:w="16" w:type="dxa"/>
          <w:trHeight w:val="985"/>
        </w:trPr>
        <w:tc>
          <w:tcPr>
            <w:tcW w:w="3114" w:type="dxa"/>
            <w:tcBorders>
              <w:top w:val="single" w:sz="4" w:space="0" w:color="auto"/>
              <w:left w:val="single" w:sz="4" w:space="0" w:color="auto"/>
              <w:bottom w:val="single" w:sz="4" w:space="0" w:color="auto"/>
              <w:right w:val="single" w:sz="4" w:space="0" w:color="auto"/>
            </w:tcBorders>
          </w:tcPr>
          <w:p w14:paraId="7BA41A4C"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6191D729"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09</w:t>
            </w:r>
          </w:p>
        </w:tc>
        <w:tc>
          <w:tcPr>
            <w:tcW w:w="3079" w:type="dxa"/>
            <w:tcBorders>
              <w:top w:val="single" w:sz="4" w:space="0" w:color="auto"/>
              <w:left w:val="single" w:sz="4" w:space="0" w:color="auto"/>
              <w:bottom w:val="single" w:sz="4" w:space="0" w:color="auto"/>
              <w:right w:val="single" w:sz="4" w:space="0" w:color="auto"/>
            </w:tcBorders>
          </w:tcPr>
          <w:p w14:paraId="32F81BFC"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Z višjo sekundarno (ISCED 3) ali postsekundarno izobrazbo (ISCED 4)</w:t>
            </w:r>
          </w:p>
        </w:tc>
        <w:tc>
          <w:tcPr>
            <w:tcW w:w="1381" w:type="dxa"/>
          </w:tcPr>
          <w:p w14:paraId="73564F16"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5124F634"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470</w:t>
            </w:r>
          </w:p>
        </w:tc>
        <w:tc>
          <w:tcPr>
            <w:tcW w:w="1441" w:type="dxa"/>
          </w:tcPr>
          <w:p w14:paraId="1206026F"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1600</w:t>
            </w:r>
          </w:p>
        </w:tc>
      </w:tr>
      <w:tr w:rsidR="00F61186" w:rsidRPr="003D4439" w14:paraId="0CAFACD8" w14:textId="77777777" w:rsidTr="002A4554">
        <w:trPr>
          <w:gridAfter w:val="1"/>
          <w:wAfter w:w="16" w:type="dxa"/>
          <w:trHeight w:val="560"/>
        </w:trPr>
        <w:tc>
          <w:tcPr>
            <w:tcW w:w="3114" w:type="dxa"/>
            <w:tcBorders>
              <w:top w:val="single" w:sz="4" w:space="0" w:color="auto"/>
              <w:left w:val="single" w:sz="4" w:space="0" w:color="auto"/>
              <w:bottom w:val="single" w:sz="4" w:space="0" w:color="auto"/>
              <w:right w:val="single" w:sz="4" w:space="0" w:color="auto"/>
            </w:tcBorders>
          </w:tcPr>
          <w:p w14:paraId="63FC1922" w14:textId="77777777" w:rsidR="00F61186" w:rsidRPr="00595853" w:rsidRDefault="00F61186" w:rsidP="00F61186">
            <w:pPr>
              <w:spacing w:before="0" w:after="0" w:line="276" w:lineRule="auto"/>
              <w:jc w:val="left"/>
              <w:rPr>
                <w:rFonts w:ascii="Calibri" w:hAnsi="Calibri" w:cs="Calibri"/>
                <w:b/>
                <w:bCs/>
                <w:sz w:val="20"/>
              </w:rPr>
            </w:pPr>
            <w:r w:rsidRPr="00595853">
              <w:rPr>
                <w:rFonts w:ascii="Calibri" w:hAnsi="Calibri" w:cs="Calibri"/>
                <w:b/>
                <w:bCs/>
                <w:sz w:val="20"/>
              </w:rPr>
              <w:t>Zaposlitve in veščine za vse</w:t>
            </w:r>
          </w:p>
        </w:tc>
        <w:tc>
          <w:tcPr>
            <w:tcW w:w="1315" w:type="dxa"/>
            <w:gridSpan w:val="2"/>
            <w:tcBorders>
              <w:top w:val="single" w:sz="4" w:space="0" w:color="auto"/>
              <w:left w:val="single" w:sz="4" w:space="0" w:color="auto"/>
              <w:bottom w:val="single" w:sz="4" w:space="0" w:color="auto"/>
              <w:right w:val="single" w:sz="4" w:space="0" w:color="auto"/>
            </w:tcBorders>
          </w:tcPr>
          <w:p w14:paraId="595D2071"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EECO 10</w:t>
            </w:r>
          </w:p>
        </w:tc>
        <w:tc>
          <w:tcPr>
            <w:tcW w:w="3079" w:type="dxa"/>
            <w:tcBorders>
              <w:top w:val="single" w:sz="4" w:space="0" w:color="auto"/>
              <w:left w:val="single" w:sz="4" w:space="0" w:color="auto"/>
              <w:bottom w:val="single" w:sz="4" w:space="0" w:color="auto"/>
              <w:right w:val="single" w:sz="4" w:space="0" w:color="auto"/>
            </w:tcBorders>
          </w:tcPr>
          <w:p w14:paraId="64B268E3" w14:textId="77777777" w:rsidR="00F61186" w:rsidRPr="00595853" w:rsidRDefault="00F61186" w:rsidP="00D83B7A">
            <w:pPr>
              <w:spacing w:before="0" w:after="0" w:line="276" w:lineRule="auto"/>
              <w:jc w:val="left"/>
              <w:rPr>
                <w:rFonts w:ascii="Calibri" w:hAnsi="Calibri" w:cs="Calibri"/>
                <w:b/>
                <w:sz w:val="20"/>
              </w:rPr>
            </w:pPr>
            <w:r w:rsidRPr="00595853">
              <w:rPr>
                <w:rFonts w:ascii="Calibri" w:hAnsi="Calibri" w:cs="Calibri"/>
                <w:b/>
                <w:sz w:val="20"/>
              </w:rPr>
              <w:t>S terciarno izobrazbo (ISCED 5-8)</w:t>
            </w:r>
          </w:p>
        </w:tc>
        <w:tc>
          <w:tcPr>
            <w:tcW w:w="1381" w:type="dxa"/>
          </w:tcPr>
          <w:p w14:paraId="2B6EC480"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Število oseb</w:t>
            </w:r>
          </w:p>
        </w:tc>
        <w:tc>
          <w:tcPr>
            <w:tcW w:w="1369" w:type="dxa"/>
          </w:tcPr>
          <w:p w14:paraId="53753BE3"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300</w:t>
            </w:r>
          </w:p>
        </w:tc>
        <w:tc>
          <w:tcPr>
            <w:tcW w:w="1441" w:type="dxa"/>
          </w:tcPr>
          <w:p w14:paraId="5387680D" w14:textId="77777777" w:rsidR="00F61186" w:rsidRPr="00595853" w:rsidRDefault="00F61186" w:rsidP="00F61186">
            <w:pPr>
              <w:spacing w:before="0" w:after="0" w:line="276" w:lineRule="auto"/>
              <w:rPr>
                <w:rFonts w:ascii="Calibri" w:hAnsi="Calibri" w:cs="Calibri"/>
                <w:b/>
                <w:sz w:val="20"/>
              </w:rPr>
            </w:pPr>
            <w:r w:rsidRPr="00595853">
              <w:rPr>
                <w:rFonts w:ascii="Calibri" w:hAnsi="Calibri" w:cs="Calibri"/>
                <w:b/>
                <w:sz w:val="20"/>
              </w:rPr>
              <w:t>930</w:t>
            </w:r>
          </w:p>
        </w:tc>
      </w:tr>
    </w:tbl>
    <w:p w14:paraId="7973897B" w14:textId="11E50969" w:rsidR="002A4554" w:rsidRDefault="002A4554" w:rsidP="003D4439">
      <w:pPr>
        <w:spacing w:before="0" w:after="0" w:line="276" w:lineRule="auto"/>
        <w:rPr>
          <w:rFonts w:asciiTheme="minorHAnsi" w:hAnsiTheme="minorHAnsi" w:cstheme="minorHAnsi"/>
          <w:b/>
          <w:sz w:val="22"/>
        </w:rPr>
      </w:pPr>
    </w:p>
    <w:p w14:paraId="1AA6CC4D" w14:textId="77777777" w:rsidR="002A4554" w:rsidRDefault="002A4554">
      <w:pPr>
        <w:spacing w:before="0" w:after="160" w:line="259" w:lineRule="auto"/>
        <w:jc w:val="left"/>
        <w:rPr>
          <w:rFonts w:asciiTheme="minorHAnsi" w:hAnsiTheme="minorHAnsi" w:cstheme="minorHAnsi"/>
          <w:b/>
          <w:sz w:val="22"/>
        </w:rPr>
      </w:pPr>
      <w:r>
        <w:rPr>
          <w:rFonts w:asciiTheme="minorHAnsi" w:hAnsiTheme="minorHAnsi" w:cstheme="minorHAnsi"/>
          <w:b/>
          <w:sz w:val="22"/>
        </w:rPr>
        <w:br w:type="page"/>
      </w:r>
    </w:p>
    <w:p w14:paraId="1007AF84" w14:textId="77777777" w:rsidR="003D4439" w:rsidRPr="003D4439" w:rsidRDefault="003D4439" w:rsidP="003D4439">
      <w:pPr>
        <w:spacing w:before="0" w:after="0" w:line="276" w:lineRule="auto"/>
        <w:rPr>
          <w:rFonts w:asciiTheme="minorHAnsi" w:hAnsiTheme="minorHAnsi" w:cstheme="minorHAnsi"/>
          <w:b/>
          <w:sz w:val="22"/>
        </w:rPr>
      </w:pPr>
    </w:p>
    <w:tbl>
      <w:tblPr>
        <w:tblStyle w:val="Tabelamrea"/>
        <w:tblW w:w="12610" w:type="dxa"/>
        <w:tblInd w:w="0" w:type="dxa"/>
        <w:tblLook w:val="04A0" w:firstRow="1" w:lastRow="0" w:firstColumn="1" w:lastColumn="0" w:noHBand="0" w:noVBand="1"/>
      </w:tblPr>
      <w:tblGrid>
        <w:gridCol w:w="1443"/>
        <w:gridCol w:w="1301"/>
        <w:gridCol w:w="2780"/>
        <w:gridCol w:w="893"/>
        <w:gridCol w:w="1202"/>
        <w:gridCol w:w="1257"/>
        <w:gridCol w:w="1121"/>
        <w:gridCol w:w="1211"/>
        <w:gridCol w:w="1395"/>
        <w:gridCol w:w="7"/>
      </w:tblGrid>
      <w:tr w:rsidR="003D4439" w:rsidRPr="003D4439" w14:paraId="7D2B6FD5" w14:textId="77777777" w:rsidTr="002A4554">
        <w:tc>
          <w:tcPr>
            <w:tcW w:w="12610" w:type="dxa"/>
            <w:gridSpan w:val="10"/>
            <w:tcBorders>
              <w:top w:val="single" w:sz="4" w:space="0" w:color="auto"/>
              <w:left w:val="single" w:sz="4" w:space="0" w:color="auto"/>
              <w:bottom w:val="single" w:sz="4" w:space="0" w:color="auto"/>
              <w:right w:val="single" w:sz="4" w:space="0" w:color="auto"/>
            </w:tcBorders>
            <w:hideMark/>
          </w:tcPr>
          <w:p w14:paraId="606E2918" w14:textId="77777777" w:rsidR="003D4439" w:rsidRPr="003D4439" w:rsidRDefault="003D4439" w:rsidP="003D4439">
            <w:pPr>
              <w:spacing w:before="0" w:after="0" w:line="276" w:lineRule="auto"/>
              <w:rPr>
                <w:rFonts w:asciiTheme="minorHAnsi" w:hAnsiTheme="minorHAnsi" w:cstheme="minorHAnsi"/>
                <w:b/>
                <w:sz w:val="22"/>
              </w:rPr>
            </w:pPr>
            <w:r w:rsidRPr="003D4439">
              <w:rPr>
                <w:rFonts w:asciiTheme="minorHAnsi" w:hAnsiTheme="minorHAnsi" w:cstheme="minorHAnsi"/>
                <w:b/>
                <w:sz w:val="22"/>
              </w:rPr>
              <w:t>Preglednica 2 Kazalniki rezultata</w:t>
            </w:r>
          </w:p>
        </w:tc>
      </w:tr>
      <w:tr w:rsidR="002970DA" w:rsidRPr="003D4439" w14:paraId="5B256313" w14:textId="77777777" w:rsidTr="002A4554">
        <w:trPr>
          <w:gridAfter w:val="1"/>
          <w:wAfter w:w="7" w:type="dxa"/>
          <w:trHeight w:val="699"/>
        </w:trPr>
        <w:tc>
          <w:tcPr>
            <w:tcW w:w="1443" w:type="dxa"/>
            <w:tcBorders>
              <w:top w:val="single" w:sz="4" w:space="0" w:color="auto"/>
              <w:left w:val="single" w:sz="4" w:space="0" w:color="auto"/>
              <w:bottom w:val="single" w:sz="4" w:space="0" w:color="auto"/>
              <w:right w:val="single" w:sz="4" w:space="0" w:color="auto"/>
            </w:tcBorders>
            <w:hideMark/>
          </w:tcPr>
          <w:p w14:paraId="066E30B9"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Posebni cilj</w:t>
            </w:r>
          </w:p>
        </w:tc>
        <w:tc>
          <w:tcPr>
            <w:tcW w:w="1301" w:type="dxa"/>
            <w:tcBorders>
              <w:top w:val="single" w:sz="4" w:space="0" w:color="auto"/>
              <w:left w:val="single" w:sz="4" w:space="0" w:color="auto"/>
              <w:bottom w:val="single" w:sz="4" w:space="0" w:color="auto"/>
              <w:right w:val="single" w:sz="4" w:space="0" w:color="auto"/>
            </w:tcBorders>
            <w:hideMark/>
          </w:tcPr>
          <w:p w14:paraId="4C4FE3E0"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ID [5]</w:t>
            </w:r>
          </w:p>
        </w:tc>
        <w:tc>
          <w:tcPr>
            <w:tcW w:w="2780" w:type="dxa"/>
            <w:tcBorders>
              <w:top w:val="single" w:sz="4" w:space="0" w:color="auto"/>
              <w:left w:val="single" w:sz="4" w:space="0" w:color="auto"/>
              <w:bottom w:val="single" w:sz="4" w:space="0" w:color="auto"/>
              <w:right w:val="single" w:sz="4" w:space="0" w:color="auto"/>
            </w:tcBorders>
            <w:hideMark/>
          </w:tcPr>
          <w:p w14:paraId="2FE5EAD5"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Kazalnik [255]</w:t>
            </w:r>
          </w:p>
        </w:tc>
        <w:tc>
          <w:tcPr>
            <w:tcW w:w="893" w:type="dxa"/>
            <w:tcBorders>
              <w:top w:val="single" w:sz="4" w:space="0" w:color="auto"/>
              <w:left w:val="single" w:sz="4" w:space="0" w:color="auto"/>
              <w:bottom w:val="single" w:sz="4" w:space="0" w:color="auto"/>
              <w:right w:val="single" w:sz="4" w:space="0" w:color="auto"/>
            </w:tcBorders>
            <w:hideMark/>
          </w:tcPr>
          <w:p w14:paraId="226EBAC8"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Merska enota</w:t>
            </w:r>
          </w:p>
        </w:tc>
        <w:tc>
          <w:tcPr>
            <w:tcW w:w="1202" w:type="dxa"/>
            <w:tcBorders>
              <w:top w:val="single" w:sz="4" w:space="0" w:color="auto"/>
              <w:left w:val="single" w:sz="4" w:space="0" w:color="auto"/>
              <w:bottom w:val="single" w:sz="4" w:space="0" w:color="auto"/>
              <w:right w:val="single" w:sz="4" w:space="0" w:color="auto"/>
            </w:tcBorders>
            <w:hideMark/>
          </w:tcPr>
          <w:p w14:paraId="0D00567D"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Izhodiščna ali referenčna vrednost</w:t>
            </w:r>
          </w:p>
        </w:tc>
        <w:tc>
          <w:tcPr>
            <w:tcW w:w="1257" w:type="dxa"/>
            <w:tcBorders>
              <w:top w:val="single" w:sz="4" w:space="0" w:color="auto"/>
              <w:left w:val="single" w:sz="4" w:space="0" w:color="auto"/>
              <w:bottom w:val="single" w:sz="4" w:space="0" w:color="auto"/>
              <w:right w:val="single" w:sz="4" w:space="0" w:color="auto"/>
            </w:tcBorders>
            <w:hideMark/>
          </w:tcPr>
          <w:p w14:paraId="6102A5FE"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Referenčno leto</w:t>
            </w:r>
          </w:p>
        </w:tc>
        <w:tc>
          <w:tcPr>
            <w:tcW w:w="1121" w:type="dxa"/>
            <w:tcBorders>
              <w:top w:val="single" w:sz="4" w:space="0" w:color="auto"/>
              <w:left w:val="single" w:sz="4" w:space="0" w:color="auto"/>
              <w:bottom w:val="single" w:sz="4" w:space="0" w:color="auto"/>
              <w:right w:val="single" w:sz="4" w:space="0" w:color="auto"/>
            </w:tcBorders>
            <w:hideMark/>
          </w:tcPr>
          <w:p w14:paraId="3DA6DE09"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Cilj (2029)</w:t>
            </w:r>
          </w:p>
        </w:tc>
        <w:tc>
          <w:tcPr>
            <w:tcW w:w="1211" w:type="dxa"/>
            <w:tcBorders>
              <w:top w:val="single" w:sz="4" w:space="0" w:color="auto"/>
              <w:left w:val="single" w:sz="4" w:space="0" w:color="auto"/>
              <w:bottom w:val="single" w:sz="4" w:space="0" w:color="auto"/>
              <w:right w:val="single" w:sz="4" w:space="0" w:color="auto"/>
            </w:tcBorders>
            <w:hideMark/>
          </w:tcPr>
          <w:p w14:paraId="45A0D42A"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Vir podatkov [200]</w:t>
            </w:r>
          </w:p>
        </w:tc>
        <w:tc>
          <w:tcPr>
            <w:tcW w:w="1395" w:type="dxa"/>
            <w:tcBorders>
              <w:top w:val="single" w:sz="4" w:space="0" w:color="auto"/>
              <w:left w:val="single" w:sz="4" w:space="0" w:color="auto"/>
              <w:bottom w:val="single" w:sz="4" w:space="0" w:color="auto"/>
              <w:right w:val="single" w:sz="4" w:space="0" w:color="auto"/>
            </w:tcBorders>
            <w:hideMark/>
          </w:tcPr>
          <w:p w14:paraId="45F82161"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Opombe [200]</w:t>
            </w:r>
          </w:p>
        </w:tc>
      </w:tr>
      <w:tr w:rsidR="002970DA" w:rsidRPr="003D4439" w14:paraId="7976DA43" w14:textId="77777777" w:rsidTr="002A4554">
        <w:trPr>
          <w:gridAfter w:val="1"/>
          <w:wAfter w:w="7" w:type="dxa"/>
          <w:trHeight w:val="852"/>
        </w:trPr>
        <w:tc>
          <w:tcPr>
            <w:tcW w:w="1443" w:type="dxa"/>
          </w:tcPr>
          <w:p w14:paraId="4456ABC4"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Raznoliko in odporno gospodarstvo</w:t>
            </w:r>
          </w:p>
        </w:tc>
        <w:tc>
          <w:tcPr>
            <w:tcW w:w="1301" w:type="dxa"/>
          </w:tcPr>
          <w:p w14:paraId="4C084C34"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RCR 01</w:t>
            </w:r>
          </w:p>
        </w:tc>
        <w:tc>
          <w:tcPr>
            <w:tcW w:w="2780" w:type="dxa"/>
          </w:tcPr>
          <w:p w14:paraId="75604419"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Ustvarjena delovna mesta v podprtih subjektih</w:t>
            </w:r>
          </w:p>
        </w:tc>
        <w:tc>
          <w:tcPr>
            <w:tcW w:w="893" w:type="dxa"/>
          </w:tcPr>
          <w:p w14:paraId="092171CA"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Število</w:t>
            </w:r>
          </w:p>
        </w:tc>
        <w:tc>
          <w:tcPr>
            <w:tcW w:w="1202" w:type="dxa"/>
          </w:tcPr>
          <w:p w14:paraId="63170BDA"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0</w:t>
            </w:r>
          </w:p>
        </w:tc>
        <w:tc>
          <w:tcPr>
            <w:tcW w:w="1257" w:type="dxa"/>
          </w:tcPr>
          <w:p w14:paraId="062E9040"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2022</w:t>
            </w:r>
          </w:p>
        </w:tc>
        <w:tc>
          <w:tcPr>
            <w:tcW w:w="1121" w:type="dxa"/>
          </w:tcPr>
          <w:p w14:paraId="4360A9DD"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40</w:t>
            </w:r>
          </w:p>
        </w:tc>
        <w:tc>
          <w:tcPr>
            <w:tcW w:w="1211" w:type="dxa"/>
          </w:tcPr>
          <w:p w14:paraId="6E61491E"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 xml:space="preserve">Letno poročilo </w:t>
            </w:r>
          </w:p>
        </w:tc>
        <w:tc>
          <w:tcPr>
            <w:tcW w:w="1395" w:type="dxa"/>
          </w:tcPr>
          <w:p w14:paraId="253EE8D4" w14:textId="78D7E57C" w:rsidR="003D4439" w:rsidRPr="002A4554" w:rsidRDefault="003D4439" w:rsidP="003D4439">
            <w:pPr>
              <w:spacing w:before="0" w:after="0" w:line="276" w:lineRule="auto"/>
              <w:rPr>
                <w:rFonts w:asciiTheme="minorHAnsi" w:hAnsiTheme="minorHAnsi" w:cstheme="minorHAnsi"/>
                <w:b/>
                <w:bCs/>
                <w:sz w:val="20"/>
                <w:szCs w:val="20"/>
              </w:rPr>
            </w:pPr>
          </w:p>
        </w:tc>
      </w:tr>
      <w:tr w:rsidR="002970DA" w:rsidRPr="003D4439" w14:paraId="70A0587F" w14:textId="77777777" w:rsidTr="002A4554">
        <w:trPr>
          <w:gridAfter w:val="1"/>
          <w:wAfter w:w="7" w:type="dxa"/>
          <w:trHeight w:val="852"/>
        </w:trPr>
        <w:tc>
          <w:tcPr>
            <w:tcW w:w="1443" w:type="dxa"/>
          </w:tcPr>
          <w:p w14:paraId="5FA046F5"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bCs/>
                <w:sz w:val="20"/>
                <w:szCs w:val="20"/>
              </w:rPr>
              <w:t>Zaposlitve in veščine za vse</w:t>
            </w:r>
          </w:p>
        </w:tc>
        <w:tc>
          <w:tcPr>
            <w:tcW w:w="1301" w:type="dxa"/>
          </w:tcPr>
          <w:p w14:paraId="22CF0058"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EECR 01</w:t>
            </w:r>
          </w:p>
        </w:tc>
        <w:tc>
          <w:tcPr>
            <w:tcW w:w="2780" w:type="dxa"/>
          </w:tcPr>
          <w:p w14:paraId="7A4CF38D"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Udeleženci, ki po zaključku sodelovanja iščejo zaposlitev</w:t>
            </w:r>
          </w:p>
        </w:tc>
        <w:tc>
          <w:tcPr>
            <w:tcW w:w="893" w:type="dxa"/>
          </w:tcPr>
          <w:p w14:paraId="75286247"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Število oseb</w:t>
            </w:r>
          </w:p>
        </w:tc>
        <w:tc>
          <w:tcPr>
            <w:tcW w:w="1202" w:type="dxa"/>
          </w:tcPr>
          <w:p w14:paraId="294F39F3"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700</w:t>
            </w:r>
          </w:p>
        </w:tc>
        <w:tc>
          <w:tcPr>
            <w:tcW w:w="1257" w:type="dxa"/>
          </w:tcPr>
          <w:p w14:paraId="5F6EF85E"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2021</w:t>
            </w:r>
          </w:p>
        </w:tc>
        <w:tc>
          <w:tcPr>
            <w:tcW w:w="1121" w:type="dxa"/>
          </w:tcPr>
          <w:p w14:paraId="3F3B06DD" w14:textId="77777777" w:rsidR="003D4439" w:rsidRPr="002A4554" w:rsidRDefault="003D4439" w:rsidP="003D4439">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2000</w:t>
            </w:r>
          </w:p>
        </w:tc>
        <w:tc>
          <w:tcPr>
            <w:tcW w:w="1211" w:type="dxa"/>
          </w:tcPr>
          <w:p w14:paraId="56832885" w14:textId="293584A8" w:rsidR="003D4439" w:rsidRPr="002A4554" w:rsidRDefault="002A4554" w:rsidP="003D4439">
            <w:pPr>
              <w:spacing w:before="0" w:after="0" w:line="276" w:lineRule="auto"/>
              <w:rPr>
                <w:rFonts w:asciiTheme="minorHAnsi" w:hAnsiTheme="minorHAnsi" w:cstheme="minorHAnsi"/>
                <w:b/>
                <w:sz w:val="20"/>
                <w:szCs w:val="20"/>
              </w:rPr>
            </w:pPr>
            <w:r>
              <w:rPr>
                <w:rFonts w:asciiTheme="minorHAnsi" w:hAnsiTheme="minorHAnsi" w:cstheme="minorHAnsi"/>
                <w:b/>
                <w:sz w:val="20"/>
                <w:szCs w:val="20"/>
              </w:rPr>
              <w:t>Spremljanje MDDSZ</w:t>
            </w:r>
          </w:p>
        </w:tc>
        <w:tc>
          <w:tcPr>
            <w:tcW w:w="1395" w:type="dxa"/>
          </w:tcPr>
          <w:p w14:paraId="00B6672A" w14:textId="77777777" w:rsidR="003D4439" w:rsidRPr="002A4554" w:rsidRDefault="003D4439" w:rsidP="003D4439">
            <w:pPr>
              <w:spacing w:before="0" w:after="0" w:line="276" w:lineRule="auto"/>
              <w:rPr>
                <w:rFonts w:asciiTheme="minorHAnsi" w:hAnsiTheme="minorHAnsi" w:cstheme="minorHAnsi"/>
                <w:b/>
                <w:sz w:val="20"/>
                <w:szCs w:val="20"/>
              </w:rPr>
            </w:pPr>
          </w:p>
        </w:tc>
      </w:tr>
      <w:tr w:rsidR="002A4554" w:rsidRPr="003D4439" w14:paraId="7178B299" w14:textId="77777777" w:rsidTr="002A4554">
        <w:trPr>
          <w:gridAfter w:val="1"/>
          <w:wAfter w:w="7" w:type="dxa"/>
          <w:trHeight w:val="70"/>
        </w:trPr>
        <w:tc>
          <w:tcPr>
            <w:tcW w:w="1443" w:type="dxa"/>
          </w:tcPr>
          <w:p w14:paraId="527000B7"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bCs/>
                <w:sz w:val="20"/>
                <w:szCs w:val="20"/>
              </w:rPr>
              <w:t>Zaposlitve in veščine za vse</w:t>
            </w:r>
          </w:p>
        </w:tc>
        <w:tc>
          <w:tcPr>
            <w:tcW w:w="1301" w:type="dxa"/>
          </w:tcPr>
          <w:p w14:paraId="2DD8462C"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EECR 02</w:t>
            </w:r>
          </w:p>
        </w:tc>
        <w:tc>
          <w:tcPr>
            <w:tcW w:w="2780" w:type="dxa"/>
          </w:tcPr>
          <w:p w14:paraId="5D08C9B8"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Udeleženci, ki so po zaključku sodelovanja vključeni v izobraževanje ali usposabljanje</w:t>
            </w:r>
          </w:p>
        </w:tc>
        <w:tc>
          <w:tcPr>
            <w:tcW w:w="893" w:type="dxa"/>
          </w:tcPr>
          <w:p w14:paraId="352F797A"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Število oseb</w:t>
            </w:r>
          </w:p>
        </w:tc>
        <w:tc>
          <w:tcPr>
            <w:tcW w:w="1202" w:type="dxa"/>
          </w:tcPr>
          <w:p w14:paraId="79540ACB"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400</w:t>
            </w:r>
          </w:p>
        </w:tc>
        <w:tc>
          <w:tcPr>
            <w:tcW w:w="1257" w:type="dxa"/>
          </w:tcPr>
          <w:p w14:paraId="282F06E8"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2021</w:t>
            </w:r>
          </w:p>
        </w:tc>
        <w:tc>
          <w:tcPr>
            <w:tcW w:w="1121" w:type="dxa"/>
          </w:tcPr>
          <w:p w14:paraId="2F28C12F"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1300</w:t>
            </w:r>
          </w:p>
        </w:tc>
        <w:tc>
          <w:tcPr>
            <w:tcW w:w="1211" w:type="dxa"/>
          </w:tcPr>
          <w:p w14:paraId="4987E5D1" w14:textId="610E3C50" w:rsidR="002A4554" w:rsidRPr="002A4554" w:rsidRDefault="002A4554" w:rsidP="002A4554">
            <w:pPr>
              <w:spacing w:before="0" w:after="0" w:line="276" w:lineRule="auto"/>
              <w:rPr>
                <w:rFonts w:asciiTheme="minorHAnsi" w:hAnsiTheme="minorHAnsi" w:cstheme="minorHAnsi"/>
                <w:b/>
                <w:sz w:val="20"/>
                <w:szCs w:val="20"/>
              </w:rPr>
            </w:pPr>
            <w:r w:rsidRPr="00294DBD">
              <w:rPr>
                <w:rFonts w:asciiTheme="minorHAnsi" w:hAnsiTheme="minorHAnsi" w:cstheme="minorHAnsi"/>
                <w:b/>
                <w:sz w:val="20"/>
                <w:szCs w:val="20"/>
              </w:rPr>
              <w:t>Spremljanje MDDSZ</w:t>
            </w:r>
          </w:p>
        </w:tc>
        <w:tc>
          <w:tcPr>
            <w:tcW w:w="1395" w:type="dxa"/>
          </w:tcPr>
          <w:p w14:paraId="7D88502C" w14:textId="77777777" w:rsidR="002A4554" w:rsidRPr="002A4554" w:rsidRDefault="002A4554" w:rsidP="002A4554">
            <w:pPr>
              <w:spacing w:before="0" w:after="0" w:line="276" w:lineRule="auto"/>
              <w:rPr>
                <w:rFonts w:asciiTheme="minorHAnsi" w:hAnsiTheme="minorHAnsi" w:cstheme="minorHAnsi"/>
                <w:b/>
                <w:sz w:val="20"/>
                <w:szCs w:val="20"/>
              </w:rPr>
            </w:pPr>
          </w:p>
        </w:tc>
      </w:tr>
      <w:tr w:rsidR="002A4554" w:rsidRPr="003D4439" w14:paraId="443BA920" w14:textId="77777777" w:rsidTr="002A4554">
        <w:trPr>
          <w:gridAfter w:val="1"/>
          <w:wAfter w:w="7" w:type="dxa"/>
          <w:trHeight w:val="70"/>
        </w:trPr>
        <w:tc>
          <w:tcPr>
            <w:tcW w:w="1443" w:type="dxa"/>
          </w:tcPr>
          <w:p w14:paraId="3E689949"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bCs/>
                <w:sz w:val="20"/>
                <w:szCs w:val="20"/>
              </w:rPr>
              <w:t>Zaposlitve in veščine za vse</w:t>
            </w:r>
          </w:p>
        </w:tc>
        <w:tc>
          <w:tcPr>
            <w:tcW w:w="1301" w:type="dxa"/>
          </w:tcPr>
          <w:p w14:paraId="4DCD492E"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EECR 03</w:t>
            </w:r>
          </w:p>
        </w:tc>
        <w:tc>
          <w:tcPr>
            <w:tcW w:w="2780" w:type="dxa"/>
          </w:tcPr>
          <w:p w14:paraId="577D4460"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 xml:space="preserve">Udeleženci, ki so pridobili kvalifikacijo po zaključku sodelovanja </w:t>
            </w:r>
          </w:p>
        </w:tc>
        <w:tc>
          <w:tcPr>
            <w:tcW w:w="893" w:type="dxa"/>
          </w:tcPr>
          <w:p w14:paraId="7BB4E878"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Število oseb</w:t>
            </w:r>
          </w:p>
        </w:tc>
        <w:tc>
          <w:tcPr>
            <w:tcW w:w="1202" w:type="dxa"/>
          </w:tcPr>
          <w:p w14:paraId="66473C60"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200</w:t>
            </w:r>
          </w:p>
        </w:tc>
        <w:tc>
          <w:tcPr>
            <w:tcW w:w="1257" w:type="dxa"/>
          </w:tcPr>
          <w:p w14:paraId="55E42795"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2021</w:t>
            </w:r>
          </w:p>
        </w:tc>
        <w:tc>
          <w:tcPr>
            <w:tcW w:w="1121" w:type="dxa"/>
          </w:tcPr>
          <w:p w14:paraId="2CCF70DF"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600</w:t>
            </w:r>
          </w:p>
        </w:tc>
        <w:tc>
          <w:tcPr>
            <w:tcW w:w="1211" w:type="dxa"/>
          </w:tcPr>
          <w:p w14:paraId="2D29EA83" w14:textId="7A2CBA20" w:rsidR="002A4554" w:rsidRPr="002A4554" w:rsidRDefault="002A4554" w:rsidP="002A4554">
            <w:pPr>
              <w:spacing w:before="0" w:after="0" w:line="276" w:lineRule="auto"/>
              <w:rPr>
                <w:rFonts w:asciiTheme="minorHAnsi" w:hAnsiTheme="minorHAnsi" w:cstheme="minorHAnsi"/>
                <w:b/>
                <w:sz w:val="20"/>
                <w:szCs w:val="20"/>
              </w:rPr>
            </w:pPr>
            <w:r w:rsidRPr="00294DBD">
              <w:rPr>
                <w:rFonts w:asciiTheme="minorHAnsi" w:hAnsiTheme="minorHAnsi" w:cstheme="minorHAnsi"/>
                <w:b/>
                <w:sz w:val="20"/>
                <w:szCs w:val="20"/>
              </w:rPr>
              <w:t>Spremljanje MDDSZ</w:t>
            </w:r>
          </w:p>
        </w:tc>
        <w:tc>
          <w:tcPr>
            <w:tcW w:w="1395" w:type="dxa"/>
          </w:tcPr>
          <w:p w14:paraId="3C1672B7" w14:textId="77777777" w:rsidR="002A4554" w:rsidRPr="002A4554" w:rsidRDefault="002A4554" w:rsidP="002A4554">
            <w:pPr>
              <w:spacing w:before="0" w:after="0" w:line="276" w:lineRule="auto"/>
              <w:rPr>
                <w:rFonts w:asciiTheme="minorHAnsi" w:hAnsiTheme="minorHAnsi" w:cstheme="minorHAnsi"/>
                <w:b/>
                <w:sz w:val="20"/>
                <w:szCs w:val="20"/>
              </w:rPr>
            </w:pPr>
          </w:p>
        </w:tc>
      </w:tr>
      <w:tr w:rsidR="002A4554" w:rsidRPr="003D4439" w14:paraId="1CEB11E2" w14:textId="77777777" w:rsidTr="002A4554">
        <w:trPr>
          <w:gridAfter w:val="1"/>
          <w:wAfter w:w="7" w:type="dxa"/>
          <w:trHeight w:val="70"/>
        </w:trPr>
        <w:tc>
          <w:tcPr>
            <w:tcW w:w="1443" w:type="dxa"/>
          </w:tcPr>
          <w:p w14:paraId="3FD417E0"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bCs/>
                <w:sz w:val="20"/>
                <w:szCs w:val="20"/>
              </w:rPr>
              <w:t>Zaposlitve in veščine za vse</w:t>
            </w:r>
          </w:p>
        </w:tc>
        <w:tc>
          <w:tcPr>
            <w:tcW w:w="1301" w:type="dxa"/>
          </w:tcPr>
          <w:p w14:paraId="46A4D1C1"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EECR 04</w:t>
            </w:r>
          </w:p>
        </w:tc>
        <w:tc>
          <w:tcPr>
            <w:tcW w:w="2780" w:type="dxa"/>
          </w:tcPr>
          <w:p w14:paraId="3C0FA9BD"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Udeleženci, ki imajo po zaključku sodelovanja zaposlitev (vključno s samozaposlitvijo)</w:t>
            </w:r>
          </w:p>
        </w:tc>
        <w:tc>
          <w:tcPr>
            <w:tcW w:w="893" w:type="dxa"/>
          </w:tcPr>
          <w:p w14:paraId="3FEF7C38"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Število oseb</w:t>
            </w:r>
          </w:p>
        </w:tc>
        <w:tc>
          <w:tcPr>
            <w:tcW w:w="1202" w:type="dxa"/>
          </w:tcPr>
          <w:p w14:paraId="617D51E6"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300</w:t>
            </w:r>
          </w:p>
        </w:tc>
        <w:tc>
          <w:tcPr>
            <w:tcW w:w="1257" w:type="dxa"/>
          </w:tcPr>
          <w:p w14:paraId="1FBBD16E"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2021</w:t>
            </w:r>
          </w:p>
        </w:tc>
        <w:tc>
          <w:tcPr>
            <w:tcW w:w="1121" w:type="dxa"/>
          </w:tcPr>
          <w:p w14:paraId="035E1985" w14:textId="77777777" w:rsidR="002A4554" w:rsidRPr="002A4554" w:rsidRDefault="002A4554" w:rsidP="002A4554">
            <w:pPr>
              <w:spacing w:before="0" w:after="0" w:line="276" w:lineRule="auto"/>
              <w:rPr>
                <w:rFonts w:asciiTheme="minorHAnsi" w:hAnsiTheme="minorHAnsi" w:cstheme="minorHAnsi"/>
                <w:b/>
                <w:sz w:val="20"/>
                <w:szCs w:val="20"/>
              </w:rPr>
            </w:pPr>
            <w:r w:rsidRPr="002A4554">
              <w:rPr>
                <w:rFonts w:asciiTheme="minorHAnsi" w:hAnsiTheme="minorHAnsi" w:cstheme="minorHAnsi"/>
                <w:b/>
                <w:sz w:val="20"/>
                <w:szCs w:val="20"/>
              </w:rPr>
              <w:t>1170</w:t>
            </w:r>
          </w:p>
        </w:tc>
        <w:tc>
          <w:tcPr>
            <w:tcW w:w="1211" w:type="dxa"/>
          </w:tcPr>
          <w:p w14:paraId="4C05AB67" w14:textId="20ED6180" w:rsidR="002A4554" w:rsidRPr="002A4554" w:rsidRDefault="002A4554" w:rsidP="002A4554">
            <w:pPr>
              <w:spacing w:before="0" w:after="0" w:line="276" w:lineRule="auto"/>
              <w:rPr>
                <w:rFonts w:asciiTheme="minorHAnsi" w:hAnsiTheme="minorHAnsi" w:cstheme="minorHAnsi"/>
                <w:b/>
                <w:sz w:val="20"/>
                <w:szCs w:val="20"/>
              </w:rPr>
            </w:pPr>
            <w:r w:rsidRPr="00294DBD">
              <w:rPr>
                <w:rFonts w:asciiTheme="minorHAnsi" w:hAnsiTheme="minorHAnsi" w:cstheme="minorHAnsi"/>
                <w:b/>
                <w:sz w:val="20"/>
                <w:szCs w:val="20"/>
              </w:rPr>
              <w:t>Spremljanje MDDSZ</w:t>
            </w:r>
          </w:p>
        </w:tc>
        <w:tc>
          <w:tcPr>
            <w:tcW w:w="1395" w:type="dxa"/>
          </w:tcPr>
          <w:p w14:paraId="108D6F14" w14:textId="77777777" w:rsidR="002A4554" w:rsidRPr="002A4554" w:rsidRDefault="002A4554" w:rsidP="002A4554">
            <w:pPr>
              <w:spacing w:before="0" w:after="0" w:line="276" w:lineRule="auto"/>
              <w:rPr>
                <w:rFonts w:asciiTheme="minorHAnsi" w:hAnsiTheme="minorHAnsi" w:cstheme="minorHAnsi"/>
                <w:b/>
                <w:sz w:val="20"/>
                <w:szCs w:val="20"/>
              </w:rPr>
            </w:pPr>
          </w:p>
        </w:tc>
      </w:tr>
      <w:tr w:rsidR="002970DA" w:rsidRPr="003D4439" w14:paraId="755FFEB9" w14:textId="77777777" w:rsidTr="002A4554">
        <w:trPr>
          <w:gridAfter w:val="1"/>
          <w:wAfter w:w="7" w:type="dxa"/>
          <w:trHeight w:val="70"/>
        </w:trPr>
        <w:tc>
          <w:tcPr>
            <w:tcW w:w="1443" w:type="dxa"/>
          </w:tcPr>
          <w:p w14:paraId="41343072"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Zaposlitve in veščine za vse</w:t>
            </w:r>
          </w:p>
        </w:tc>
        <w:tc>
          <w:tcPr>
            <w:tcW w:w="1301" w:type="dxa"/>
          </w:tcPr>
          <w:p w14:paraId="0A335165"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Programsko specifični kazalnik</w:t>
            </w:r>
          </w:p>
        </w:tc>
        <w:tc>
          <w:tcPr>
            <w:tcW w:w="2780" w:type="dxa"/>
          </w:tcPr>
          <w:p w14:paraId="6DC64A35"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Delež podprtih organizacij, ki so uspešno vključile rezultate projektov za izboljšanje znanj, spretnosti in kompetenc v svoje razvojne načrte</w:t>
            </w:r>
          </w:p>
        </w:tc>
        <w:tc>
          <w:tcPr>
            <w:tcW w:w="893" w:type="dxa"/>
          </w:tcPr>
          <w:p w14:paraId="6B19CE22"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delež</w:t>
            </w:r>
          </w:p>
        </w:tc>
        <w:tc>
          <w:tcPr>
            <w:tcW w:w="1202" w:type="dxa"/>
          </w:tcPr>
          <w:p w14:paraId="5805EA5B"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85%</w:t>
            </w:r>
          </w:p>
        </w:tc>
        <w:tc>
          <w:tcPr>
            <w:tcW w:w="1257" w:type="dxa"/>
          </w:tcPr>
          <w:p w14:paraId="75FC9692"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2022</w:t>
            </w:r>
          </w:p>
        </w:tc>
        <w:tc>
          <w:tcPr>
            <w:tcW w:w="1121" w:type="dxa"/>
          </w:tcPr>
          <w:p w14:paraId="7629665B"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80%</w:t>
            </w:r>
          </w:p>
        </w:tc>
        <w:tc>
          <w:tcPr>
            <w:tcW w:w="1211" w:type="dxa"/>
          </w:tcPr>
          <w:p w14:paraId="2D48B310" w14:textId="6544CC4E" w:rsidR="003D4439" w:rsidRPr="002A4554" w:rsidRDefault="002A4554" w:rsidP="002A4554">
            <w:pPr>
              <w:spacing w:before="0" w:after="0" w:line="276" w:lineRule="auto"/>
              <w:rPr>
                <w:rFonts w:asciiTheme="minorHAnsi" w:hAnsiTheme="minorHAnsi" w:cstheme="minorHAnsi"/>
                <w:b/>
                <w:bCs/>
                <w:sz w:val="20"/>
                <w:szCs w:val="20"/>
              </w:rPr>
            </w:pPr>
            <w:r>
              <w:rPr>
                <w:rFonts w:asciiTheme="minorHAnsi" w:hAnsiTheme="minorHAnsi" w:cstheme="minorHAnsi"/>
                <w:b/>
                <w:sz w:val="20"/>
                <w:szCs w:val="20"/>
              </w:rPr>
              <w:t xml:space="preserve">Spremljanje </w:t>
            </w:r>
            <w:r w:rsidR="003D4439" w:rsidRPr="002A4554">
              <w:rPr>
                <w:rFonts w:asciiTheme="minorHAnsi" w:hAnsiTheme="minorHAnsi" w:cstheme="minorHAnsi"/>
                <w:b/>
                <w:bCs/>
                <w:sz w:val="20"/>
                <w:szCs w:val="20"/>
              </w:rPr>
              <w:t xml:space="preserve">MIZŠ </w:t>
            </w:r>
          </w:p>
        </w:tc>
        <w:tc>
          <w:tcPr>
            <w:tcW w:w="1395" w:type="dxa"/>
          </w:tcPr>
          <w:p w14:paraId="590A25FB" w14:textId="77777777" w:rsidR="003D4439" w:rsidRPr="002A4554" w:rsidRDefault="003D4439" w:rsidP="003D4439">
            <w:pPr>
              <w:spacing w:before="0" w:after="0" w:line="276" w:lineRule="auto"/>
              <w:rPr>
                <w:rFonts w:asciiTheme="minorHAnsi" w:hAnsiTheme="minorHAnsi" w:cstheme="minorHAnsi"/>
                <w:b/>
                <w:bCs/>
                <w:sz w:val="20"/>
                <w:szCs w:val="20"/>
              </w:rPr>
            </w:pPr>
            <w:r w:rsidRPr="002A4554">
              <w:rPr>
                <w:rFonts w:asciiTheme="minorHAnsi" w:hAnsiTheme="minorHAnsi" w:cstheme="minorHAnsi"/>
                <w:b/>
                <w:bCs/>
                <w:sz w:val="20"/>
                <w:szCs w:val="20"/>
              </w:rPr>
              <w:t>n/a</w:t>
            </w:r>
          </w:p>
        </w:tc>
      </w:tr>
    </w:tbl>
    <w:p w14:paraId="7EBBF8AA" w14:textId="77777777" w:rsidR="003D4439" w:rsidRPr="003D4439" w:rsidRDefault="003D4439" w:rsidP="003D4439">
      <w:pPr>
        <w:spacing w:before="0" w:after="0" w:line="276" w:lineRule="auto"/>
        <w:rPr>
          <w:rFonts w:asciiTheme="minorHAnsi" w:hAnsiTheme="minorHAnsi" w:cstheme="minorHAnsi"/>
          <w:b/>
          <w:sz w:val="22"/>
        </w:rPr>
      </w:pPr>
    </w:p>
    <w:p w14:paraId="7334F7E3" w14:textId="77777777" w:rsidR="00E33DB2" w:rsidRDefault="00E33DB2">
      <w:pPr>
        <w:spacing w:before="0" w:after="160" w:line="259" w:lineRule="auto"/>
        <w:jc w:val="left"/>
        <w:rPr>
          <w:rFonts w:asciiTheme="minorHAnsi" w:hAnsiTheme="minorHAnsi" w:cstheme="minorHAnsi"/>
          <w:b/>
          <w:sz w:val="22"/>
        </w:rPr>
        <w:sectPr w:rsidR="00E33DB2" w:rsidSect="002A4554">
          <w:pgSz w:w="16838" w:h="11906" w:orient="landscape" w:code="9"/>
          <w:pgMar w:top="1417" w:right="1417" w:bottom="1417" w:left="1417" w:header="708" w:footer="708" w:gutter="0"/>
          <w:cols w:space="708"/>
          <w:docGrid w:linePitch="360"/>
        </w:sectPr>
      </w:pPr>
    </w:p>
    <w:p w14:paraId="44EF404F" w14:textId="36B5A0D3" w:rsidR="004742D2" w:rsidRPr="008B037E" w:rsidRDefault="004742D2" w:rsidP="00720E72">
      <w:pPr>
        <w:spacing w:before="0" w:after="0" w:line="276" w:lineRule="auto"/>
        <w:rPr>
          <w:rFonts w:asciiTheme="minorHAnsi" w:hAnsiTheme="minorHAnsi" w:cstheme="minorHAnsi"/>
          <w:b/>
          <w:sz w:val="22"/>
        </w:rPr>
      </w:pPr>
    </w:p>
    <w:p w14:paraId="2982E2C1" w14:textId="77777777" w:rsidR="004742D2" w:rsidRPr="008B037E" w:rsidRDefault="004742D2" w:rsidP="00720E72">
      <w:pPr>
        <w:numPr>
          <w:ilvl w:val="0"/>
          <w:numId w:val="1"/>
        </w:numPr>
        <w:spacing w:before="0" w:after="0" w:line="276" w:lineRule="auto"/>
        <w:rPr>
          <w:rFonts w:asciiTheme="minorHAnsi" w:eastAsia="Times New Roman" w:hAnsiTheme="minorHAnsi" w:cstheme="minorHAnsi"/>
          <w:b/>
          <w:i/>
          <w:sz w:val="22"/>
        </w:rPr>
      </w:pPr>
      <w:r w:rsidRPr="008B037E">
        <w:rPr>
          <w:rFonts w:asciiTheme="minorHAnsi" w:hAnsiTheme="minorHAnsi" w:cstheme="minorHAnsi"/>
          <w:b/>
          <w:sz w:val="22"/>
        </w:rPr>
        <w:t xml:space="preserve">Mehanizmi upravljanja </w:t>
      </w:r>
    </w:p>
    <w:p w14:paraId="1D41C79A" w14:textId="6F06F99B" w:rsidR="004742D2" w:rsidRPr="008B037E" w:rsidRDefault="004742D2" w:rsidP="00720E72">
      <w:pPr>
        <w:spacing w:before="0" w:after="0" w:line="276" w:lineRule="auto"/>
        <w:ind w:left="502"/>
        <w:rPr>
          <w:rFonts w:asciiTheme="minorHAnsi" w:eastAsia="Times New Roman" w:hAnsiTheme="minorHAnsi" w:cstheme="minorHAnsi"/>
          <w:i/>
          <w:sz w:val="22"/>
        </w:rPr>
      </w:pPr>
      <w:r w:rsidRPr="008B037E">
        <w:rPr>
          <w:rFonts w:asciiTheme="minorHAnsi" w:hAnsiTheme="minorHAnsi" w:cstheme="minorHAnsi"/>
          <w:i/>
          <w:sz w:val="22"/>
        </w:rPr>
        <w:t xml:space="preserve">Sklic: člen </w:t>
      </w:r>
      <w:r w:rsidR="00E43ED9">
        <w:rPr>
          <w:rFonts w:asciiTheme="minorHAnsi" w:hAnsiTheme="minorHAnsi" w:cstheme="minorHAnsi"/>
          <w:i/>
          <w:sz w:val="22"/>
        </w:rPr>
        <w:t>11</w:t>
      </w:r>
      <w:r w:rsidRPr="008B037E">
        <w:rPr>
          <w:rFonts w:asciiTheme="minorHAnsi" w:hAnsiTheme="minorHAnsi" w:cstheme="minorHAnsi"/>
          <w:i/>
          <w:sz w:val="22"/>
        </w:rPr>
        <w:t>(2)(f)</w:t>
      </w:r>
    </w:p>
    <w:tbl>
      <w:tblPr>
        <w:tblStyle w:val="Tabelamrea"/>
        <w:tblW w:w="0" w:type="auto"/>
        <w:tblInd w:w="0" w:type="dxa"/>
        <w:tblLook w:val="04A0" w:firstRow="1" w:lastRow="0" w:firstColumn="1" w:lastColumn="0" w:noHBand="0" w:noVBand="1"/>
      </w:tblPr>
      <w:tblGrid>
        <w:gridCol w:w="9062"/>
      </w:tblGrid>
      <w:tr w:rsidR="004742D2" w:rsidRPr="008B037E" w14:paraId="4C8C18FC" w14:textId="77777777" w:rsidTr="002970DA">
        <w:trPr>
          <w:trHeight w:val="306"/>
        </w:trPr>
        <w:tc>
          <w:tcPr>
            <w:tcW w:w="9288" w:type="dxa"/>
            <w:tcBorders>
              <w:top w:val="single" w:sz="4" w:space="0" w:color="auto"/>
              <w:left w:val="single" w:sz="4" w:space="0" w:color="auto"/>
              <w:bottom w:val="single" w:sz="4" w:space="0" w:color="auto"/>
              <w:right w:val="single" w:sz="4" w:space="0" w:color="auto"/>
            </w:tcBorders>
            <w:hideMark/>
          </w:tcPr>
          <w:p w14:paraId="7F932F57"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Besedilno polje [5 000]</w:t>
            </w:r>
          </w:p>
        </w:tc>
      </w:tr>
    </w:tbl>
    <w:p w14:paraId="35A76978" w14:textId="77777777" w:rsidR="004742D2" w:rsidRPr="008B037E" w:rsidRDefault="004742D2" w:rsidP="00720E72">
      <w:pPr>
        <w:spacing w:before="0" w:after="0" w:line="276" w:lineRule="auto"/>
        <w:ind w:left="502"/>
        <w:rPr>
          <w:rFonts w:asciiTheme="minorHAnsi" w:eastAsia="Times New Roman" w:hAnsiTheme="minorHAnsi" w:cstheme="minorHAnsi"/>
          <w:b/>
          <w:i/>
          <w:sz w:val="22"/>
        </w:rPr>
      </w:pPr>
    </w:p>
    <w:p w14:paraId="15D4894E" w14:textId="77777777" w:rsidR="004742D2" w:rsidRPr="008B037E" w:rsidRDefault="004742D2" w:rsidP="00720E72">
      <w:pPr>
        <w:pStyle w:val="Odstavekseznama"/>
        <w:spacing w:after="0"/>
        <w:jc w:val="both"/>
        <w:rPr>
          <w:rFonts w:cstheme="minorHAnsi"/>
          <w:i/>
        </w:rPr>
      </w:pPr>
      <w:r w:rsidRPr="008B037E">
        <w:rPr>
          <w:rFonts w:cstheme="minorHAnsi"/>
          <w:i/>
        </w:rPr>
        <w:t>3.1. Partnerstvo</w:t>
      </w:r>
    </w:p>
    <w:tbl>
      <w:tblPr>
        <w:tblStyle w:val="Tabelamrea"/>
        <w:tblW w:w="0" w:type="auto"/>
        <w:tblInd w:w="0" w:type="dxa"/>
        <w:tblLook w:val="04A0" w:firstRow="1" w:lastRow="0" w:firstColumn="1" w:lastColumn="0" w:noHBand="0" w:noVBand="1"/>
      </w:tblPr>
      <w:tblGrid>
        <w:gridCol w:w="9062"/>
      </w:tblGrid>
      <w:tr w:rsidR="004742D2" w:rsidRPr="008B037E" w14:paraId="51992A79" w14:textId="77777777" w:rsidTr="00A22327">
        <w:tc>
          <w:tcPr>
            <w:tcW w:w="9062" w:type="dxa"/>
            <w:tcBorders>
              <w:top w:val="single" w:sz="4" w:space="0" w:color="auto"/>
              <w:left w:val="single" w:sz="4" w:space="0" w:color="auto"/>
              <w:bottom w:val="single" w:sz="4" w:space="0" w:color="auto"/>
              <w:right w:val="single" w:sz="4" w:space="0" w:color="auto"/>
            </w:tcBorders>
            <w:hideMark/>
          </w:tcPr>
          <w:p w14:paraId="15A434F4"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i/>
                <w:sz w:val="22"/>
              </w:rPr>
              <w:t>– ureditev za sodelovanje partnerjev pri pripravi, izvajanju, spremljanju in ocenjevanju območnega načrta za pravičen prehod;</w:t>
            </w:r>
          </w:p>
          <w:p w14:paraId="57903048"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i/>
                <w:sz w:val="22"/>
              </w:rPr>
              <w:t xml:space="preserve">– izid javnega posvetovanja. </w:t>
            </w:r>
          </w:p>
        </w:tc>
      </w:tr>
    </w:tbl>
    <w:p w14:paraId="7BFF4882" w14:textId="2581DCA3" w:rsidR="001A4C47" w:rsidRPr="008B037E" w:rsidRDefault="001A4C47" w:rsidP="00146154">
      <w:pPr>
        <w:pStyle w:val="Odstavekseznama"/>
        <w:spacing w:after="120"/>
        <w:contextualSpacing w:val="0"/>
        <w:jc w:val="both"/>
        <w:rPr>
          <w:rFonts w:cstheme="minorHAnsi"/>
        </w:rPr>
      </w:pPr>
      <w:r w:rsidRPr="008B037E">
        <w:rPr>
          <w:rFonts w:cstheme="minorHAnsi"/>
        </w:rPr>
        <w:t>Deležniki so se v letu 2020 vključevali že v pripravo Nacionalne strategije za izstop iz premoga in prestrukturiranje premogovnih regij v skladu z načeli pravičnega prehoda, za katero se je izvedla tudi celovita presorja vplivov na okolje, in pripravo Akcijskega načrta za pravični prehod Zasavske regije (https://www.energetika-portal.si/dokumenti/strateski-razvojni-dokumenti/nacionalna-strategija-za-izstop-iz-premoga-in-prestrukturiranje-premogovnih-regij/).</w:t>
      </w:r>
      <w:r w:rsidR="007979B6" w:rsidRPr="008B037E">
        <w:rPr>
          <w:rFonts w:cstheme="minorHAnsi"/>
        </w:rPr>
        <w:t xml:space="preserve"> Več kot 70 deležn</w:t>
      </w:r>
      <w:r w:rsidR="00146154">
        <w:rPr>
          <w:rFonts w:cstheme="minorHAnsi"/>
        </w:rPr>
        <w:t>ikov v obeh premogovnih regijah</w:t>
      </w:r>
      <w:r w:rsidR="007979B6" w:rsidRPr="008B037E">
        <w:rPr>
          <w:rFonts w:cstheme="minorHAnsi"/>
        </w:rPr>
        <w:t xml:space="preserve"> je bilo vključevano na različne načine: obiski na terenu predvsem v začetnem obdobju za boljše spoznavanje in boljše razumevanje izzivov in priložnosti; več kot 30 posameznih intervjujev; posredovanih je bilo več kot 100 projektnih idej, od katerih so bile najboljše vključene v akcijska načrta; za pomoč pri pripravi projektnih predlogov so bile organizirane delavnice; ključne faze so bile predstavljene in debatirane s ključnimi deležniki; izvedeni so bili individualni sestanki z vsemi pobudniki.</w:t>
      </w:r>
    </w:p>
    <w:p w14:paraId="0B8D9A4B" w14:textId="77777777" w:rsidR="001A4C47" w:rsidRPr="008B037E" w:rsidRDefault="001A4C47" w:rsidP="00146154">
      <w:pPr>
        <w:pStyle w:val="Odstavekseznama"/>
        <w:spacing w:after="120"/>
        <w:contextualSpacing w:val="0"/>
        <w:jc w:val="both"/>
        <w:rPr>
          <w:rFonts w:cstheme="minorHAnsi"/>
        </w:rPr>
      </w:pPr>
      <w:r w:rsidRPr="008B037E">
        <w:rPr>
          <w:rFonts w:cstheme="minorHAnsi"/>
        </w:rPr>
        <w:t xml:space="preserve">Za pripravo ONPP za obe premogovni regiji je bil pripravljen Načrt vključevanja deležnikov v postopek priprave območnih načrtov. V tem okviru deluje posebna delovna skupina, skupna za obe premogovni regiji, ki jo vodi SVRK, sestavljajo pa jo PO, predstavniki občin območij ONPP Zasavske in SAŠA regije (Hrastnik,Ttrbovlje in Zagorje ob Savi ter Velenje, Šoštanj in Šmartno ob Paki), RRA Zasavje in RA SAŠA ter Zasavske gospodarske zbornice in Savinjsko-šaleške gospodarske zbornice. Skupina s SVRK na delovni ravni sodeluje pri oblikovanju mehanizma upravljanja in pripravi območnih načrtov. </w:t>
      </w:r>
    </w:p>
    <w:p w14:paraId="5264D47C" w14:textId="77777777" w:rsidR="001A4C47" w:rsidRPr="008B037E" w:rsidRDefault="001A4C47" w:rsidP="00146154">
      <w:pPr>
        <w:pStyle w:val="Odstavekseznama"/>
        <w:spacing w:after="120"/>
        <w:contextualSpacing w:val="0"/>
        <w:jc w:val="both"/>
        <w:rPr>
          <w:rFonts w:cstheme="minorHAnsi"/>
        </w:rPr>
      </w:pPr>
      <w:r w:rsidRPr="008B037E">
        <w:rPr>
          <w:rFonts w:cstheme="minorHAnsi"/>
        </w:rPr>
        <w:t>Najširši krog deležnikov se v pripravo ON PP vključuje na naslednji način:</w:t>
      </w:r>
    </w:p>
    <w:p w14:paraId="01387D74" w14:textId="5DA5EF81" w:rsidR="001A4C47" w:rsidRPr="008B037E" w:rsidRDefault="001A4C47" w:rsidP="00146154">
      <w:pPr>
        <w:pStyle w:val="Odstavekseznama"/>
        <w:numPr>
          <w:ilvl w:val="0"/>
          <w:numId w:val="38"/>
        </w:numPr>
        <w:spacing w:after="120"/>
        <w:contextualSpacing w:val="0"/>
        <w:rPr>
          <w:rFonts w:cstheme="minorHAnsi"/>
        </w:rPr>
      </w:pPr>
      <w:r w:rsidRPr="008B037E">
        <w:rPr>
          <w:rFonts w:cstheme="minorHAnsi"/>
        </w:rPr>
        <w:t>18.11.2021 je bila izvedena delavnica za opredelitev ukrepov za doseganje strateških ciljev ONPP, ki se jo je udeležilo preko 10</w:t>
      </w:r>
      <w:r w:rsidR="006C16F4" w:rsidRPr="008B037E">
        <w:rPr>
          <w:rFonts w:cstheme="minorHAnsi"/>
        </w:rPr>
        <w:t>0 udeležencev. (</w:t>
      </w:r>
      <w:r w:rsidRPr="008B037E">
        <w:rPr>
          <w:rFonts w:cstheme="minorHAnsi"/>
        </w:rPr>
        <w:t>https://evropskasredstva.si/sklad-za-pravicni-prehod-spp/ )</w:t>
      </w:r>
    </w:p>
    <w:p w14:paraId="6F318DE6" w14:textId="19BA84B7" w:rsidR="001A4C47" w:rsidRPr="008B037E" w:rsidRDefault="00680D62" w:rsidP="00146154">
      <w:pPr>
        <w:pStyle w:val="Odstavekseznama"/>
        <w:numPr>
          <w:ilvl w:val="0"/>
          <w:numId w:val="38"/>
        </w:numPr>
        <w:spacing w:after="120"/>
        <w:contextualSpacing w:val="0"/>
        <w:rPr>
          <w:rFonts w:cstheme="minorHAnsi"/>
        </w:rPr>
      </w:pPr>
      <w:r w:rsidRPr="008B037E">
        <w:rPr>
          <w:rFonts w:cstheme="minorHAnsi"/>
        </w:rPr>
        <w:t xml:space="preserve">Na podlagi poziva podjetjem, ki so sodelovala pri pripravi akcijskih načrtov z Deloitte, poslanega 22.11.2021, je bilo prejetih 19 projektnih predlogov. V obdobju od februarja do aprila 2022 je bilo izvedenih več usklajevalnih sestankov za opredelitev </w:t>
      </w:r>
      <w:r w:rsidR="007979B6" w:rsidRPr="008B037E">
        <w:rPr>
          <w:rFonts w:cstheme="minorHAnsi"/>
        </w:rPr>
        <w:t>vodilnih projektov</w:t>
      </w:r>
      <w:r w:rsidRPr="008B037E">
        <w:rPr>
          <w:rFonts w:cstheme="minorHAnsi"/>
        </w:rPr>
        <w:t>.</w:t>
      </w:r>
    </w:p>
    <w:p w14:paraId="13D4BA23" w14:textId="68CF9EBC" w:rsidR="004742D2" w:rsidRPr="008B037E" w:rsidRDefault="001A4C47" w:rsidP="00146154">
      <w:pPr>
        <w:pStyle w:val="Odstavekseznama"/>
        <w:numPr>
          <w:ilvl w:val="0"/>
          <w:numId w:val="38"/>
        </w:numPr>
        <w:spacing w:after="120"/>
        <w:contextualSpacing w:val="0"/>
        <w:rPr>
          <w:rFonts w:cstheme="minorHAnsi"/>
        </w:rPr>
      </w:pPr>
      <w:r w:rsidRPr="008B037E">
        <w:rPr>
          <w:rFonts w:cstheme="minorHAnsi"/>
        </w:rPr>
        <w:t xml:space="preserve">V mesecu </w:t>
      </w:r>
      <w:r w:rsidR="00680D62" w:rsidRPr="008B037E">
        <w:rPr>
          <w:rFonts w:cstheme="minorHAnsi"/>
        </w:rPr>
        <w:t xml:space="preserve">aprilu </w:t>
      </w:r>
      <w:r w:rsidR="00F2488B">
        <w:rPr>
          <w:rFonts w:cstheme="minorHAnsi"/>
        </w:rPr>
        <w:t xml:space="preserve">2022 </w:t>
      </w:r>
      <w:r w:rsidR="007979B6" w:rsidRPr="008B037E">
        <w:rPr>
          <w:rFonts w:cstheme="minorHAnsi"/>
        </w:rPr>
        <w:t>je bil izveden posvet Zelena prihodnost SAŠA regije. (https://evropskasredstva.si/sklad-za-pravicni-prehod-spp/)</w:t>
      </w:r>
    </w:p>
    <w:p w14:paraId="3E1407B9" w14:textId="77777777" w:rsidR="00680D62" w:rsidRPr="008B037E" w:rsidRDefault="00680D62" w:rsidP="00720E72">
      <w:pPr>
        <w:pStyle w:val="Odstavekseznama"/>
        <w:spacing w:after="0"/>
        <w:jc w:val="both"/>
        <w:rPr>
          <w:rFonts w:cstheme="minorHAnsi"/>
          <w:i/>
        </w:rPr>
      </w:pPr>
    </w:p>
    <w:p w14:paraId="62F59220" w14:textId="268B038D" w:rsidR="004742D2" w:rsidRPr="008B037E" w:rsidRDefault="004742D2" w:rsidP="00720E72">
      <w:pPr>
        <w:pStyle w:val="Odstavekseznama"/>
        <w:spacing w:after="0"/>
        <w:jc w:val="both"/>
        <w:rPr>
          <w:rFonts w:cstheme="minorHAnsi"/>
        </w:rPr>
      </w:pPr>
      <w:r w:rsidRPr="008B037E">
        <w:rPr>
          <w:rFonts w:cstheme="minorHAnsi"/>
          <w:i/>
        </w:rPr>
        <w:t>3.2. Spremljanje in ocenjevanje</w:t>
      </w:r>
      <w:r w:rsidRPr="008B037E">
        <w:rPr>
          <w:rFonts w:cstheme="minorHAnsi"/>
        </w:rPr>
        <w:t xml:space="preserve"> </w:t>
      </w:r>
    </w:p>
    <w:tbl>
      <w:tblPr>
        <w:tblStyle w:val="Tabelamrea"/>
        <w:tblW w:w="0" w:type="auto"/>
        <w:tblInd w:w="0" w:type="dxa"/>
        <w:tblLook w:val="04A0" w:firstRow="1" w:lastRow="0" w:firstColumn="1" w:lastColumn="0" w:noHBand="0" w:noVBand="1"/>
      </w:tblPr>
      <w:tblGrid>
        <w:gridCol w:w="9062"/>
      </w:tblGrid>
      <w:tr w:rsidR="004742D2" w:rsidRPr="008B037E" w14:paraId="7FE97402" w14:textId="77777777" w:rsidTr="00A22327">
        <w:trPr>
          <w:trHeight w:val="306"/>
        </w:trPr>
        <w:tc>
          <w:tcPr>
            <w:tcW w:w="9062" w:type="dxa"/>
            <w:tcBorders>
              <w:top w:val="single" w:sz="4" w:space="0" w:color="auto"/>
              <w:left w:val="single" w:sz="4" w:space="0" w:color="auto"/>
              <w:bottom w:val="single" w:sz="4" w:space="0" w:color="auto"/>
              <w:right w:val="single" w:sz="4" w:space="0" w:color="auto"/>
            </w:tcBorders>
            <w:hideMark/>
          </w:tcPr>
          <w:p w14:paraId="01F3C56C" w14:textId="77777777" w:rsidR="004742D2" w:rsidRPr="008B037E" w:rsidRDefault="004742D2" w:rsidP="00720E72">
            <w:pPr>
              <w:spacing w:before="0" w:after="0" w:line="276" w:lineRule="auto"/>
              <w:rPr>
                <w:rFonts w:asciiTheme="minorHAnsi" w:hAnsiTheme="minorHAnsi" w:cstheme="minorHAnsi"/>
                <w:i/>
                <w:sz w:val="22"/>
              </w:rPr>
            </w:pPr>
            <w:r w:rsidRPr="008B037E">
              <w:rPr>
                <w:rFonts w:asciiTheme="minorHAnsi" w:hAnsiTheme="minorHAnsi" w:cstheme="minorHAnsi"/>
                <w:i/>
                <w:sz w:val="22"/>
              </w:rPr>
              <w:t>– Spremljanje in ocenjevanje načrtovanih ukrepov, vključno s kazalniki za merjenje zmožnosti načrta, da doseže svoje cilje.</w:t>
            </w:r>
          </w:p>
        </w:tc>
      </w:tr>
    </w:tbl>
    <w:p w14:paraId="3A145E46" w14:textId="4B162322" w:rsidR="001A4C47" w:rsidRPr="008B037E" w:rsidRDefault="001A4C47" w:rsidP="001B17C2">
      <w:pPr>
        <w:pStyle w:val="Odstavekseznama"/>
        <w:spacing w:after="0"/>
        <w:jc w:val="both"/>
        <w:rPr>
          <w:rFonts w:eastAsia="Times New Roman" w:cstheme="minorHAnsi"/>
        </w:rPr>
      </w:pPr>
      <w:r w:rsidRPr="008B037E">
        <w:rPr>
          <w:rFonts w:eastAsia="Times New Roman" w:cstheme="minorHAnsi"/>
        </w:rPr>
        <w:t xml:space="preserve">Za potrebe spremljanja in ocenjevanja načrtovanih ukrepov, vključno s kazalniki, </w:t>
      </w:r>
      <w:r w:rsidR="00A97219" w:rsidRPr="008B037E">
        <w:rPr>
          <w:rFonts w:eastAsia="Times New Roman" w:cstheme="minorHAnsi"/>
        </w:rPr>
        <w:t xml:space="preserve">RA SAŠA </w:t>
      </w:r>
      <w:r w:rsidRPr="008B037E">
        <w:rPr>
          <w:rFonts w:eastAsia="Times New Roman" w:cstheme="minorHAnsi"/>
        </w:rPr>
        <w:t>v sodelovanju s PO in S</w:t>
      </w:r>
      <w:r w:rsidR="00A97219" w:rsidRPr="008B037E">
        <w:rPr>
          <w:rFonts w:eastAsia="Times New Roman" w:cstheme="minorHAnsi"/>
        </w:rPr>
        <w:t>V</w:t>
      </w:r>
      <w:r w:rsidR="000723A4">
        <w:rPr>
          <w:rFonts w:eastAsia="Times New Roman" w:cstheme="minorHAnsi"/>
        </w:rPr>
        <w:t>RK</w:t>
      </w:r>
      <w:r w:rsidRPr="008B037E">
        <w:rPr>
          <w:rFonts w:eastAsia="Times New Roman" w:cstheme="minorHAnsi"/>
        </w:rPr>
        <w:t xml:space="preserve"> pripravlja kvartalna, letna in končno poročilo izvajanju ONPP </w:t>
      </w:r>
      <w:r w:rsidR="00A97219" w:rsidRPr="008B037E">
        <w:rPr>
          <w:rFonts w:eastAsia="Times New Roman" w:cstheme="minorHAnsi"/>
        </w:rPr>
        <w:t xml:space="preserve">SAŠA </w:t>
      </w:r>
      <w:r w:rsidRPr="008B037E">
        <w:rPr>
          <w:rFonts w:eastAsia="Times New Roman" w:cstheme="minorHAnsi"/>
        </w:rPr>
        <w:t xml:space="preserve">regije. Poročila na regionalni ravni obravnava </w:t>
      </w:r>
      <w:r w:rsidR="00A97219" w:rsidRPr="008B037E">
        <w:rPr>
          <w:rFonts w:eastAsia="Times New Roman" w:cstheme="minorHAnsi"/>
        </w:rPr>
        <w:t>R</w:t>
      </w:r>
      <w:r w:rsidRPr="008B037E">
        <w:rPr>
          <w:rFonts w:eastAsia="Times New Roman" w:cstheme="minorHAnsi"/>
        </w:rPr>
        <w:t xml:space="preserve">azvojni svet </w:t>
      </w:r>
      <w:r w:rsidR="00A97219" w:rsidRPr="008B037E">
        <w:rPr>
          <w:rFonts w:eastAsia="Times New Roman" w:cstheme="minorHAnsi"/>
        </w:rPr>
        <w:t xml:space="preserve">območnega razvojnega </w:t>
      </w:r>
      <w:r w:rsidR="000723A4">
        <w:rPr>
          <w:rFonts w:eastAsia="Times New Roman" w:cstheme="minorHAnsi"/>
        </w:rPr>
        <w:t>p</w:t>
      </w:r>
      <w:r w:rsidR="00A97219" w:rsidRPr="008B037E">
        <w:rPr>
          <w:rFonts w:eastAsia="Times New Roman" w:cstheme="minorHAnsi"/>
        </w:rPr>
        <w:t xml:space="preserve">artnerstva SAŠA </w:t>
      </w:r>
      <w:r w:rsidRPr="008B037E">
        <w:rPr>
          <w:rFonts w:eastAsia="Times New Roman" w:cstheme="minorHAnsi"/>
        </w:rPr>
        <w:t>regije, na nacionalni pa letna in končno poročilo o</w:t>
      </w:r>
      <w:r w:rsidR="000723A4">
        <w:rPr>
          <w:rFonts w:eastAsia="Times New Roman" w:cstheme="minorHAnsi"/>
        </w:rPr>
        <w:t xml:space="preserve">bravnava Odbor za spremljanje. </w:t>
      </w:r>
      <w:r w:rsidRPr="008B037E">
        <w:rPr>
          <w:rFonts w:eastAsia="Times New Roman" w:cstheme="minorHAnsi"/>
        </w:rPr>
        <w:t>Predlog letnega in končnega poročila se pred obravnavo na Odboru za spremljanje predstavi in obravnava na obravnavi v regiji.</w:t>
      </w:r>
    </w:p>
    <w:p w14:paraId="175A596A" w14:textId="6C258919" w:rsidR="00A97219" w:rsidRPr="008B037E" w:rsidRDefault="001A4C47" w:rsidP="00720E72">
      <w:pPr>
        <w:pStyle w:val="Odstavekseznama"/>
        <w:spacing w:after="0"/>
        <w:jc w:val="both"/>
        <w:rPr>
          <w:rFonts w:eastAsia="Times New Roman" w:cstheme="minorHAnsi"/>
        </w:rPr>
      </w:pPr>
      <w:r w:rsidRPr="008B037E">
        <w:rPr>
          <w:rFonts w:eastAsia="Times New Roman" w:cstheme="minorHAnsi"/>
        </w:rPr>
        <w:t xml:space="preserve">Najpozneje </w:t>
      </w:r>
      <w:r w:rsidR="00A97219" w:rsidRPr="008B037E">
        <w:rPr>
          <w:rFonts w:eastAsia="Times New Roman" w:cstheme="minorHAnsi"/>
        </w:rPr>
        <w:t>tri leta</w:t>
      </w:r>
      <w:r w:rsidRPr="008B037E">
        <w:rPr>
          <w:rFonts w:eastAsia="Times New Roman" w:cstheme="minorHAnsi"/>
        </w:rPr>
        <w:t xml:space="preserve"> po sprejemu ONPP se izvede vrednotenje izvajanja ONPP, </w:t>
      </w:r>
      <w:r w:rsidR="00A97219" w:rsidRPr="008B037E">
        <w:rPr>
          <w:rFonts w:eastAsia="Times New Roman" w:cstheme="minorHAnsi"/>
        </w:rPr>
        <w:t>ki ga izvede s strani SVRK izbran zunanji izvajalec.</w:t>
      </w:r>
    </w:p>
    <w:p w14:paraId="392238AA" w14:textId="77777777" w:rsidR="00680D62" w:rsidRPr="008B037E" w:rsidRDefault="00680D62" w:rsidP="00720E72">
      <w:pPr>
        <w:pStyle w:val="Odstavekseznama"/>
        <w:spacing w:after="0"/>
        <w:jc w:val="both"/>
        <w:rPr>
          <w:rFonts w:cstheme="minorHAnsi"/>
          <w:i/>
        </w:rPr>
      </w:pPr>
    </w:p>
    <w:p w14:paraId="2FCB4723" w14:textId="57FA51D5" w:rsidR="004742D2" w:rsidRPr="008B037E" w:rsidRDefault="004742D2" w:rsidP="00720E72">
      <w:pPr>
        <w:pStyle w:val="Odstavekseznama"/>
        <w:spacing w:after="0"/>
        <w:jc w:val="both"/>
        <w:rPr>
          <w:rFonts w:eastAsia="Times New Roman" w:cstheme="minorHAnsi"/>
          <w:i/>
        </w:rPr>
      </w:pPr>
      <w:r w:rsidRPr="008B037E">
        <w:rPr>
          <w:rFonts w:cstheme="minorHAnsi"/>
          <w:i/>
        </w:rPr>
        <w:t xml:space="preserve">3.3. Organ/organi za usklajevanje in spremljanje </w:t>
      </w:r>
    </w:p>
    <w:tbl>
      <w:tblPr>
        <w:tblStyle w:val="Tabelamrea"/>
        <w:tblW w:w="0" w:type="auto"/>
        <w:tblInd w:w="0" w:type="dxa"/>
        <w:tblLook w:val="04A0" w:firstRow="1" w:lastRow="0" w:firstColumn="1" w:lastColumn="0" w:noHBand="0" w:noVBand="1"/>
      </w:tblPr>
      <w:tblGrid>
        <w:gridCol w:w="9062"/>
      </w:tblGrid>
      <w:tr w:rsidR="004742D2" w:rsidRPr="008B037E" w14:paraId="2E934693" w14:textId="77777777" w:rsidTr="00A22327">
        <w:trPr>
          <w:trHeight w:val="306"/>
        </w:trPr>
        <w:tc>
          <w:tcPr>
            <w:tcW w:w="9062" w:type="dxa"/>
            <w:tcBorders>
              <w:top w:val="single" w:sz="4" w:space="0" w:color="auto"/>
              <w:left w:val="single" w:sz="4" w:space="0" w:color="auto"/>
              <w:bottom w:val="single" w:sz="4" w:space="0" w:color="auto"/>
              <w:right w:val="single" w:sz="4" w:space="0" w:color="auto"/>
            </w:tcBorders>
            <w:hideMark/>
          </w:tcPr>
          <w:p w14:paraId="2474C416" w14:textId="77777777" w:rsidR="004742D2" w:rsidRPr="008B037E" w:rsidRDefault="004742D2" w:rsidP="00720E72">
            <w:pPr>
              <w:spacing w:before="0" w:after="0" w:line="276" w:lineRule="auto"/>
              <w:rPr>
                <w:rFonts w:asciiTheme="minorHAnsi" w:eastAsia="Times New Roman" w:hAnsiTheme="minorHAnsi" w:cstheme="minorHAnsi"/>
                <w:i/>
                <w:sz w:val="22"/>
              </w:rPr>
            </w:pPr>
            <w:r w:rsidRPr="008B037E">
              <w:rPr>
                <w:rFonts w:asciiTheme="minorHAnsi" w:hAnsiTheme="minorHAnsi" w:cstheme="minorHAnsi"/>
                <w:i/>
                <w:sz w:val="22"/>
              </w:rPr>
              <w:t>Organ ali organi, odgovorni za usklajevanje in spremljanje izvajanja načrta ter njegova oziroma njihova vloga.</w:t>
            </w:r>
          </w:p>
        </w:tc>
      </w:tr>
    </w:tbl>
    <w:p w14:paraId="15D5063C" w14:textId="2163DDAF" w:rsidR="00A97219" w:rsidRPr="008B037E" w:rsidRDefault="00A97219" w:rsidP="001A4C47">
      <w:pPr>
        <w:spacing w:before="0" w:after="0" w:line="276" w:lineRule="auto"/>
        <w:rPr>
          <w:rFonts w:asciiTheme="minorHAnsi" w:hAnsiTheme="minorHAnsi" w:cstheme="minorHAnsi"/>
          <w:sz w:val="22"/>
        </w:rPr>
      </w:pPr>
    </w:p>
    <w:p w14:paraId="73D81C3B" w14:textId="77777777" w:rsidR="00A97219" w:rsidRPr="008B037E" w:rsidRDefault="00A97219" w:rsidP="00A97219">
      <w:pPr>
        <w:spacing w:before="0" w:after="0" w:line="276" w:lineRule="auto"/>
        <w:rPr>
          <w:rFonts w:asciiTheme="minorHAnsi" w:hAnsiTheme="minorHAnsi" w:cstheme="minorHAnsi"/>
          <w:sz w:val="22"/>
        </w:rPr>
      </w:pPr>
      <w:r w:rsidRPr="008B037E">
        <w:rPr>
          <w:rFonts w:asciiTheme="minorHAnsi" w:hAnsiTheme="minorHAnsi" w:cstheme="minorHAnsi"/>
          <w:sz w:val="22"/>
        </w:rPr>
        <w:t>Organi in njihova vloga:</w:t>
      </w:r>
    </w:p>
    <w:p w14:paraId="44BFEAAF" w14:textId="77777777" w:rsidR="00A97219" w:rsidRPr="008B037E" w:rsidRDefault="00A97219" w:rsidP="00A97219">
      <w:pPr>
        <w:spacing w:after="0"/>
        <w:rPr>
          <w:rFonts w:asciiTheme="minorHAnsi" w:hAnsiTheme="minorHAnsi"/>
          <w:b/>
          <w:sz w:val="22"/>
        </w:rPr>
      </w:pPr>
      <w:r w:rsidRPr="008B037E">
        <w:rPr>
          <w:rFonts w:asciiTheme="minorHAnsi" w:hAnsiTheme="minorHAnsi"/>
          <w:b/>
          <w:sz w:val="22"/>
        </w:rPr>
        <w:t>v vlogi organa upravljanja (v nadaljevanju: OU) in nacionalnega koordinatorja: Služba Vlade RS za razvoj in evropsko kohezijsko politiko</w:t>
      </w:r>
      <w:r w:rsidRPr="008B037E">
        <w:rPr>
          <w:rFonts w:asciiTheme="minorHAnsi" w:hAnsiTheme="minorHAnsi" w:cstheme="minorHAnsi"/>
          <w:b/>
          <w:bCs/>
          <w:sz w:val="22"/>
        </w:rPr>
        <w:t>:</w:t>
      </w:r>
      <w:r w:rsidRPr="008B037E">
        <w:rPr>
          <w:rFonts w:asciiTheme="minorHAnsi" w:hAnsiTheme="minorHAnsi"/>
          <w:b/>
          <w:sz w:val="22"/>
        </w:rPr>
        <w:t xml:space="preserve"> </w:t>
      </w:r>
    </w:p>
    <w:p w14:paraId="119B211B" w14:textId="77777777" w:rsidR="00A97219" w:rsidRPr="008B037E" w:rsidRDefault="00A97219" w:rsidP="00A97219">
      <w:pPr>
        <w:pStyle w:val="Odstavekseznama"/>
        <w:numPr>
          <w:ilvl w:val="0"/>
          <w:numId w:val="32"/>
        </w:numPr>
        <w:spacing w:after="0"/>
        <w:jc w:val="both"/>
        <w:rPr>
          <w:rFonts w:ascii="Calibri" w:hAnsi="Calibri" w:cs="Calibri"/>
        </w:rPr>
      </w:pPr>
      <w:r w:rsidRPr="008B037E">
        <w:rPr>
          <w:rFonts w:ascii="Calibri" w:hAnsi="Calibri" w:cs="Calibri"/>
        </w:rPr>
        <w:t xml:space="preserve">priprava predlogov območnih načrtov za pravični prehod (v nadaljevanju: ONPP) v skladu z zahtevami Uredbe SPP, </w:t>
      </w:r>
    </w:p>
    <w:p w14:paraId="0751C102"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uskladitev predlogov ONPP ob upoštevanju načela partnerstva z relevantnimi deležniki na regionalni in nacionalni ravni,</w:t>
      </w:r>
    </w:p>
    <w:p w14:paraId="6666260B"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umestitev predlogov ONPP v program VFO 2021-2027,</w:t>
      </w:r>
    </w:p>
    <w:p w14:paraId="77CE564D"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koordinacija priprave sprememb ONPP,</w:t>
      </w:r>
    </w:p>
    <w:p w14:paraId="41D1ADCD"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spremljanje in vrednotenje izvajanja ONPP.</w:t>
      </w:r>
    </w:p>
    <w:p w14:paraId="2405659F" w14:textId="7376A230" w:rsidR="00A97219" w:rsidRPr="008B037E" w:rsidRDefault="00A97219" w:rsidP="00A97219">
      <w:pPr>
        <w:spacing w:after="0"/>
        <w:rPr>
          <w:rFonts w:asciiTheme="minorHAnsi" w:hAnsiTheme="minorHAnsi"/>
          <w:b/>
          <w:sz w:val="22"/>
        </w:rPr>
      </w:pPr>
      <w:r w:rsidRPr="008B037E">
        <w:rPr>
          <w:rFonts w:asciiTheme="minorHAnsi" w:hAnsiTheme="minorHAnsi"/>
          <w:b/>
          <w:sz w:val="22"/>
        </w:rPr>
        <w:t>v vlogi regionalne razvojne agencije  ali območne razvojne institucije (RRA):</w:t>
      </w:r>
      <w:r w:rsidR="001371B9" w:rsidRPr="008B037E">
        <w:rPr>
          <w:rFonts w:asciiTheme="minorHAnsi" w:hAnsiTheme="minorHAnsi"/>
          <w:b/>
          <w:sz w:val="22"/>
        </w:rPr>
        <w:t xml:space="preserve"> Razvojna agencija SAŠA (v nadaljevanju:</w:t>
      </w:r>
      <w:r w:rsidRPr="008B037E">
        <w:rPr>
          <w:rFonts w:asciiTheme="minorHAnsi" w:hAnsiTheme="minorHAnsi"/>
          <w:b/>
          <w:sz w:val="22"/>
        </w:rPr>
        <w:t xml:space="preserve"> RA SAŠA</w:t>
      </w:r>
      <w:r w:rsidR="001371B9" w:rsidRPr="008B037E">
        <w:rPr>
          <w:rFonts w:asciiTheme="minorHAnsi" w:hAnsiTheme="minorHAnsi"/>
          <w:b/>
          <w:sz w:val="22"/>
        </w:rPr>
        <w:t>)</w:t>
      </w:r>
      <w:r w:rsidRPr="008B037E">
        <w:rPr>
          <w:rFonts w:asciiTheme="minorHAnsi" w:hAnsiTheme="minorHAnsi"/>
          <w:b/>
          <w:sz w:val="22"/>
        </w:rPr>
        <w:t xml:space="preserve"> kot razvojna institucija, ki je vpisana v evidenco regionalnih razvojnih agencij ministrstva, pristojnega za regionalni razvoj</w:t>
      </w:r>
      <w:r w:rsidRPr="008B037E">
        <w:rPr>
          <w:rFonts w:asciiTheme="minorHAnsi" w:hAnsiTheme="minorHAnsi" w:cstheme="minorHAnsi"/>
          <w:b/>
          <w:bCs/>
          <w:sz w:val="22"/>
        </w:rPr>
        <w:t>:</w:t>
      </w:r>
      <w:r w:rsidRPr="008B037E">
        <w:rPr>
          <w:rFonts w:asciiTheme="minorHAnsi" w:hAnsiTheme="minorHAnsi"/>
          <w:b/>
          <w:sz w:val="22"/>
        </w:rPr>
        <w:t xml:space="preserve"> </w:t>
      </w:r>
    </w:p>
    <w:p w14:paraId="7E18378F"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sodelovanje pri načrtovanju sistema izvajanja pravičnega prehoda,</w:t>
      </w:r>
    </w:p>
    <w:p w14:paraId="02186F00"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sodelovanje z OU pri  aktivnostih na regionalni ravni za zagotavljanje partnerstva,</w:t>
      </w:r>
    </w:p>
    <w:p w14:paraId="0CA56484" w14:textId="71B16394" w:rsidR="001A07F9" w:rsidRPr="008B037E" w:rsidRDefault="00A97219" w:rsidP="00A97219">
      <w:pPr>
        <w:pStyle w:val="Odstavekseznama"/>
        <w:numPr>
          <w:ilvl w:val="0"/>
          <w:numId w:val="32"/>
        </w:numPr>
        <w:spacing w:after="0"/>
        <w:jc w:val="both"/>
        <w:rPr>
          <w:rFonts w:cstheme="minorHAnsi"/>
        </w:rPr>
      </w:pPr>
      <w:r w:rsidRPr="008B037E">
        <w:rPr>
          <w:rFonts w:cstheme="minorHAnsi"/>
        </w:rPr>
        <w:t>sodelovanje pri pripravi in spremembah ONPP,</w:t>
      </w:r>
    </w:p>
    <w:p w14:paraId="51310AD7" w14:textId="00468C42" w:rsidR="00A97219" w:rsidRPr="008B037E" w:rsidRDefault="00A97219" w:rsidP="00A97219">
      <w:pPr>
        <w:pStyle w:val="Odstavekseznama"/>
        <w:numPr>
          <w:ilvl w:val="0"/>
          <w:numId w:val="32"/>
        </w:numPr>
        <w:spacing w:after="0"/>
        <w:jc w:val="both"/>
        <w:rPr>
          <w:rFonts w:cstheme="minorHAnsi"/>
        </w:rPr>
      </w:pPr>
      <w:r w:rsidRPr="008B037E">
        <w:rPr>
          <w:rFonts w:cstheme="minorHAnsi"/>
        </w:rPr>
        <w:t>če je relevantno, sodelovanje s PO v postopkih izbora operacij;</w:t>
      </w:r>
    </w:p>
    <w:p w14:paraId="6179B225"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 xml:space="preserve">pregled in podaja mnenja o skladnosti vlog (NPO ali JR/JP) za odločitev o podpori z ONPP (v kolikor ne nastopa v vlogi potencialnega prejemnika sredstev oz. upravičenca), </w:t>
      </w:r>
    </w:p>
    <w:p w14:paraId="14B41FB1"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spremljanje izvajanja ONPP in v tem okviru priprava poročil o izvajanju (kvartalnih, letnih, končnih) ter poročanje OU, glede na navodila OU, za kar uporablja podatke informacijskega sistema OU,</w:t>
      </w:r>
    </w:p>
    <w:p w14:paraId="5D309281"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sodelovanje z OU in PO pri vrednotenju izvajanja ONPP;</w:t>
      </w:r>
    </w:p>
    <w:p w14:paraId="2B714A76" w14:textId="77777777" w:rsidR="00A97219" w:rsidRPr="008B037E" w:rsidRDefault="00A97219" w:rsidP="00A97219">
      <w:pPr>
        <w:spacing w:after="0"/>
        <w:rPr>
          <w:rFonts w:asciiTheme="minorHAnsi" w:hAnsiTheme="minorHAnsi"/>
          <w:b/>
          <w:sz w:val="22"/>
        </w:rPr>
      </w:pPr>
      <w:r w:rsidRPr="008B037E">
        <w:rPr>
          <w:rFonts w:asciiTheme="minorHAnsi" w:hAnsiTheme="minorHAnsi"/>
          <w:b/>
          <w:sz w:val="22"/>
        </w:rPr>
        <w:t>v vlogi posredniškega organa (v nadaljevanju PO): Ministrstvo za gospodarski razvoj in tehnologijo (MGRT), Ministrstvo za delo, družino, socialne zadeve in enake možnosti (MDDSZ), Ministrstvo za izobraževanje, znanost in šport (MIZŠ), Ministrstvo za okolje in prostor (MOP), Ministrstvo za infrastrukturo (MZI):</w:t>
      </w:r>
    </w:p>
    <w:p w14:paraId="3442646A" w14:textId="77777777" w:rsidR="00A97219" w:rsidRPr="008B037E" w:rsidRDefault="00A97219" w:rsidP="00A97219">
      <w:pPr>
        <w:pStyle w:val="Odstavekseznama"/>
        <w:numPr>
          <w:ilvl w:val="0"/>
          <w:numId w:val="32"/>
        </w:numPr>
        <w:spacing w:after="0"/>
        <w:jc w:val="both"/>
        <w:rPr>
          <w:rFonts w:cstheme="minorHAnsi"/>
        </w:rPr>
      </w:pPr>
      <w:r w:rsidRPr="008B037E">
        <w:rPr>
          <w:rFonts w:cstheme="minorHAnsi"/>
        </w:rPr>
        <w:t>izvajanje nalog v skladu z Uredbo 2021-2027,</w:t>
      </w:r>
    </w:p>
    <w:p w14:paraId="7212FE49" w14:textId="48DA9576" w:rsidR="00A97219" w:rsidRPr="008B037E" w:rsidRDefault="00A97219" w:rsidP="00A97219">
      <w:pPr>
        <w:pStyle w:val="Odstavekseznama"/>
        <w:numPr>
          <w:ilvl w:val="0"/>
          <w:numId w:val="32"/>
        </w:numPr>
        <w:spacing w:after="0"/>
        <w:jc w:val="both"/>
        <w:rPr>
          <w:rFonts w:cstheme="minorHAnsi"/>
        </w:rPr>
      </w:pPr>
      <w:r w:rsidRPr="008B037E">
        <w:rPr>
          <w:rFonts w:cstheme="minorHAnsi"/>
        </w:rPr>
        <w:t>če je relevantno, vključevanje RA SAŠA v postopke izbora operacij,</w:t>
      </w:r>
    </w:p>
    <w:p w14:paraId="5DB2372C" w14:textId="4852B2B6" w:rsidR="00A97219" w:rsidRPr="008B037E" w:rsidRDefault="00A97219" w:rsidP="00A97219">
      <w:pPr>
        <w:pStyle w:val="Odstavekseznama"/>
        <w:numPr>
          <w:ilvl w:val="0"/>
          <w:numId w:val="32"/>
        </w:numPr>
        <w:spacing w:after="0"/>
        <w:jc w:val="both"/>
        <w:rPr>
          <w:rFonts w:cstheme="minorHAnsi"/>
        </w:rPr>
      </w:pPr>
      <w:r w:rsidRPr="008B037E">
        <w:rPr>
          <w:rFonts w:cstheme="minorHAnsi"/>
        </w:rPr>
        <w:t>pred posredovanjem vloge za odločitev o podpori na OU pridobi mnenje RA SAŠA, ki tako predstavlja obvezni sestavni del vloge za odločitev o podpori,</w:t>
      </w:r>
    </w:p>
    <w:p w14:paraId="18FB682E" w14:textId="13B6F019" w:rsidR="00A97219" w:rsidRPr="008B037E" w:rsidRDefault="00A97219" w:rsidP="00A97219">
      <w:pPr>
        <w:pStyle w:val="Odstavekseznama"/>
        <w:numPr>
          <w:ilvl w:val="0"/>
          <w:numId w:val="32"/>
        </w:numPr>
        <w:spacing w:after="0"/>
        <w:jc w:val="both"/>
        <w:rPr>
          <w:rFonts w:cstheme="minorHAnsi"/>
        </w:rPr>
      </w:pPr>
      <w:r w:rsidRPr="008B037E">
        <w:rPr>
          <w:rFonts w:cstheme="minorHAnsi"/>
        </w:rPr>
        <w:t xml:space="preserve"> seznanjanje R</w:t>
      </w:r>
      <w:r w:rsidR="005B3AB9" w:rsidRPr="008B037E">
        <w:rPr>
          <w:rFonts w:cstheme="minorHAnsi"/>
        </w:rPr>
        <w:t>A SAŠA</w:t>
      </w:r>
      <w:r w:rsidRPr="008B037E">
        <w:rPr>
          <w:rFonts w:cstheme="minorHAnsi"/>
        </w:rPr>
        <w:t xml:space="preserve"> o izvedenih postopkih javnih razpisov in javnih pozivov, </w:t>
      </w:r>
    </w:p>
    <w:p w14:paraId="7FD87457" w14:textId="72ED17F3" w:rsidR="00A97219" w:rsidRPr="008B037E" w:rsidRDefault="00A97219" w:rsidP="00A97219">
      <w:pPr>
        <w:pStyle w:val="Odstavekseznama"/>
        <w:numPr>
          <w:ilvl w:val="0"/>
          <w:numId w:val="32"/>
        </w:numPr>
        <w:spacing w:after="0"/>
        <w:jc w:val="both"/>
        <w:rPr>
          <w:rFonts w:cstheme="minorHAnsi"/>
        </w:rPr>
      </w:pPr>
      <w:r w:rsidRPr="008B037E">
        <w:rPr>
          <w:rFonts w:cstheme="minorHAnsi"/>
        </w:rPr>
        <w:t>seznanjanje RA</w:t>
      </w:r>
      <w:r w:rsidR="005B3AB9" w:rsidRPr="008B037E">
        <w:rPr>
          <w:rFonts w:cstheme="minorHAnsi"/>
        </w:rPr>
        <w:t xml:space="preserve"> SAŠA</w:t>
      </w:r>
      <w:r w:rsidRPr="008B037E">
        <w:rPr>
          <w:rFonts w:cstheme="minorHAnsi"/>
        </w:rPr>
        <w:t xml:space="preserve"> o  odstopih od pogodb o sofinanciranju,</w:t>
      </w:r>
    </w:p>
    <w:p w14:paraId="2DF42052" w14:textId="24471E4D" w:rsidR="00A97219" w:rsidRPr="008B037E" w:rsidRDefault="00A97219" w:rsidP="00A97219">
      <w:pPr>
        <w:pStyle w:val="Odstavekseznama"/>
        <w:numPr>
          <w:ilvl w:val="0"/>
          <w:numId w:val="32"/>
        </w:numPr>
        <w:spacing w:after="0"/>
        <w:jc w:val="both"/>
        <w:rPr>
          <w:rFonts w:cstheme="minorHAnsi"/>
        </w:rPr>
      </w:pPr>
      <w:r w:rsidRPr="008B037E">
        <w:rPr>
          <w:rFonts w:cstheme="minorHAnsi"/>
        </w:rPr>
        <w:t>sodelovanje z RA</w:t>
      </w:r>
      <w:r w:rsidR="005B3AB9" w:rsidRPr="008B037E">
        <w:rPr>
          <w:rFonts w:cstheme="minorHAnsi"/>
        </w:rPr>
        <w:t xml:space="preserve"> SAŠA</w:t>
      </w:r>
      <w:r w:rsidRPr="008B037E">
        <w:rPr>
          <w:rFonts w:cstheme="minorHAnsi"/>
        </w:rPr>
        <w:t xml:space="preserve"> pri spremljanju izvajanja ONPP.</w:t>
      </w:r>
    </w:p>
    <w:p w14:paraId="0F3C57C5" w14:textId="77777777" w:rsidR="00A97219" w:rsidRPr="008B037E" w:rsidRDefault="00A97219" w:rsidP="001A4C47">
      <w:pPr>
        <w:spacing w:before="0" w:after="0" w:line="276" w:lineRule="auto"/>
        <w:rPr>
          <w:rFonts w:asciiTheme="minorHAnsi" w:hAnsiTheme="minorHAnsi" w:cstheme="minorHAnsi"/>
          <w:sz w:val="22"/>
        </w:rPr>
      </w:pPr>
    </w:p>
    <w:p w14:paraId="4987A29E" w14:textId="4099E180" w:rsidR="00B61E23" w:rsidRPr="008B037E" w:rsidRDefault="001A4C47" w:rsidP="001A4C47">
      <w:pPr>
        <w:spacing w:before="0" w:after="0" w:line="276" w:lineRule="auto"/>
        <w:rPr>
          <w:rFonts w:asciiTheme="minorHAnsi" w:hAnsiTheme="minorHAnsi" w:cstheme="minorHAnsi"/>
          <w:sz w:val="22"/>
        </w:rPr>
      </w:pPr>
      <w:r w:rsidRPr="008B037E">
        <w:rPr>
          <w:rFonts w:asciiTheme="minorHAnsi" w:hAnsiTheme="minorHAnsi" w:cstheme="minorHAnsi"/>
          <w:sz w:val="22"/>
        </w:rPr>
        <w:t xml:space="preserve">V premogovni regiji </w:t>
      </w:r>
      <w:r w:rsidR="005B3AB9" w:rsidRPr="008B037E">
        <w:rPr>
          <w:rFonts w:asciiTheme="minorHAnsi" w:hAnsiTheme="minorHAnsi" w:cstheme="minorHAnsi"/>
          <w:sz w:val="22"/>
        </w:rPr>
        <w:t>SAŠA</w:t>
      </w:r>
      <w:r w:rsidRPr="008B037E">
        <w:rPr>
          <w:rFonts w:asciiTheme="minorHAnsi" w:hAnsiTheme="minorHAnsi" w:cstheme="minorHAnsi"/>
          <w:sz w:val="22"/>
        </w:rPr>
        <w:t xml:space="preserve"> </w:t>
      </w:r>
      <w:r w:rsidR="001371B9" w:rsidRPr="008B037E">
        <w:rPr>
          <w:rFonts w:asciiTheme="minorHAnsi" w:hAnsiTheme="minorHAnsi" w:cstheme="minorHAnsi"/>
          <w:sz w:val="22"/>
        </w:rPr>
        <w:t xml:space="preserve">RA SAŠA </w:t>
      </w:r>
      <w:r w:rsidRPr="008B037E">
        <w:rPr>
          <w:rFonts w:asciiTheme="minorHAnsi" w:hAnsiTheme="minorHAnsi" w:cstheme="minorHAnsi"/>
          <w:sz w:val="22"/>
        </w:rPr>
        <w:t>deluje tudi kot Center za pravični prehod, ki ločeno od nalog, ki jih izvaja v okviru upravljanja, izvaja naslednje aktivnosti: (i) vzpostavljanje lokalnih partnerstev in mreženje za potrebe izvajanja projektov oz. operacij, (ii) izvajanje usposabljanj in krepitev zmogljivosti projektnih sponzorjev, (iii) zagotavljanje podpore pri pripravi projektov (podpora pri izdelavi projektnih idej, pripravi vlog, investicijske dokumentacije ipd.), (iv) spremljanje izvajanja projektov in podporo pri projektnem upravljanju ter (v) evidentiranje prostorsko in okoljsko degradiranih območij (stanje, optimalna raba, način in časovnica sanacije,…)</w:t>
      </w:r>
      <w:r w:rsidR="006778B0" w:rsidRPr="008B037E">
        <w:rPr>
          <w:rFonts w:asciiTheme="minorHAnsi" w:hAnsiTheme="minorHAnsi" w:cstheme="minorHAnsi"/>
          <w:sz w:val="22"/>
        </w:rPr>
        <w:t xml:space="preserve"> in priprava vizije o revitalizaciji dediščine povezane s premogovništvom</w:t>
      </w:r>
      <w:r w:rsidRPr="008B037E">
        <w:rPr>
          <w:rFonts w:asciiTheme="minorHAnsi" w:hAnsiTheme="minorHAnsi" w:cstheme="minorHAnsi"/>
          <w:sz w:val="22"/>
        </w:rPr>
        <w:t>, (vi) priprava študij in analiz, potrebnih za učinkovito in pravočasno izvajanje strategije in z njo povezanih programov, ukrepov ali projektov, tudi (vii) deluje tudi kot glavna informacijska točka ter s tem skrbi za dosledno izvajanje ukrepov informiranja in obveščanja tako lokalnih deležnikov pravičnega prehoda (npr. občanov, projektnih sponzorjev, delavcev v premogovništvu ipd.) kot tudi širše zainteresirane javnosti.</w:t>
      </w:r>
    </w:p>
    <w:p w14:paraId="128C6334" w14:textId="77777777" w:rsidR="00B61E23" w:rsidRPr="008B037E" w:rsidRDefault="00B61E23">
      <w:pPr>
        <w:spacing w:before="0" w:after="160" w:line="259" w:lineRule="auto"/>
        <w:jc w:val="left"/>
        <w:rPr>
          <w:rFonts w:asciiTheme="minorHAnsi" w:hAnsiTheme="minorHAnsi" w:cstheme="minorHAnsi"/>
          <w:sz w:val="22"/>
        </w:rPr>
      </w:pPr>
      <w:r w:rsidRPr="008B037E">
        <w:rPr>
          <w:rFonts w:asciiTheme="minorHAnsi" w:hAnsiTheme="minorHAnsi" w:cstheme="minorHAnsi"/>
          <w:sz w:val="22"/>
        </w:rPr>
        <w:br w:type="page"/>
      </w:r>
    </w:p>
    <w:p w14:paraId="02BBA8EE" w14:textId="77777777" w:rsidR="00B61E23" w:rsidRPr="008B037E" w:rsidRDefault="00B61E23" w:rsidP="00B61E23">
      <w:pPr>
        <w:spacing w:before="0" w:after="0" w:line="276" w:lineRule="auto"/>
        <w:rPr>
          <w:rFonts w:ascii="Calibri" w:eastAsia="Calibri" w:hAnsi="Calibri" w:cs="Calibri"/>
        </w:rPr>
      </w:pPr>
      <w:r w:rsidRPr="008B037E">
        <w:rPr>
          <w:rFonts w:ascii="Calibri" w:eastAsia="Calibri" w:hAnsi="Calibri" w:cs="Calibri"/>
        </w:rPr>
        <w:t>SEZNAM KRATIC</w:t>
      </w:r>
    </w:p>
    <w:p w14:paraId="7E4835FA"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BDP</w:t>
      </w:r>
      <w:r w:rsidRPr="008B037E">
        <w:rPr>
          <w:rFonts w:asciiTheme="minorHAnsi" w:hAnsiTheme="minorHAnsi" w:cstheme="minorHAnsi"/>
          <w:sz w:val="22"/>
        </w:rPr>
        <w:tab/>
        <w:t>Bruto družbeni proizvod</w:t>
      </w:r>
    </w:p>
    <w:p w14:paraId="334BBFE4"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DIH</w:t>
      </w:r>
      <w:r w:rsidRPr="008B037E">
        <w:rPr>
          <w:rFonts w:asciiTheme="minorHAnsi" w:hAnsiTheme="minorHAnsi" w:cstheme="minorHAnsi"/>
          <w:sz w:val="22"/>
        </w:rPr>
        <w:tab/>
        <w:t>digitalno inovacijsko središče</w:t>
      </w:r>
    </w:p>
    <w:p w14:paraId="7C0D6245" w14:textId="55BE3517" w:rsidR="00B61E23"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EF</w:t>
      </w:r>
      <w:r w:rsidRPr="008B037E">
        <w:rPr>
          <w:rFonts w:asciiTheme="minorHAnsi" w:hAnsiTheme="minorHAnsi" w:cstheme="minorHAnsi"/>
          <w:sz w:val="22"/>
        </w:rPr>
        <w:tab/>
        <w:t>elektrofilterski pepel</w:t>
      </w:r>
    </w:p>
    <w:p w14:paraId="7D07938F" w14:textId="27DECE9F" w:rsidR="00FB6EAE" w:rsidRPr="008B037E" w:rsidRDefault="00FB6EAE" w:rsidP="00B61E23">
      <w:pPr>
        <w:spacing w:before="0" w:after="0" w:line="276" w:lineRule="auto"/>
        <w:rPr>
          <w:rFonts w:asciiTheme="minorHAnsi" w:hAnsiTheme="minorHAnsi" w:cstheme="minorHAnsi"/>
          <w:sz w:val="22"/>
        </w:rPr>
      </w:pPr>
      <w:r>
        <w:rPr>
          <w:rFonts w:asciiTheme="minorHAnsi" w:hAnsiTheme="minorHAnsi" w:cstheme="minorHAnsi"/>
          <w:sz w:val="22"/>
        </w:rPr>
        <w:t>EPI</w:t>
      </w:r>
      <w:r>
        <w:rPr>
          <w:rFonts w:asciiTheme="minorHAnsi" w:hAnsiTheme="minorHAnsi" w:cstheme="minorHAnsi"/>
          <w:sz w:val="22"/>
        </w:rPr>
        <w:tab/>
        <w:t>ekonomsko poslovna infrastruktura</w:t>
      </w:r>
    </w:p>
    <w:p w14:paraId="287FE61B" w14:textId="012FACDE" w:rsidR="00B61E23"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IKT</w:t>
      </w:r>
      <w:r w:rsidRPr="008B037E">
        <w:rPr>
          <w:rFonts w:asciiTheme="minorHAnsi" w:hAnsiTheme="minorHAnsi" w:cstheme="minorHAnsi"/>
          <w:sz w:val="22"/>
        </w:rPr>
        <w:tab/>
        <w:t>Informacijsko komunikacijska tehnologija</w:t>
      </w:r>
    </w:p>
    <w:p w14:paraId="1D0764B1" w14:textId="1F184215" w:rsidR="00D166B7" w:rsidRPr="008B037E" w:rsidRDefault="00D166B7" w:rsidP="00B61E23">
      <w:pPr>
        <w:spacing w:before="0" w:after="0" w:line="276" w:lineRule="auto"/>
        <w:rPr>
          <w:rFonts w:asciiTheme="minorHAnsi" w:hAnsiTheme="minorHAnsi" w:cstheme="minorHAnsi"/>
          <w:sz w:val="22"/>
        </w:rPr>
      </w:pPr>
      <w:r>
        <w:rPr>
          <w:rFonts w:asciiTheme="minorHAnsi" w:hAnsiTheme="minorHAnsi" w:cstheme="minorHAnsi"/>
          <w:sz w:val="22"/>
        </w:rPr>
        <w:t>IoT</w:t>
      </w:r>
      <w:r>
        <w:rPr>
          <w:rFonts w:asciiTheme="minorHAnsi" w:hAnsiTheme="minorHAnsi" w:cstheme="minorHAnsi"/>
          <w:sz w:val="22"/>
        </w:rPr>
        <w:tab/>
        <w:t>internet stvari</w:t>
      </w:r>
    </w:p>
    <w:p w14:paraId="4DAB6928" w14:textId="15F2D13C" w:rsidR="00B61E23"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IT</w:t>
      </w:r>
      <w:r w:rsidRPr="008B037E">
        <w:rPr>
          <w:rFonts w:asciiTheme="minorHAnsi" w:hAnsiTheme="minorHAnsi" w:cstheme="minorHAnsi"/>
          <w:sz w:val="22"/>
        </w:rPr>
        <w:tab/>
        <w:t>informacijska tehnologija</w:t>
      </w:r>
    </w:p>
    <w:p w14:paraId="1F51A0D3" w14:textId="361B02F1" w:rsidR="00D166B7" w:rsidRPr="008B037E" w:rsidRDefault="00D166B7" w:rsidP="00B61E23">
      <w:pPr>
        <w:spacing w:before="0" w:after="0" w:line="276" w:lineRule="auto"/>
        <w:rPr>
          <w:rFonts w:asciiTheme="minorHAnsi" w:hAnsiTheme="minorHAnsi" w:cstheme="minorHAnsi"/>
          <w:sz w:val="22"/>
        </w:rPr>
      </w:pPr>
      <w:r>
        <w:rPr>
          <w:rFonts w:asciiTheme="minorHAnsi" w:hAnsiTheme="minorHAnsi" w:cstheme="minorHAnsi"/>
          <w:sz w:val="22"/>
        </w:rPr>
        <w:t>JPP</w:t>
      </w:r>
      <w:r>
        <w:rPr>
          <w:rFonts w:asciiTheme="minorHAnsi" w:hAnsiTheme="minorHAnsi" w:cstheme="minorHAnsi"/>
          <w:sz w:val="22"/>
        </w:rPr>
        <w:tab/>
        <w:t>Javni potniški promet</w:t>
      </w:r>
    </w:p>
    <w:p w14:paraId="43EE0B15"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HOM</w:t>
      </w:r>
      <w:r w:rsidRPr="008B037E">
        <w:rPr>
          <w:rFonts w:asciiTheme="minorHAnsi" w:hAnsiTheme="minorHAnsi" w:cstheme="minorHAnsi"/>
          <w:sz w:val="22"/>
        </w:rPr>
        <w:tab/>
        <w:t>horizontalna mreža</w:t>
      </w:r>
    </w:p>
    <w:p w14:paraId="1E2BFF85"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KI</w:t>
      </w:r>
      <w:r w:rsidRPr="008B037E">
        <w:rPr>
          <w:rFonts w:asciiTheme="minorHAnsi" w:hAnsiTheme="minorHAnsi" w:cstheme="minorHAnsi"/>
          <w:sz w:val="22"/>
        </w:rPr>
        <w:tab/>
        <w:t>Kemijski inštitut</w:t>
      </w:r>
    </w:p>
    <w:p w14:paraId="18F65175"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MDDSZ</w:t>
      </w:r>
      <w:r w:rsidRPr="008B037E">
        <w:rPr>
          <w:rFonts w:asciiTheme="minorHAnsi" w:hAnsiTheme="minorHAnsi" w:cstheme="minorHAnsi"/>
          <w:sz w:val="22"/>
        </w:rPr>
        <w:tab/>
        <w:t>Ministrstvo za delo,družino, socialne zadeve in enake možnosti</w:t>
      </w:r>
    </w:p>
    <w:p w14:paraId="3C9FBB90"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MIZŠ</w:t>
      </w:r>
      <w:r w:rsidRPr="008B037E">
        <w:rPr>
          <w:rFonts w:asciiTheme="minorHAnsi" w:hAnsiTheme="minorHAnsi" w:cstheme="minorHAnsi"/>
          <w:sz w:val="22"/>
        </w:rPr>
        <w:tab/>
        <w:t>Ministrstvo za izobraževanje, znanost in šport</w:t>
      </w:r>
    </w:p>
    <w:p w14:paraId="56EB56C8"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MGRT</w:t>
      </w:r>
      <w:r w:rsidRPr="008B037E">
        <w:rPr>
          <w:rFonts w:asciiTheme="minorHAnsi" w:hAnsiTheme="minorHAnsi" w:cstheme="minorHAnsi"/>
          <w:sz w:val="22"/>
        </w:rPr>
        <w:tab/>
        <w:t>Ministrstvo za gospodarski razvoj in tehnologijo</w:t>
      </w:r>
    </w:p>
    <w:p w14:paraId="1D6D1DD6"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MOP</w:t>
      </w:r>
      <w:r w:rsidRPr="008B037E">
        <w:rPr>
          <w:rFonts w:asciiTheme="minorHAnsi" w:hAnsiTheme="minorHAnsi" w:cstheme="minorHAnsi"/>
          <w:sz w:val="22"/>
        </w:rPr>
        <w:tab/>
        <w:t>Ministrstvo zaokolje in prostor</w:t>
      </w:r>
    </w:p>
    <w:p w14:paraId="7E1E52C9"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MSP</w:t>
      </w:r>
      <w:r w:rsidRPr="008B037E">
        <w:rPr>
          <w:rFonts w:asciiTheme="minorHAnsi" w:hAnsiTheme="minorHAnsi" w:cstheme="minorHAnsi"/>
          <w:sz w:val="22"/>
        </w:rPr>
        <w:tab/>
        <w:t>Mala in srednja podjetja</w:t>
      </w:r>
    </w:p>
    <w:p w14:paraId="6C5AE420"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MZI</w:t>
      </w:r>
      <w:r w:rsidRPr="008B037E">
        <w:rPr>
          <w:rFonts w:asciiTheme="minorHAnsi" w:hAnsiTheme="minorHAnsi" w:cstheme="minorHAnsi"/>
          <w:sz w:val="22"/>
        </w:rPr>
        <w:tab/>
        <w:t>Ministrstvo za infrastrukturo</w:t>
      </w:r>
    </w:p>
    <w:p w14:paraId="75EE8A3F"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NEPN</w:t>
      </w:r>
      <w:r w:rsidRPr="008B037E">
        <w:rPr>
          <w:rFonts w:asciiTheme="minorHAnsi" w:hAnsiTheme="minorHAnsi" w:cstheme="minorHAnsi"/>
          <w:sz w:val="22"/>
        </w:rPr>
        <w:tab/>
        <w:t xml:space="preserve">Celovitega nacionalnega energetskega in podnebnega načrta </w:t>
      </w:r>
    </w:p>
    <w:p w14:paraId="5B3A7F02" w14:textId="631B9331" w:rsidR="00B61E23"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NSPP</w:t>
      </w:r>
      <w:r w:rsidRPr="008B037E">
        <w:rPr>
          <w:rFonts w:asciiTheme="minorHAnsi" w:hAnsiTheme="minorHAnsi" w:cstheme="minorHAnsi"/>
          <w:sz w:val="22"/>
        </w:rPr>
        <w:tab/>
        <w:t xml:space="preserve">Nacionalna strategije za izstop iz premoga in prestrukturiranje premogovnih regij </w:t>
      </w:r>
    </w:p>
    <w:p w14:paraId="33EAA8D3" w14:textId="65EC9346" w:rsidR="00D166B7" w:rsidRPr="008B037E" w:rsidRDefault="00D166B7" w:rsidP="00B61E23">
      <w:pPr>
        <w:spacing w:before="0" w:after="0" w:line="276" w:lineRule="auto"/>
        <w:rPr>
          <w:rFonts w:ascii="Calibri" w:hAnsi="Calibri" w:cs="Calibri"/>
        </w:rPr>
      </w:pPr>
      <w:r>
        <w:rPr>
          <w:rFonts w:asciiTheme="minorHAnsi" w:hAnsiTheme="minorHAnsi" w:cstheme="minorHAnsi"/>
          <w:sz w:val="22"/>
        </w:rPr>
        <w:t>NVO</w:t>
      </w:r>
      <w:r>
        <w:rPr>
          <w:rFonts w:asciiTheme="minorHAnsi" w:hAnsiTheme="minorHAnsi" w:cstheme="minorHAnsi"/>
          <w:sz w:val="22"/>
        </w:rPr>
        <w:tab/>
        <w:t>Nevladne organizacije</w:t>
      </w:r>
    </w:p>
    <w:p w14:paraId="6E274DC2"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PO</w:t>
      </w:r>
      <w:r w:rsidRPr="008B037E">
        <w:rPr>
          <w:rFonts w:asciiTheme="minorHAnsi" w:hAnsiTheme="minorHAnsi" w:cstheme="minorHAnsi"/>
          <w:sz w:val="22"/>
        </w:rPr>
        <w:tab/>
        <w:t>Posredniški organ</w:t>
      </w:r>
    </w:p>
    <w:p w14:paraId="74DF0A1A"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OIC</w:t>
      </w:r>
      <w:r w:rsidRPr="008B037E">
        <w:rPr>
          <w:rFonts w:asciiTheme="minorHAnsi" w:hAnsiTheme="minorHAnsi" w:cstheme="minorHAnsi"/>
          <w:sz w:val="22"/>
        </w:rPr>
        <w:tab/>
        <w:t>obrtno industrijska cona</w:t>
      </w:r>
    </w:p>
    <w:p w14:paraId="2B9386C0"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ONPP</w:t>
      </w:r>
      <w:r w:rsidRPr="008B037E">
        <w:rPr>
          <w:rFonts w:asciiTheme="minorHAnsi" w:hAnsiTheme="minorHAnsi" w:cstheme="minorHAnsi"/>
          <w:sz w:val="22"/>
        </w:rPr>
        <w:tab/>
        <w:t>Območni načrt za pravični prehod</w:t>
      </w:r>
    </w:p>
    <w:p w14:paraId="55A53E9A"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OU</w:t>
      </w:r>
      <w:r w:rsidRPr="008B037E">
        <w:rPr>
          <w:rFonts w:asciiTheme="minorHAnsi" w:hAnsiTheme="minorHAnsi" w:cstheme="minorHAnsi"/>
          <w:sz w:val="22"/>
        </w:rPr>
        <w:tab/>
        <w:t>Organ upravljanja</w:t>
      </w:r>
    </w:p>
    <w:p w14:paraId="3F5F8565" w14:textId="42E848D9" w:rsidR="00B61E23"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OVE</w:t>
      </w:r>
      <w:r w:rsidRPr="008B037E">
        <w:rPr>
          <w:rFonts w:asciiTheme="minorHAnsi" w:hAnsiTheme="minorHAnsi" w:cstheme="minorHAnsi"/>
          <w:sz w:val="22"/>
        </w:rPr>
        <w:tab/>
        <w:t>obnovljivi viri energije</w:t>
      </w:r>
    </w:p>
    <w:p w14:paraId="643F82D9" w14:textId="0C4C08F7" w:rsidR="00D166B7" w:rsidRDefault="00D166B7" w:rsidP="00B61E23">
      <w:pPr>
        <w:spacing w:before="0" w:after="0" w:line="276" w:lineRule="auto"/>
        <w:rPr>
          <w:rFonts w:asciiTheme="minorHAnsi" w:hAnsiTheme="minorHAnsi" w:cstheme="minorHAnsi"/>
          <w:sz w:val="22"/>
        </w:rPr>
      </w:pPr>
      <w:r>
        <w:rPr>
          <w:rFonts w:asciiTheme="minorHAnsi" w:hAnsiTheme="minorHAnsi" w:cstheme="minorHAnsi"/>
          <w:sz w:val="22"/>
        </w:rPr>
        <w:t>P+R</w:t>
      </w:r>
      <w:r>
        <w:rPr>
          <w:rFonts w:asciiTheme="minorHAnsi" w:hAnsiTheme="minorHAnsi" w:cstheme="minorHAnsi"/>
          <w:sz w:val="22"/>
        </w:rPr>
        <w:tab/>
        <w:t>Park and Ride</w:t>
      </w:r>
    </w:p>
    <w:p w14:paraId="5C0099A9" w14:textId="2F63430F" w:rsidR="00D166B7" w:rsidRPr="008B037E" w:rsidRDefault="00D166B7" w:rsidP="00B61E23">
      <w:pPr>
        <w:spacing w:before="0" w:after="0" w:line="276" w:lineRule="auto"/>
        <w:rPr>
          <w:rFonts w:asciiTheme="minorHAnsi" w:hAnsiTheme="minorHAnsi" w:cstheme="minorHAnsi"/>
          <w:sz w:val="22"/>
        </w:rPr>
      </w:pPr>
      <w:r>
        <w:rPr>
          <w:rFonts w:asciiTheme="minorHAnsi" w:hAnsiTheme="minorHAnsi" w:cstheme="minorHAnsi"/>
          <w:sz w:val="22"/>
        </w:rPr>
        <w:t>RA</w:t>
      </w:r>
      <w:r>
        <w:rPr>
          <w:rFonts w:asciiTheme="minorHAnsi" w:hAnsiTheme="minorHAnsi" w:cstheme="minorHAnsi"/>
          <w:sz w:val="22"/>
        </w:rPr>
        <w:tab/>
        <w:t>Razvojna agencija</w:t>
      </w:r>
    </w:p>
    <w:p w14:paraId="4E8D394D" w14:textId="046EA4EE"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RRA</w:t>
      </w:r>
      <w:r w:rsidRPr="008B037E">
        <w:rPr>
          <w:rFonts w:asciiTheme="minorHAnsi" w:hAnsiTheme="minorHAnsi" w:cstheme="minorHAnsi"/>
          <w:sz w:val="22"/>
        </w:rPr>
        <w:tab/>
        <w:t>Re</w:t>
      </w:r>
      <w:r w:rsidR="00D166B7">
        <w:rPr>
          <w:rFonts w:asciiTheme="minorHAnsi" w:hAnsiTheme="minorHAnsi" w:cstheme="minorHAnsi"/>
          <w:sz w:val="22"/>
        </w:rPr>
        <w:t>g</w:t>
      </w:r>
      <w:r w:rsidRPr="008B037E">
        <w:rPr>
          <w:rFonts w:asciiTheme="minorHAnsi" w:hAnsiTheme="minorHAnsi" w:cstheme="minorHAnsi"/>
          <w:sz w:val="22"/>
        </w:rPr>
        <w:t>ionalna razvojna agencija</w:t>
      </w:r>
    </w:p>
    <w:p w14:paraId="1ADC0F00"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RRI</w:t>
      </w:r>
      <w:r w:rsidRPr="008B037E">
        <w:rPr>
          <w:rFonts w:asciiTheme="minorHAnsi" w:hAnsiTheme="minorHAnsi" w:cstheme="minorHAnsi"/>
          <w:sz w:val="22"/>
        </w:rPr>
        <w:tab/>
        <w:t>Raziskave, razvoj in inovacije</w:t>
      </w:r>
    </w:p>
    <w:p w14:paraId="0738262E"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RRP</w:t>
      </w:r>
      <w:r w:rsidRPr="008B037E">
        <w:rPr>
          <w:rFonts w:asciiTheme="minorHAnsi" w:hAnsiTheme="minorHAnsi" w:cstheme="minorHAnsi"/>
          <w:sz w:val="22"/>
        </w:rPr>
        <w:tab/>
        <w:t>Regionalni razvojni program Zasavja za obdobje 2021 – 2027</w:t>
      </w:r>
    </w:p>
    <w:p w14:paraId="101D6883"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 xml:space="preserve">RTH </w:t>
      </w:r>
      <w:r w:rsidRPr="008B037E">
        <w:rPr>
          <w:rFonts w:asciiTheme="minorHAnsi" w:hAnsiTheme="minorHAnsi" w:cstheme="minorHAnsi"/>
          <w:sz w:val="22"/>
        </w:rPr>
        <w:tab/>
        <w:t>Rudnik Trbovlje-Hrastnik d.o.o.</w:t>
      </w:r>
    </w:p>
    <w:p w14:paraId="533F2D19"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S4</w:t>
      </w:r>
      <w:r w:rsidRPr="008B037E">
        <w:rPr>
          <w:rFonts w:asciiTheme="minorHAnsi" w:hAnsiTheme="minorHAnsi" w:cstheme="minorHAnsi"/>
          <w:sz w:val="22"/>
        </w:rPr>
        <w:tab/>
        <w:t>Slovenska strategija pametne specializacije</w:t>
      </w:r>
    </w:p>
    <w:p w14:paraId="39B20B2C"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S5</w:t>
      </w:r>
      <w:r w:rsidRPr="008B037E">
        <w:rPr>
          <w:rFonts w:asciiTheme="minorHAnsi" w:hAnsiTheme="minorHAnsi" w:cstheme="minorHAnsi"/>
          <w:sz w:val="22"/>
        </w:rPr>
        <w:tab/>
        <w:t>Slovenska strategija pametne specializacije v nadgradnji (omogočitveni pogoj)</w:t>
      </w:r>
    </w:p>
    <w:p w14:paraId="2A18E9C4" w14:textId="70D9C0E3" w:rsidR="007A34ED" w:rsidRDefault="007A34ED"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SAŠA</w:t>
      </w:r>
      <w:r w:rsidRPr="008B037E">
        <w:rPr>
          <w:rFonts w:asciiTheme="minorHAnsi" w:hAnsiTheme="minorHAnsi" w:cstheme="minorHAnsi"/>
          <w:sz w:val="22"/>
        </w:rPr>
        <w:tab/>
        <w:t>Savinsko-Saleška premogovna regija</w:t>
      </w:r>
    </w:p>
    <w:p w14:paraId="6CC9C111" w14:textId="127F71CC" w:rsidR="00C511B3" w:rsidRPr="008B037E" w:rsidRDefault="00C511B3" w:rsidP="00B61E23">
      <w:pPr>
        <w:spacing w:before="0" w:after="0" w:line="276" w:lineRule="auto"/>
        <w:rPr>
          <w:rFonts w:asciiTheme="minorHAnsi" w:hAnsiTheme="minorHAnsi" w:cstheme="minorHAnsi"/>
          <w:sz w:val="22"/>
        </w:rPr>
      </w:pPr>
      <w:r>
        <w:rPr>
          <w:rFonts w:asciiTheme="minorHAnsi" w:hAnsiTheme="minorHAnsi" w:cstheme="minorHAnsi"/>
          <w:sz w:val="22"/>
        </w:rPr>
        <w:t>SI</w:t>
      </w:r>
      <w:r>
        <w:rPr>
          <w:rFonts w:asciiTheme="minorHAnsi" w:hAnsiTheme="minorHAnsi" w:cstheme="minorHAnsi"/>
          <w:sz w:val="22"/>
        </w:rPr>
        <w:tab/>
        <w:t>Slovenija</w:t>
      </w:r>
    </w:p>
    <w:p w14:paraId="7E6370D2" w14:textId="4CBDD81F"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 xml:space="preserve">SRIP </w:t>
      </w:r>
      <w:r w:rsidRPr="008B037E">
        <w:rPr>
          <w:rFonts w:asciiTheme="minorHAnsi" w:hAnsiTheme="minorHAnsi" w:cstheme="minorHAnsi"/>
          <w:sz w:val="22"/>
        </w:rPr>
        <w:tab/>
        <w:t>Strateško razvojno-inovacijska partnerstva</w:t>
      </w:r>
    </w:p>
    <w:p w14:paraId="47EC2053"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SURS</w:t>
      </w:r>
      <w:r w:rsidRPr="008B037E">
        <w:rPr>
          <w:rFonts w:asciiTheme="minorHAnsi" w:hAnsiTheme="minorHAnsi" w:cstheme="minorHAnsi"/>
          <w:sz w:val="22"/>
        </w:rPr>
        <w:tab/>
        <w:t>Statistični urad Republike Slovenije</w:t>
      </w:r>
    </w:p>
    <w:p w14:paraId="48A0E9B1"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SVRK</w:t>
      </w:r>
      <w:r w:rsidRPr="008B037E">
        <w:rPr>
          <w:rFonts w:asciiTheme="minorHAnsi" w:hAnsiTheme="minorHAnsi" w:cstheme="minorHAnsi"/>
          <w:sz w:val="22"/>
        </w:rPr>
        <w:tab/>
        <w:t>Služba Vlade RS za razvoj in evropsko kohezijsko politiko</w:t>
      </w:r>
    </w:p>
    <w:p w14:paraId="60320776"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TET</w:t>
      </w:r>
      <w:r w:rsidRPr="008B037E">
        <w:rPr>
          <w:rFonts w:asciiTheme="minorHAnsi" w:hAnsiTheme="minorHAnsi" w:cstheme="minorHAnsi"/>
          <w:sz w:val="22"/>
        </w:rPr>
        <w:tab/>
        <w:t>Termoelektrarna Trbovlje</w:t>
      </w:r>
    </w:p>
    <w:p w14:paraId="7A5523BD"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TEŠ</w:t>
      </w:r>
      <w:r w:rsidRPr="008B037E">
        <w:rPr>
          <w:rFonts w:asciiTheme="minorHAnsi" w:hAnsiTheme="minorHAnsi" w:cstheme="minorHAnsi"/>
          <w:sz w:val="22"/>
        </w:rPr>
        <w:tab/>
        <w:t>Termolektrarna Šoštanj</w:t>
      </w:r>
    </w:p>
    <w:p w14:paraId="2F48FCC0"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URE</w:t>
      </w:r>
      <w:r w:rsidRPr="008B037E">
        <w:rPr>
          <w:rFonts w:asciiTheme="minorHAnsi" w:hAnsiTheme="minorHAnsi" w:cstheme="minorHAnsi"/>
          <w:sz w:val="22"/>
        </w:rPr>
        <w:tab/>
        <w:t>učinkovita raba energije</w:t>
      </w:r>
    </w:p>
    <w:p w14:paraId="1E152B97" w14:textId="25120E68" w:rsidR="00B61E23"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VFO</w:t>
      </w:r>
      <w:r w:rsidRPr="008B037E">
        <w:rPr>
          <w:rFonts w:asciiTheme="minorHAnsi" w:hAnsiTheme="minorHAnsi" w:cstheme="minorHAnsi"/>
          <w:sz w:val="22"/>
        </w:rPr>
        <w:tab/>
        <w:t>večletni finančni okvir</w:t>
      </w:r>
    </w:p>
    <w:p w14:paraId="40BF6D0B" w14:textId="42A72870" w:rsidR="00D166B7" w:rsidRPr="008B037E" w:rsidRDefault="00D166B7" w:rsidP="00B61E23">
      <w:pPr>
        <w:spacing w:before="0" w:after="0" w:line="276" w:lineRule="auto"/>
        <w:rPr>
          <w:rFonts w:asciiTheme="minorHAnsi" w:hAnsiTheme="minorHAnsi" w:cstheme="minorHAnsi"/>
          <w:sz w:val="22"/>
        </w:rPr>
      </w:pPr>
      <w:r>
        <w:rPr>
          <w:rFonts w:asciiTheme="minorHAnsi" w:hAnsiTheme="minorHAnsi" w:cstheme="minorHAnsi"/>
          <w:sz w:val="22"/>
        </w:rPr>
        <w:t>VITR</w:t>
      </w:r>
      <w:r>
        <w:rPr>
          <w:rFonts w:asciiTheme="minorHAnsi" w:hAnsiTheme="minorHAnsi" w:cstheme="minorHAnsi"/>
          <w:sz w:val="22"/>
        </w:rPr>
        <w:tab/>
        <w:t>Vzgoja in izobraževanje za trajnostni razvoj</w:t>
      </w:r>
    </w:p>
    <w:p w14:paraId="2D361187" w14:textId="77777777" w:rsidR="00B61E23" w:rsidRPr="008B037E" w:rsidRDefault="00B61E23" w:rsidP="00B61E23">
      <w:pPr>
        <w:spacing w:before="0" w:after="0" w:line="276" w:lineRule="auto"/>
        <w:rPr>
          <w:rFonts w:asciiTheme="minorHAnsi" w:hAnsiTheme="minorHAnsi" w:cstheme="minorHAnsi"/>
          <w:sz w:val="22"/>
        </w:rPr>
      </w:pPr>
      <w:r w:rsidRPr="008B037E">
        <w:rPr>
          <w:rFonts w:asciiTheme="minorHAnsi" w:hAnsiTheme="minorHAnsi" w:cstheme="minorHAnsi"/>
          <w:sz w:val="22"/>
        </w:rPr>
        <w:t>ZRSZ</w:t>
      </w:r>
      <w:r w:rsidRPr="008B037E">
        <w:rPr>
          <w:rFonts w:asciiTheme="minorHAnsi" w:hAnsiTheme="minorHAnsi" w:cstheme="minorHAnsi"/>
          <w:sz w:val="22"/>
        </w:rPr>
        <w:tab/>
        <w:t>Zavod RS za zaposlovanje</w:t>
      </w:r>
    </w:p>
    <w:p w14:paraId="5465AAF8" w14:textId="77777777" w:rsidR="002D4CF9" w:rsidRPr="008B037E" w:rsidRDefault="002D4CF9" w:rsidP="001A4C47">
      <w:pPr>
        <w:spacing w:before="0" w:after="0" w:line="276" w:lineRule="auto"/>
        <w:rPr>
          <w:rFonts w:asciiTheme="minorHAnsi" w:hAnsiTheme="minorHAnsi" w:cstheme="minorHAnsi"/>
          <w:sz w:val="22"/>
        </w:rPr>
      </w:pPr>
    </w:p>
    <w:sectPr w:rsidR="002D4CF9" w:rsidRPr="008B037E" w:rsidSect="00E33DB2">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090F" w16cex:dateUtc="2022-04-13T06:32:00Z"/>
  <w16cex:commentExtensible w16cex:durableId="260107B2" w16cex:dateUtc="2022-04-13T06:26:00Z"/>
  <w16cex:commentExtensible w16cex:durableId="26010A94" w16cex:dateUtc="2022-04-13T06:38:00Z"/>
  <w16cex:commentExtensible w16cex:durableId="26010BAB" w16cex:dateUtc="2022-04-13T06:43:00Z"/>
  <w16cex:commentExtensible w16cex:durableId="26010B6D" w16cex:dateUtc="2022-04-13T06:42:00Z"/>
  <w16cex:commentExtensible w16cex:durableId="26010BE8" w16cex:dateUtc="2022-04-13T06:44:00Z"/>
  <w16cex:commentExtensible w16cex:durableId="26010C11" w16cex:dateUtc="2022-04-13T06:45:00Z"/>
  <w16cex:commentExtensible w16cex:durableId="26010C43" w16cex:dateUtc="2022-04-13T06:45:00Z"/>
  <w16cex:commentExtensible w16cex:durableId="26010C5E" w16cex:dateUtc="2022-04-13T06:46:00Z"/>
  <w16cex:commentExtensible w16cex:durableId="26010C7E" w16cex:dateUtc="2022-04-13T06:46:00Z"/>
  <w16cex:commentExtensible w16cex:durableId="26010CB3" w16cex:dateUtc="2022-04-13T06:47:00Z"/>
  <w16cex:commentExtensible w16cex:durableId="26010D45" w16cex:dateUtc="2022-04-13T06:50:00Z"/>
  <w16cex:commentExtensible w16cex:durableId="26010D14" w16cex:dateUtc="2022-04-13T06:49:00Z"/>
  <w16cex:commentExtensible w16cex:durableId="26010D88" w16cex:dateUtc="2022-04-13T06:51:00Z"/>
  <w16cex:commentExtensible w16cex:durableId="26010DCC" w16cex:dateUtc="2022-04-13T06:52:00Z"/>
  <w16cex:commentExtensible w16cex:durableId="26010E2C" w16cex:dateUtc="2022-04-13T06:54:00Z"/>
  <w16cex:commentExtensible w16cex:durableId="26010E43" w16cex:dateUtc="2022-04-13T06:54:00Z"/>
  <w16cex:commentExtensible w16cex:durableId="26010E84" w16cex:dateUtc="2022-04-13T06:55:00Z"/>
  <w16cex:commentExtensible w16cex:durableId="260116D3" w16cex:dateUtc="2022-04-13T07:30:00Z"/>
  <w16cex:commentExtensible w16cex:durableId="26011075" w16cex:dateUtc="2022-04-13T07:03:00Z"/>
  <w16cex:commentExtensible w16cex:durableId="26017ECF" w16cex:dateUtc="2022-04-13T14:54:00Z"/>
  <w16cex:commentExtensible w16cex:durableId="260111E8" w16cex:dateUtc="2022-04-13T07:10:00Z"/>
  <w16cex:commentExtensible w16cex:durableId="26011218" w16cex:dateUtc="2022-04-13T07:10:00Z"/>
  <w16cex:commentExtensible w16cex:durableId="26011258" w16cex:dateUtc="2022-04-13T07:11:00Z"/>
  <w16cex:commentExtensible w16cex:durableId="260112A9" w16cex:dateUtc="2022-04-13T07:13:00Z"/>
  <w16cex:commentExtensible w16cex:durableId="26011340" w16cex:dateUtc="2022-04-13T07:15:00Z"/>
  <w16cex:commentExtensible w16cex:durableId="2601138C" w16cex:dateUtc="2022-04-13T07:17:00Z"/>
  <w16cex:commentExtensible w16cex:durableId="260113BE" w16cex:dateUtc="2022-04-13T07:17:00Z"/>
  <w16cex:commentExtensible w16cex:durableId="260116FF" w16cex:dateUtc="2022-04-13T07:31:00Z"/>
  <w16cex:commentExtensible w16cex:durableId="25FFC300" w16cex:dateUtc="2022-04-12T07:21:00Z"/>
  <w16cex:commentExtensible w16cex:durableId="260115A0" w16cex:dateUtc="2022-04-13T07:25:00Z"/>
  <w16cex:commentExtensible w16cex:durableId="260117AC" w16cex:dateUtc="2022-04-13T07:34:00Z"/>
  <w16cex:commentExtensible w16cex:durableId="260117D6" w16cex:dateUtc="2022-04-13T07:35:00Z"/>
  <w16cex:commentExtensible w16cex:durableId="26010784" w16cex:dateUtc="2022-04-07T11:19:00Z"/>
  <w16cex:commentExtensible w16cex:durableId="26011A6E" w16cex:dateUtc="2022-04-13T07:46:00Z"/>
  <w16cex:commentExtensible w16cex:durableId="26010785" w16cex:dateUtc="2022-04-07T08:40:00Z"/>
  <w16cex:commentExtensible w16cex:durableId="26017F0B" w16cex:dateUtc="2022-04-13T14:55:00Z"/>
  <w16cex:commentExtensible w16cex:durableId="26011A99" w16cex:dateUtc="2022-04-13T07:47:00Z"/>
  <w16cex:commentExtensible w16cex:durableId="26011AC1" w16cex:dateUtc="2022-04-13T07:47:00Z"/>
  <w16cex:commentExtensible w16cex:durableId="26010786" w16cex:dateUtc="2022-04-07T11:26:00Z"/>
  <w16cex:commentExtensible w16cex:durableId="26011AE7" w16cex:dateUtc="2022-04-13T07:48:00Z"/>
  <w16cex:commentExtensible w16cex:durableId="26011B16" w16cex:dateUtc="2022-04-13T07:49:00Z"/>
  <w16cex:commentExtensible w16cex:durableId="26011B40" w16cex:dateUtc="2022-04-13T07:49:00Z"/>
  <w16cex:commentExtensible w16cex:durableId="26011B57" w16cex:dateUtc="2022-04-13T07:50:00Z"/>
  <w16cex:commentExtensible w16cex:durableId="26010787" w16cex:dateUtc="2022-04-07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3695D" w16cid:durableId="2601090F"/>
  <w16cid:commentId w16cid:paraId="3FD999FC" w16cid:durableId="260107B2"/>
  <w16cid:commentId w16cid:paraId="3E916DDB" w16cid:durableId="26010A94"/>
  <w16cid:commentId w16cid:paraId="651900F6" w16cid:durableId="26010BAB"/>
  <w16cid:commentId w16cid:paraId="4D8DF29B" w16cid:durableId="26010B6D"/>
  <w16cid:commentId w16cid:paraId="68B72010" w16cid:durableId="26010BE8"/>
  <w16cid:commentId w16cid:paraId="5AA7CD9F" w16cid:durableId="26010C11"/>
  <w16cid:commentId w16cid:paraId="32C4FBDF" w16cid:durableId="26010C43"/>
  <w16cid:commentId w16cid:paraId="3DB68AC1" w16cid:durableId="26010C5E"/>
  <w16cid:commentId w16cid:paraId="1DED6712" w16cid:durableId="26010C7E"/>
  <w16cid:commentId w16cid:paraId="34B67B5E" w16cid:durableId="26010CB3"/>
  <w16cid:commentId w16cid:paraId="6F265C8D" w16cid:durableId="26010D45"/>
  <w16cid:commentId w16cid:paraId="77E977C7" w16cid:durableId="26010D14"/>
  <w16cid:commentId w16cid:paraId="3FDCC214" w16cid:durableId="26010D88"/>
  <w16cid:commentId w16cid:paraId="47F3D951" w16cid:durableId="26010DCC"/>
  <w16cid:commentId w16cid:paraId="57845DE2" w16cid:durableId="26010E2C"/>
  <w16cid:commentId w16cid:paraId="5B24C3C1" w16cid:durableId="26010E43"/>
  <w16cid:commentId w16cid:paraId="0D986EDB" w16cid:durableId="26010E84"/>
  <w16cid:commentId w16cid:paraId="2ABCA12A" w16cid:durableId="260116D3"/>
  <w16cid:commentId w16cid:paraId="4130C987" w16cid:durableId="26011075"/>
  <w16cid:commentId w16cid:paraId="58E1B82C" w16cid:durableId="26017ECF"/>
  <w16cid:commentId w16cid:paraId="7909D51A" w16cid:durableId="260111E8"/>
  <w16cid:commentId w16cid:paraId="5A75AFD0" w16cid:durableId="26011218"/>
  <w16cid:commentId w16cid:paraId="2A28CE71" w16cid:durableId="26011258"/>
  <w16cid:commentId w16cid:paraId="79E2C2B8" w16cid:durableId="260112A9"/>
  <w16cid:commentId w16cid:paraId="465BAC77" w16cid:durableId="26011340"/>
  <w16cid:commentId w16cid:paraId="4985DEED" w16cid:durableId="2601138C"/>
  <w16cid:commentId w16cid:paraId="59F4B348" w16cid:durableId="260113BE"/>
  <w16cid:commentId w16cid:paraId="1B47AC49" w16cid:durableId="260116FF"/>
  <w16cid:commentId w16cid:paraId="4DEF0FD6" w16cid:durableId="25FFC300"/>
  <w16cid:commentId w16cid:paraId="226C5A4F" w16cid:durableId="260115A0"/>
  <w16cid:commentId w16cid:paraId="2C2CD9FA" w16cid:durableId="260117AC"/>
  <w16cid:commentId w16cid:paraId="6F437097" w16cid:durableId="260117D6"/>
  <w16cid:commentId w16cid:paraId="0134F3BF" w16cid:durableId="26010784"/>
  <w16cid:commentId w16cid:paraId="1A33E2D7" w16cid:durableId="26011A6E"/>
  <w16cid:commentId w16cid:paraId="5582F720" w16cid:durableId="26010785"/>
  <w16cid:commentId w16cid:paraId="5814D48B" w16cid:durableId="26017F0B"/>
  <w16cid:commentId w16cid:paraId="3DD5E6E0" w16cid:durableId="26011A99"/>
  <w16cid:commentId w16cid:paraId="7D720DC3" w16cid:durableId="26011AC1"/>
  <w16cid:commentId w16cid:paraId="7D97BE1C" w16cid:durableId="26010786"/>
  <w16cid:commentId w16cid:paraId="236D56EC" w16cid:durableId="26011AE7"/>
  <w16cid:commentId w16cid:paraId="26E4EDFF" w16cid:durableId="26011B16"/>
  <w16cid:commentId w16cid:paraId="15F951D5" w16cid:durableId="26011B40"/>
  <w16cid:commentId w16cid:paraId="2F66C615" w16cid:durableId="26011B57"/>
  <w16cid:commentId w16cid:paraId="11D434B9" w16cid:durableId="260107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4D0C0" w14:textId="77777777" w:rsidR="00852520" w:rsidRDefault="00852520" w:rsidP="00422C3B">
      <w:pPr>
        <w:spacing w:before="0" w:after="0"/>
      </w:pPr>
      <w:r>
        <w:separator/>
      </w:r>
    </w:p>
  </w:endnote>
  <w:endnote w:type="continuationSeparator" w:id="0">
    <w:p w14:paraId="00BC2965" w14:textId="77777777" w:rsidR="00852520" w:rsidRDefault="00852520" w:rsidP="00422C3B">
      <w:pPr>
        <w:spacing w:before="0" w:after="0"/>
      </w:pPr>
      <w:r>
        <w:continuationSeparator/>
      </w:r>
    </w:p>
  </w:endnote>
  <w:endnote w:type="continuationNotice" w:id="1">
    <w:p w14:paraId="2B2BCFD7" w14:textId="77777777" w:rsidR="00852520" w:rsidRDefault="008525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Noto Sans Symbols">
    <w:altName w:val="Republika"/>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27469"/>
      <w:docPartObj>
        <w:docPartGallery w:val="Page Numbers (Bottom of Page)"/>
        <w:docPartUnique/>
      </w:docPartObj>
    </w:sdtPr>
    <w:sdtEndPr/>
    <w:sdtContent>
      <w:p w14:paraId="01896922" w14:textId="186F7540" w:rsidR="00852520" w:rsidRDefault="00852520">
        <w:pPr>
          <w:pStyle w:val="Noga"/>
          <w:jc w:val="center"/>
        </w:pPr>
        <w:r w:rsidRPr="002970DA">
          <w:rPr>
            <w:sz w:val="20"/>
          </w:rPr>
          <w:fldChar w:fldCharType="begin"/>
        </w:r>
        <w:r w:rsidRPr="002970DA">
          <w:rPr>
            <w:sz w:val="20"/>
          </w:rPr>
          <w:instrText>PAGE   \* MERGEFORMAT</w:instrText>
        </w:r>
        <w:r w:rsidRPr="002970DA">
          <w:rPr>
            <w:sz w:val="20"/>
          </w:rPr>
          <w:fldChar w:fldCharType="separate"/>
        </w:r>
        <w:r w:rsidR="006C6C74">
          <w:rPr>
            <w:noProof/>
            <w:sz w:val="20"/>
          </w:rPr>
          <w:t>1</w:t>
        </w:r>
        <w:r w:rsidRPr="002970DA">
          <w:rPr>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635092"/>
      <w:docPartObj>
        <w:docPartGallery w:val="Page Numbers (Bottom of Page)"/>
        <w:docPartUnique/>
      </w:docPartObj>
    </w:sdtPr>
    <w:sdtEndPr/>
    <w:sdtContent>
      <w:p w14:paraId="74690B97" w14:textId="77EA21CD" w:rsidR="00852520" w:rsidRDefault="00852520">
        <w:pPr>
          <w:pStyle w:val="Noga"/>
          <w:jc w:val="center"/>
        </w:pPr>
        <w:r>
          <w:fldChar w:fldCharType="begin"/>
        </w:r>
        <w:r>
          <w:instrText xml:space="preserve"> PAGE   \* MERGEFORMAT </w:instrText>
        </w:r>
        <w:r>
          <w:fldChar w:fldCharType="separate"/>
        </w:r>
        <w:r w:rsidR="006C6C74">
          <w:rPr>
            <w:noProof/>
          </w:rPr>
          <w:t>28</w:t>
        </w:r>
        <w:r>
          <w:fldChar w:fldCharType="end"/>
        </w:r>
      </w:p>
    </w:sdtContent>
  </w:sdt>
  <w:p w14:paraId="7CEE9586" w14:textId="77777777" w:rsidR="00852520" w:rsidRDefault="00852520" w:rsidP="002970D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2CA82" w14:textId="77777777" w:rsidR="00852520" w:rsidRDefault="00852520" w:rsidP="00422C3B">
      <w:pPr>
        <w:spacing w:before="0" w:after="0"/>
      </w:pPr>
      <w:r>
        <w:separator/>
      </w:r>
    </w:p>
  </w:footnote>
  <w:footnote w:type="continuationSeparator" w:id="0">
    <w:p w14:paraId="700546A0" w14:textId="77777777" w:rsidR="00852520" w:rsidRDefault="00852520" w:rsidP="00422C3B">
      <w:pPr>
        <w:spacing w:before="0" w:after="0"/>
      </w:pPr>
      <w:r>
        <w:continuationSeparator/>
      </w:r>
    </w:p>
  </w:footnote>
  <w:footnote w:type="continuationNotice" w:id="1">
    <w:p w14:paraId="078D2F3B" w14:textId="77777777" w:rsidR="00852520" w:rsidRDefault="00852520">
      <w:pPr>
        <w:spacing w:before="0" w:after="0"/>
      </w:pPr>
    </w:p>
  </w:footnote>
  <w:footnote w:id="2">
    <w:p w14:paraId="78E651D7" w14:textId="77777777" w:rsidR="00852520" w:rsidRPr="003D11EB" w:rsidRDefault="00852520" w:rsidP="003D11EB">
      <w:pPr>
        <w:pStyle w:val="Sprotnaopomba-besedilo"/>
        <w:rPr>
          <w:sz w:val="16"/>
          <w:szCs w:val="16"/>
          <w:lang w:val="it-IT"/>
        </w:rPr>
      </w:pPr>
      <w:r w:rsidRPr="003D11EB">
        <w:rPr>
          <w:rStyle w:val="Sprotnaopomba-sklic"/>
          <w:sz w:val="16"/>
          <w:szCs w:val="16"/>
        </w:rPr>
        <w:footnoteRef/>
      </w:r>
      <w:r w:rsidRPr="003D11EB">
        <w:rPr>
          <w:sz w:val="16"/>
          <w:szCs w:val="16"/>
        </w:rPr>
        <w:t xml:space="preserve"> Pri pripravi strategije je bila že upoštevan predlog Evropske komisije (COM/2020/562 z dne 17.9.2020) in odločitev Evropskega sveta z dne 11. </w:t>
      </w:r>
      <w:r w:rsidRPr="003D11EB">
        <w:rPr>
          <w:sz w:val="16"/>
          <w:szCs w:val="16"/>
          <w:lang w:val="it-IT"/>
        </w:rPr>
        <w:t>12.2020, da EU do leta 2030 doseže najmanj 55% znižanje emisij TGP v primerjavi z 1990. Glej tudi predlog strategije in okoljskega poročila na https://www.energetika-portal.si/dokumenti/strateski-razvojni-dokumenti/nacionalna-strategija-za-izstop-iz-premoga-in-prestrukturiranje-premogovnih-regij/.</w:t>
      </w:r>
    </w:p>
  </w:footnote>
  <w:footnote w:id="3">
    <w:p w14:paraId="7C9C2B78" w14:textId="6BFAED35" w:rsidR="00852520" w:rsidRPr="003D11EB" w:rsidRDefault="00852520" w:rsidP="003D11EB">
      <w:pPr>
        <w:pStyle w:val="Sprotnaopomba-besedilo"/>
        <w:rPr>
          <w:lang w:val="sl-SI"/>
        </w:rPr>
      </w:pPr>
      <w:r>
        <w:rPr>
          <w:rStyle w:val="Sprotnaopomba-sklic"/>
        </w:rPr>
        <w:footnoteRef/>
      </w:r>
      <w:r>
        <w:t xml:space="preserve"> Delloitte &amp; Touche</w:t>
      </w:r>
    </w:p>
  </w:footnote>
  <w:footnote w:id="4">
    <w:p w14:paraId="4F21A59B" w14:textId="456A41CB" w:rsidR="00852520" w:rsidRPr="003A64C7" w:rsidRDefault="00852520" w:rsidP="003A64C7">
      <w:pPr>
        <w:pStyle w:val="Sprotnaopomba-besedilo"/>
        <w:rPr>
          <w:lang w:val="sl-SI"/>
        </w:rPr>
      </w:pPr>
      <w:r w:rsidRPr="003A64C7">
        <w:rPr>
          <w:rStyle w:val="Sprotnaopomba-sklic"/>
          <w:sz w:val="16"/>
          <w:szCs w:val="16"/>
        </w:rPr>
        <w:footnoteRef/>
      </w:r>
      <w:r w:rsidRPr="003A64C7">
        <w:rPr>
          <w:sz w:val="16"/>
          <w:szCs w:val="16"/>
        </w:rPr>
        <w:t xml:space="preserve"> </w:t>
      </w:r>
      <w:r w:rsidRPr="003A64C7">
        <w:rPr>
          <w:sz w:val="16"/>
          <w:szCs w:val="16"/>
          <w:lang w:val="sl-SI"/>
        </w:rPr>
        <w:t>Labor Market Savinjsko-Šaleška Region, S. Risteska, maj 2022 in</w:t>
      </w:r>
      <w:r>
        <w:rPr>
          <w:lang w:val="sl-SI"/>
        </w:rPr>
        <w:t xml:space="preserve"> </w:t>
      </w:r>
      <w:r w:rsidRPr="003A6FCF">
        <w:rPr>
          <w:bCs/>
          <w:sz w:val="16"/>
          <w:szCs w:val="16"/>
        </w:rPr>
        <w:t>Action Plan for Savinjsko-Šaleška Coal Region in Transition</w:t>
      </w:r>
      <w:r>
        <w:rPr>
          <w:bCs/>
          <w:sz w:val="16"/>
          <w:szCs w:val="16"/>
        </w:rPr>
        <w:t>, Deloitte, maj 2021</w:t>
      </w:r>
    </w:p>
  </w:footnote>
  <w:footnote w:id="5">
    <w:p w14:paraId="264B59F0" w14:textId="77FCBB8D" w:rsidR="00852520" w:rsidRPr="002669E5" w:rsidRDefault="00852520">
      <w:pPr>
        <w:pStyle w:val="Sprotnaopomba-besedilo"/>
        <w:rPr>
          <w:lang w:val="sl-SI"/>
        </w:rPr>
      </w:pPr>
      <w:r>
        <w:rPr>
          <w:rStyle w:val="Sprotnaopomba-sklic"/>
        </w:rPr>
        <w:footnoteRef/>
      </w:r>
      <w:r w:rsidRPr="002669E5">
        <w:rPr>
          <w:lang w:val="sl-SI"/>
        </w:rPr>
        <w:t xml:space="preserve"> http://ra-sasa.si/wp-content/uploads/2021/06/ORP-SA%C5%A0A-2021-2027_%C4%8Distopis-31.03.2021-za-lekturo-V1.pdf, glej strani 110, 111</w:t>
      </w:r>
    </w:p>
  </w:footnote>
  <w:footnote w:id="6">
    <w:p w14:paraId="54C10CE2" w14:textId="704FD2EE" w:rsidR="00852520" w:rsidRPr="00980FDD" w:rsidRDefault="00852520">
      <w:pPr>
        <w:pStyle w:val="Sprotnaopomba-besedilo"/>
        <w:rPr>
          <w:lang w:val="sl-SI"/>
        </w:rPr>
      </w:pPr>
      <w:r>
        <w:rPr>
          <w:rStyle w:val="Sprotnaopomba-sklic"/>
        </w:rPr>
        <w:footnoteRef/>
      </w:r>
      <w:r w:rsidRPr="00980FDD">
        <w:rPr>
          <w:lang w:val="sl-SI"/>
        </w:rPr>
        <w:t xml:space="preserve"> (https://www.energetika-portal.si/fileadmin/dokumenti/publikacije/premog_izhod/strategija_prem_vlada_jan202.pdf)</w:t>
      </w:r>
    </w:p>
  </w:footnote>
  <w:footnote w:id="7">
    <w:p w14:paraId="563EFF31" w14:textId="3D98808C" w:rsidR="00852520" w:rsidRPr="00980FDD" w:rsidRDefault="00852520">
      <w:pPr>
        <w:pStyle w:val="Sprotnaopomba-besedilo"/>
        <w:rPr>
          <w:lang w:val="sl-SI"/>
        </w:rPr>
      </w:pPr>
      <w:r>
        <w:rPr>
          <w:rStyle w:val="Sprotnaopomba-sklic"/>
        </w:rPr>
        <w:footnoteRef/>
      </w:r>
      <w:r w:rsidRPr="00980FDD">
        <w:rPr>
          <w:lang w:val="sl-SI"/>
        </w:rPr>
        <w:t xml:space="preserve"> (http://ra-sasa.si/wp-content/uploads/2021/06/ORP-SA%C5%A0A-2021-2027_%C4%8Distopis-31.03.2021-za-lekturo-V1.pdf)</w:t>
      </w:r>
    </w:p>
  </w:footnote>
  <w:footnote w:id="8">
    <w:p w14:paraId="3A3EE9B0" w14:textId="50F1C5FA" w:rsidR="00852520" w:rsidRPr="00CE47B7" w:rsidRDefault="00852520">
      <w:pPr>
        <w:pStyle w:val="Sprotnaopomba-besedilo"/>
        <w:rPr>
          <w:lang w:val="it-IT"/>
        </w:rPr>
      </w:pPr>
      <w:r>
        <w:rPr>
          <w:rStyle w:val="Sprotnaopomba-sklic"/>
        </w:rPr>
        <w:footnoteRef/>
      </w:r>
      <w:r w:rsidRPr="00CE47B7">
        <w:rPr>
          <w:lang w:val="it-IT"/>
        </w:rPr>
        <w:t xml:space="preserve"> (primer: https://www.velenje.si/e-obcina/brezplacno-svetovanje/11111).</w:t>
      </w:r>
    </w:p>
  </w:footnote>
  <w:footnote w:id="9">
    <w:p w14:paraId="310165D1" w14:textId="77777777" w:rsidR="00852520" w:rsidRPr="00B70CEA" w:rsidRDefault="00852520" w:rsidP="00E429BB">
      <w:pPr>
        <w:pStyle w:val="Sprotnaopomba-besedilo"/>
        <w:spacing w:after="0"/>
        <w:rPr>
          <w:lang w:val="sl-SI"/>
        </w:rPr>
      </w:pPr>
      <w:r>
        <w:rPr>
          <w:rStyle w:val="Sprotnaopomba-sklic"/>
        </w:rPr>
        <w:footnoteRef/>
      </w:r>
      <w:r w:rsidRPr="00C511B3">
        <w:rPr>
          <w:lang w:val="it-IT"/>
        </w:rPr>
        <w:t xml:space="preserve"> </w:t>
      </w:r>
      <w:r>
        <w:rPr>
          <w:sz w:val="18"/>
          <w:lang w:val="sl-SI"/>
        </w:rPr>
        <w:t>ORP</w:t>
      </w:r>
      <w:r w:rsidRPr="00B70CEA">
        <w:rPr>
          <w:sz w:val="18"/>
          <w:lang w:val="sl-SI"/>
        </w:rPr>
        <w:t xml:space="preserve"> SAŠA 2021-2027, marec 2021, dostopno na: http://ra-sasa.si/wp-content/uploads/2021/06/ORP-SA%C5%A0A-2021-2027_%C4%8Distopis-31.03.2021-za-lekturo-V1.pdf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7CBE" w14:textId="6D4C8208" w:rsidR="00852520" w:rsidRPr="00B91A34" w:rsidRDefault="00852520" w:rsidP="007410CF">
    <w:pPr>
      <w:pStyle w:val="Glava"/>
      <w:jc w:val="center"/>
      <w:rPr>
        <w:rFonts w:asciiTheme="minorHAnsi" w:hAnsiTheme="minorHAnsi" w:cstheme="minorHAnsi"/>
      </w:rPr>
    </w:pPr>
    <w:r w:rsidRPr="00B91A34">
      <w:rPr>
        <w:rFonts w:asciiTheme="minorHAnsi" w:hAnsiTheme="minorHAnsi" w:cstheme="minorHAnsi"/>
        <w:noProof/>
      </w:rPr>
      <w:fldChar w:fldCharType="begin"/>
    </w:r>
    <w:r w:rsidRPr="00B91A34">
      <w:rPr>
        <w:rFonts w:asciiTheme="minorHAnsi" w:hAnsiTheme="minorHAnsi" w:cstheme="minorHAnsi"/>
        <w:noProof/>
      </w:rPr>
      <w:instrText xml:space="preserve"> FILENAME \* MERGEFORMAT </w:instrText>
    </w:r>
    <w:r w:rsidRPr="00B91A34">
      <w:rPr>
        <w:rFonts w:asciiTheme="minorHAnsi" w:hAnsiTheme="minorHAnsi" w:cstheme="minorHAnsi"/>
        <w:noProof/>
      </w:rPr>
      <w:fldChar w:fldCharType="separate"/>
    </w:r>
    <w:r w:rsidR="002970DA">
      <w:rPr>
        <w:rFonts w:asciiTheme="minorHAnsi" w:hAnsiTheme="minorHAnsi" w:cstheme="minorHAnsi"/>
        <w:noProof/>
      </w:rPr>
      <w:t>1-8-2022_drugi osnutek ONPP SAŠA.docx</w:t>
    </w:r>
    <w:r w:rsidRPr="00B91A34">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B5C6" w14:textId="27C76790" w:rsidR="00852520" w:rsidRPr="002970DA" w:rsidRDefault="00852520" w:rsidP="00F72BC3">
    <w:pPr>
      <w:pStyle w:val="Glava"/>
      <w:jc w:val="center"/>
    </w:pPr>
    <w:r w:rsidRPr="00B91A34">
      <w:rPr>
        <w:rFonts w:asciiTheme="minorHAnsi" w:hAnsiTheme="minorHAnsi" w:cstheme="minorHAnsi"/>
        <w:noProof/>
      </w:rPr>
      <w:fldChar w:fldCharType="begin"/>
    </w:r>
    <w:r w:rsidRPr="00B91A34">
      <w:rPr>
        <w:rFonts w:asciiTheme="minorHAnsi" w:hAnsiTheme="minorHAnsi" w:cstheme="minorHAnsi"/>
        <w:noProof/>
      </w:rPr>
      <w:instrText xml:space="preserve"> FILENAME \* MERGEFORMAT </w:instrText>
    </w:r>
    <w:r w:rsidRPr="00B91A34">
      <w:rPr>
        <w:rFonts w:asciiTheme="minorHAnsi" w:hAnsiTheme="minorHAnsi" w:cstheme="minorHAnsi"/>
        <w:noProof/>
      </w:rPr>
      <w:fldChar w:fldCharType="separate"/>
    </w:r>
    <w:r w:rsidR="00F72BC3">
      <w:rPr>
        <w:rFonts w:asciiTheme="minorHAnsi" w:hAnsiTheme="minorHAnsi" w:cstheme="minorHAnsi"/>
        <w:noProof/>
      </w:rPr>
      <w:t>1-8-2022_drugi osnutek ONPP SAŠA.docx</w:t>
    </w:r>
    <w:r w:rsidRPr="00B91A34">
      <w:rPr>
        <w:rFonts w:asciiTheme="minorHAnsi" w:hAnsiTheme="minorHAnsi" w:cstheme="minorHAnsi"/>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1D5"/>
    <w:multiLevelType w:val="hybridMultilevel"/>
    <w:tmpl w:val="5E3CA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994D94"/>
    <w:multiLevelType w:val="hybridMultilevel"/>
    <w:tmpl w:val="282EB4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375559"/>
    <w:multiLevelType w:val="hybridMultilevel"/>
    <w:tmpl w:val="D4E61FD8"/>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5406D8"/>
    <w:multiLevelType w:val="hybridMultilevel"/>
    <w:tmpl w:val="481836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3F1214"/>
    <w:multiLevelType w:val="hybridMultilevel"/>
    <w:tmpl w:val="851C0D78"/>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6A56A2"/>
    <w:multiLevelType w:val="hybridMultilevel"/>
    <w:tmpl w:val="80CC9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71EA9"/>
    <w:multiLevelType w:val="hybridMultilevel"/>
    <w:tmpl w:val="F902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500D8"/>
    <w:multiLevelType w:val="hybridMultilevel"/>
    <w:tmpl w:val="25E8BE5E"/>
    <w:lvl w:ilvl="0" w:tplc="EC702EA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55BD8"/>
    <w:multiLevelType w:val="hybridMultilevel"/>
    <w:tmpl w:val="ADB203F0"/>
    <w:lvl w:ilvl="0" w:tplc="2CA4072E">
      <w:start w:val="1"/>
      <w:numFmt w:val="upperRoman"/>
      <w:lvlText w:val="%1)"/>
      <w:lvlJc w:val="left"/>
      <w:pPr>
        <w:ind w:left="1080" w:hanging="72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17235A"/>
    <w:multiLevelType w:val="hybridMultilevel"/>
    <w:tmpl w:val="D54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AD2F53"/>
    <w:multiLevelType w:val="hybridMultilevel"/>
    <w:tmpl w:val="629EE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8131C2"/>
    <w:multiLevelType w:val="hybridMultilevel"/>
    <w:tmpl w:val="7150775A"/>
    <w:lvl w:ilvl="0" w:tplc="349EF4AA">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900391F"/>
    <w:multiLevelType w:val="hybridMultilevel"/>
    <w:tmpl w:val="4C6AD370"/>
    <w:lvl w:ilvl="0" w:tplc="930E0DBA">
      <w:start w:val="1"/>
      <w:numFmt w:val="bullet"/>
      <w:lvlText w:val="─"/>
      <w:lvlJc w:val="left"/>
      <w:pPr>
        <w:ind w:left="720" w:hanging="360"/>
      </w:pPr>
      <w:rPr>
        <w:rFonts w:ascii="Courier New" w:hAnsi="Courier New"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F7FE1"/>
    <w:multiLevelType w:val="hybridMultilevel"/>
    <w:tmpl w:val="41F81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1D6FD3"/>
    <w:multiLevelType w:val="hybridMultilevel"/>
    <w:tmpl w:val="892CCDC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21F85148"/>
    <w:multiLevelType w:val="hybridMultilevel"/>
    <w:tmpl w:val="0C4E58FC"/>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3A4615"/>
    <w:multiLevelType w:val="hybridMultilevel"/>
    <w:tmpl w:val="37F636A6"/>
    <w:lvl w:ilvl="0" w:tplc="F83472C8">
      <w:start w:val="1"/>
      <w:numFmt w:val="decimal"/>
      <w:lvlText w:val="%1."/>
      <w:lvlJc w:val="left"/>
      <w:pPr>
        <w:ind w:left="502" w:hanging="360"/>
      </w:pPr>
      <w:rPr>
        <w:i w:val="0"/>
      </w:rPr>
    </w:lvl>
    <w:lvl w:ilvl="1" w:tplc="08090019">
      <w:start w:val="1"/>
      <w:numFmt w:val="lowerLetter"/>
      <w:lvlText w:val="%2."/>
      <w:lvlJc w:val="left"/>
      <w:pPr>
        <w:ind w:left="1440" w:hanging="360"/>
      </w:pPr>
    </w:lvl>
    <w:lvl w:ilvl="2" w:tplc="DEECC106">
      <w:start w:val="239"/>
      <w:numFmt w:val="bullet"/>
      <w:lvlText w:val="-"/>
      <w:lvlJc w:val="left"/>
      <w:pPr>
        <w:ind w:left="2160" w:hanging="180"/>
      </w:pPr>
      <w:rPr>
        <w:rFonts w:ascii="Calibri" w:eastAsia="Calibri" w:hAnsi="Calibri" w:cs="Calibri"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281783A"/>
    <w:multiLevelType w:val="hybridMultilevel"/>
    <w:tmpl w:val="C7442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9363961"/>
    <w:multiLevelType w:val="hybridMultilevel"/>
    <w:tmpl w:val="E988C5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360395"/>
    <w:multiLevelType w:val="hybridMultilevel"/>
    <w:tmpl w:val="59BE6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DF626E"/>
    <w:multiLevelType w:val="hybridMultilevel"/>
    <w:tmpl w:val="A98CFC60"/>
    <w:lvl w:ilvl="0" w:tplc="930E0DBA">
      <w:start w:val="1"/>
      <w:numFmt w:val="bullet"/>
      <w:lvlText w:val="─"/>
      <w:lvlJc w:val="left"/>
      <w:pPr>
        <w:ind w:left="720" w:hanging="360"/>
      </w:pPr>
      <w:rPr>
        <w:rFonts w:ascii="Courier New" w:hAnsi="Courier New"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35AA0"/>
    <w:multiLevelType w:val="hybridMultilevel"/>
    <w:tmpl w:val="DA48BB42"/>
    <w:lvl w:ilvl="0" w:tplc="0C987D00">
      <w:start w:val="1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5D2765E"/>
    <w:multiLevelType w:val="multilevel"/>
    <w:tmpl w:val="6698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320E5"/>
    <w:multiLevelType w:val="hybridMultilevel"/>
    <w:tmpl w:val="71487454"/>
    <w:lvl w:ilvl="0" w:tplc="0424000F">
      <w:start w:val="1"/>
      <w:numFmt w:val="decimal"/>
      <w:lvlText w:val="%1."/>
      <w:lvlJc w:val="left"/>
      <w:pPr>
        <w:ind w:left="0" w:hanging="36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24" w15:restartNumberingAfterBreak="0">
    <w:nsid w:val="3BB25D13"/>
    <w:multiLevelType w:val="hybridMultilevel"/>
    <w:tmpl w:val="FCB08618"/>
    <w:lvl w:ilvl="0" w:tplc="629A12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2E4866"/>
    <w:multiLevelType w:val="hybridMultilevel"/>
    <w:tmpl w:val="4788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3281"/>
    <w:multiLevelType w:val="hybridMultilevel"/>
    <w:tmpl w:val="5B485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3491685"/>
    <w:multiLevelType w:val="hybridMultilevel"/>
    <w:tmpl w:val="E2821B32"/>
    <w:lvl w:ilvl="0" w:tplc="CFCEC77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E56524"/>
    <w:multiLevelType w:val="hybridMultilevel"/>
    <w:tmpl w:val="4FA4B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9C67325"/>
    <w:multiLevelType w:val="hybridMultilevel"/>
    <w:tmpl w:val="0F2EB158"/>
    <w:lvl w:ilvl="0" w:tplc="EC702EA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933E0"/>
    <w:multiLevelType w:val="hybridMultilevel"/>
    <w:tmpl w:val="CBAE91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E195198"/>
    <w:multiLevelType w:val="hybridMultilevel"/>
    <w:tmpl w:val="F320B8A8"/>
    <w:lvl w:ilvl="0" w:tplc="DEECC106">
      <w:start w:val="23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33253C"/>
    <w:multiLevelType w:val="hybridMultilevel"/>
    <w:tmpl w:val="54302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41E4404"/>
    <w:multiLevelType w:val="hybridMultilevel"/>
    <w:tmpl w:val="20C6CE4A"/>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5E2001B"/>
    <w:multiLevelType w:val="hybridMultilevel"/>
    <w:tmpl w:val="ABB60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983EFF"/>
    <w:multiLevelType w:val="hybridMultilevel"/>
    <w:tmpl w:val="E794D884"/>
    <w:lvl w:ilvl="0" w:tplc="04240003">
      <w:start w:val="1"/>
      <w:numFmt w:val="bullet"/>
      <w:lvlText w:val="o"/>
      <w:lvlJc w:val="left"/>
      <w:pPr>
        <w:ind w:left="1428" w:hanging="360"/>
      </w:pPr>
      <w:rPr>
        <w:rFonts w:ascii="Courier New" w:hAnsi="Courier New" w:cs="Courier New"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57DB2C16"/>
    <w:multiLevelType w:val="hybridMultilevel"/>
    <w:tmpl w:val="6CB288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7DE1CD9"/>
    <w:multiLevelType w:val="hybridMultilevel"/>
    <w:tmpl w:val="0C70A232"/>
    <w:lvl w:ilvl="0" w:tplc="E6ECB34E">
      <w:start w:val="1"/>
      <w:numFmt w:val="upperRoman"/>
      <w:lvlText w:val="%1."/>
      <w:lvlJc w:val="left"/>
      <w:pPr>
        <w:ind w:left="720" w:hanging="360"/>
      </w:pPr>
      <w:rPr>
        <w:rFonts w:asciiTheme="minorHAnsi" w:eastAsiaTheme="minorHAnsi" w:hAnsiTheme="minorHAnsi" w:cstheme="minorHAn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AF4012F"/>
    <w:multiLevelType w:val="hybridMultilevel"/>
    <w:tmpl w:val="3CE8D8C8"/>
    <w:lvl w:ilvl="0" w:tplc="042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C3912"/>
    <w:multiLevelType w:val="hybridMultilevel"/>
    <w:tmpl w:val="AA202CE2"/>
    <w:lvl w:ilvl="0" w:tplc="930E0DBA">
      <w:start w:val="1"/>
      <w:numFmt w:val="bullet"/>
      <w:lvlText w:val="─"/>
      <w:lvlJc w:val="left"/>
      <w:pPr>
        <w:ind w:left="720" w:hanging="360"/>
      </w:pPr>
      <w:rPr>
        <w:rFonts w:ascii="Courier New" w:hAnsi="Courier New"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4D411E"/>
    <w:multiLevelType w:val="hybridMultilevel"/>
    <w:tmpl w:val="CB947368"/>
    <w:lvl w:ilvl="0" w:tplc="EC702E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545D00"/>
    <w:multiLevelType w:val="hybridMultilevel"/>
    <w:tmpl w:val="67FCC0D0"/>
    <w:lvl w:ilvl="0" w:tplc="75C8F1FA">
      <w:start w:val="13"/>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637"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4387903"/>
    <w:multiLevelType w:val="hybridMultilevel"/>
    <w:tmpl w:val="5A46B7FE"/>
    <w:lvl w:ilvl="0" w:tplc="A55C446A">
      <w:start w:val="2"/>
      <w:numFmt w:val="bullet"/>
      <w:lvlText w:val="-"/>
      <w:lvlJc w:val="left"/>
      <w:pPr>
        <w:ind w:left="720" w:hanging="360"/>
      </w:pPr>
      <w:rPr>
        <w:rFonts w:ascii="Calibri" w:eastAsiaTheme="minorEastAsia"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44874B5"/>
    <w:multiLevelType w:val="hybridMultilevel"/>
    <w:tmpl w:val="481836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66A49E2"/>
    <w:multiLevelType w:val="multilevel"/>
    <w:tmpl w:val="45C875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70E4430"/>
    <w:multiLevelType w:val="hybridMultilevel"/>
    <w:tmpl w:val="4842774C"/>
    <w:lvl w:ilvl="0" w:tplc="E32CABA2">
      <w:start w:val="1"/>
      <w:numFmt w:val="bullet"/>
      <w:lvlText w:val="-"/>
      <w:lvlJc w:val="left"/>
      <w:pPr>
        <w:ind w:left="1080" w:hanging="360"/>
      </w:pPr>
      <w:rPr>
        <w:rFonts w:ascii="Calibri" w:eastAsiaTheme="minorHAnsi" w:hAnsi="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6CD74813"/>
    <w:multiLevelType w:val="hybridMultilevel"/>
    <w:tmpl w:val="7604EFCA"/>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57B5014"/>
    <w:multiLevelType w:val="hybridMultilevel"/>
    <w:tmpl w:val="7150775A"/>
    <w:lvl w:ilvl="0" w:tplc="349EF4AA">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9AD2D9C"/>
    <w:multiLevelType w:val="hybridMultilevel"/>
    <w:tmpl w:val="DFA8C81A"/>
    <w:lvl w:ilvl="0" w:tplc="A55C446A">
      <w:start w:val="2"/>
      <w:numFmt w:val="bullet"/>
      <w:lvlText w:val="-"/>
      <w:lvlJc w:val="left"/>
      <w:pPr>
        <w:ind w:left="720" w:hanging="360"/>
      </w:pPr>
      <w:rPr>
        <w:rFonts w:ascii="Calibri" w:eastAsiaTheme="minorEastAsia"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1402DE"/>
    <w:multiLevelType w:val="hybridMultilevel"/>
    <w:tmpl w:val="F8DCB6DA"/>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D521668"/>
    <w:multiLevelType w:val="hybridMultilevel"/>
    <w:tmpl w:val="7A7EAEE2"/>
    <w:lvl w:ilvl="0" w:tplc="EC702EA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E8C0D1C"/>
    <w:multiLevelType w:val="hybridMultilevel"/>
    <w:tmpl w:val="AFB8B55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6"/>
  </w:num>
  <w:num w:numId="2">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0"/>
  </w:num>
  <w:num w:numId="5">
    <w:abstractNumId w:val="12"/>
  </w:num>
  <w:num w:numId="6">
    <w:abstractNumId w:val="7"/>
  </w:num>
  <w:num w:numId="7">
    <w:abstractNumId w:val="29"/>
  </w:num>
  <w:num w:numId="8">
    <w:abstractNumId w:val="38"/>
  </w:num>
  <w:num w:numId="9">
    <w:abstractNumId w:val="41"/>
  </w:num>
  <w:num w:numId="10">
    <w:abstractNumId w:val="13"/>
  </w:num>
  <w:num w:numId="11">
    <w:abstractNumId w:val="25"/>
  </w:num>
  <w:num w:numId="12">
    <w:abstractNumId w:val="40"/>
  </w:num>
  <w:num w:numId="13">
    <w:abstractNumId w:val="50"/>
  </w:num>
  <w:num w:numId="14">
    <w:abstractNumId w:val="10"/>
  </w:num>
  <w:num w:numId="15">
    <w:abstractNumId w:val="18"/>
  </w:num>
  <w:num w:numId="16">
    <w:abstractNumId w:val="5"/>
  </w:num>
  <w:num w:numId="17">
    <w:abstractNumId w:val="37"/>
  </w:num>
  <w:num w:numId="18">
    <w:abstractNumId w:val="36"/>
  </w:num>
  <w:num w:numId="19">
    <w:abstractNumId w:val="24"/>
  </w:num>
  <w:num w:numId="20">
    <w:abstractNumId w:val="0"/>
  </w:num>
  <w:num w:numId="21">
    <w:abstractNumId w:val="19"/>
  </w:num>
  <w:num w:numId="22">
    <w:abstractNumId w:val="31"/>
  </w:num>
  <w:num w:numId="23">
    <w:abstractNumId w:val="24"/>
  </w:num>
  <w:num w:numId="24">
    <w:abstractNumId w:val="27"/>
  </w:num>
  <w:num w:numId="25">
    <w:abstractNumId w:val="45"/>
  </w:num>
  <w:num w:numId="26">
    <w:abstractNumId w:val="34"/>
  </w:num>
  <w:num w:numId="27">
    <w:abstractNumId w:val="4"/>
  </w:num>
  <w:num w:numId="28">
    <w:abstractNumId w:val="21"/>
  </w:num>
  <w:num w:numId="29">
    <w:abstractNumId w:val="49"/>
  </w:num>
  <w:num w:numId="30">
    <w:abstractNumId w:val="22"/>
  </w:num>
  <w:num w:numId="31">
    <w:abstractNumId w:val="9"/>
  </w:num>
  <w:num w:numId="32">
    <w:abstractNumId w:val="2"/>
  </w:num>
  <w:num w:numId="33">
    <w:abstractNumId w:val="33"/>
  </w:num>
  <w:num w:numId="34">
    <w:abstractNumId w:val="15"/>
  </w:num>
  <w:num w:numId="35">
    <w:abstractNumId w:val="46"/>
  </w:num>
  <w:num w:numId="36">
    <w:abstractNumId w:val="6"/>
  </w:num>
  <w:num w:numId="37">
    <w:abstractNumId w:val="8"/>
  </w:num>
  <w:num w:numId="38">
    <w:abstractNumId w:val="26"/>
  </w:num>
  <w:num w:numId="39">
    <w:abstractNumId w:val="48"/>
  </w:num>
  <w:num w:numId="40">
    <w:abstractNumId w:val="42"/>
  </w:num>
  <w:num w:numId="41">
    <w:abstractNumId w:val="14"/>
  </w:num>
  <w:num w:numId="42">
    <w:abstractNumId w:val="28"/>
  </w:num>
  <w:num w:numId="43">
    <w:abstractNumId w:val="3"/>
  </w:num>
  <w:num w:numId="44">
    <w:abstractNumId w:val="47"/>
  </w:num>
  <w:num w:numId="45">
    <w:abstractNumId w:val="23"/>
  </w:num>
  <w:num w:numId="46">
    <w:abstractNumId w:val="51"/>
  </w:num>
  <w:num w:numId="47">
    <w:abstractNumId w:val="43"/>
  </w:num>
  <w:num w:numId="48">
    <w:abstractNumId w:val="1"/>
  </w:num>
  <w:num w:numId="49">
    <w:abstractNumId w:val="11"/>
  </w:num>
  <w:num w:numId="50">
    <w:abstractNumId w:val="35"/>
  </w:num>
  <w:num w:numId="51">
    <w:abstractNumId w:val="32"/>
  </w:num>
  <w:num w:numId="52">
    <w:abstractNumId w:val="44"/>
  </w:num>
  <w:num w:numId="53">
    <w:abstractNumId w:val="17"/>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D2"/>
    <w:rsid w:val="00000774"/>
    <w:rsid w:val="00000DE5"/>
    <w:rsid w:val="00005D51"/>
    <w:rsid w:val="0000670C"/>
    <w:rsid w:val="00011A90"/>
    <w:rsid w:val="00013150"/>
    <w:rsid w:val="00014AD4"/>
    <w:rsid w:val="00015416"/>
    <w:rsid w:val="0001651C"/>
    <w:rsid w:val="0002085B"/>
    <w:rsid w:val="00021A80"/>
    <w:rsid w:val="000221A0"/>
    <w:rsid w:val="00022C41"/>
    <w:rsid w:val="00026013"/>
    <w:rsid w:val="00027BAD"/>
    <w:rsid w:val="00030386"/>
    <w:rsid w:val="00031426"/>
    <w:rsid w:val="000347C7"/>
    <w:rsid w:val="000404D1"/>
    <w:rsid w:val="000408E1"/>
    <w:rsid w:val="000476D2"/>
    <w:rsid w:val="00050BDF"/>
    <w:rsid w:val="00051E1F"/>
    <w:rsid w:val="00057720"/>
    <w:rsid w:val="0006084B"/>
    <w:rsid w:val="00061DBC"/>
    <w:rsid w:val="000663FF"/>
    <w:rsid w:val="00066CD4"/>
    <w:rsid w:val="000670BC"/>
    <w:rsid w:val="00070617"/>
    <w:rsid w:val="000711AC"/>
    <w:rsid w:val="000723A4"/>
    <w:rsid w:val="00072D52"/>
    <w:rsid w:val="00082326"/>
    <w:rsid w:val="00082743"/>
    <w:rsid w:val="00085608"/>
    <w:rsid w:val="000856D7"/>
    <w:rsid w:val="000861A3"/>
    <w:rsid w:val="000867A4"/>
    <w:rsid w:val="00087C41"/>
    <w:rsid w:val="00087E1A"/>
    <w:rsid w:val="0009211F"/>
    <w:rsid w:val="00096C17"/>
    <w:rsid w:val="000A3450"/>
    <w:rsid w:val="000A3B49"/>
    <w:rsid w:val="000A4308"/>
    <w:rsid w:val="000A7670"/>
    <w:rsid w:val="000B05AD"/>
    <w:rsid w:val="000B3682"/>
    <w:rsid w:val="000C19CA"/>
    <w:rsid w:val="000C3B20"/>
    <w:rsid w:val="000C7B06"/>
    <w:rsid w:val="000C7BF3"/>
    <w:rsid w:val="000D3A9C"/>
    <w:rsid w:val="000D71A0"/>
    <w:rsid w:val="000D7FA1"/>
    <w:rsid w:val="000E3593"/>
    <w:rsid w:val="000F3C43"/>
    <w:rsid w:val="000F3F2D"/>
    <w:rsid w:val="000F49F2"/>
    <w:rsid w:val="000F5800"/>
    <w:rsid w:val="000F66D5"/>
    <w:rsid w:val="000F6B89"/>
    <w:rsid w:val="00102E8A"/>
    <w:rsid w:val="00103653"/>
    <w:rsid w:val="00103B8C"/>
    <w:rsid w:val="00103D54"/>
    <w:rsid w:val="001045E7"/>
    <w:rsid w:val="00104E51"/>
    <w:rsid w:val="00105B05"/>
    <w:rsid w:val="00105C87"/>
    <w:rsid w:val="00114AAB"/>
    <w:rsid w:val="001161A5"/>
    <w:rsid w:val="001168D8"/>
    <w:rsid w:val="00117B42"/>
    <w:rsid w:val="00120C14"/>
    <w:rsid w:val="00120DA4"/>
    <w:rsid w:val="00121FD6"/>
    <w:rsid w:val="0012766B"/>
    <w:rsid w:val="0013096A"/>
    <w:rsid w:val="00131FA9"/>
    <w:rsid w:val="00133097"/>
    <w:rsid w:val="00137050"/>
    <w:rsid w:val="001371B9"/>
    <w:rsid w:val="00141222"/>
    <w:rsid w:val="001423A0"/>
    <w:rsid w:val="00142C15"/>
    <w:rsid w:val="00145909"/>
    <w:rsid w:val="00146154"/>
    <w:rsid w:val="00150040"/>
    <w:rsid w:val="00155D7C"/>
    <w:rsid w:val="00156372"/>
    <w:rsid w:val="00157858"/>
    <w:rsid w:val="00157C14"/>
    <w:rsid w:val="00157D91"/>
    <w:rsid w:val="00160CC8"/>
    <w:rsid w:val="00162AF5"/>
    <w:rsid w:val="001651E9"/>
    <w:rsid w:val="0016561E"/>
    <w:rsid w:val="00165FB9"/>
    <w:rsid w:val="001671FA"/>
    <w:rsid w:val="0017144F"/>
    <w:rsid w:val="00175921"/>
    <w:rsid w:val="00175E42"/>
    <w:rsid w:val="0017743B"/>
    <w:rsid w:val="00181D51"/>
    <w:rsid w:val="00184854"/>
    <w:rsid w:val="00190553"/>
    <w:rsid w:val="00191B40"/>
    <w:rsid w:val="0019372B"/>
    <w:rsid w:val="00193EFE"/>
    <w:rsid w:val="00194AB8"/>
    <w:rsid w:val="00196324"/>
    <w:rsid w:val="001966AD"/>
    <w:rsid w:val="001A07F9"/>
    <w:rsid w:val="001A1A74"/>
    <w:rsid w:val="001A43E1"/>
    <w:rsid w:val="001A4C47"/>
    <w:rsid w:val="001A6C41"/>
    <w:rsid w:val="001A7EFF"/>
    <w:rsid w:val="001B17C2"/>
    <w:rsid w:val="001B17DF"/>
    <w:rsid w:val="001B1FA6"/>
    <w:rsid w:val="001B3B9A"/>
    <w:rsid w:val="001C26C9"/>
    <w:rsid w:val="001C57C5"/>
    <w:rsid w:val="001C5D32"/>
    <w:rsid w:val="001C5E19"/>
    <w:rsid w:val="001C7074"/>
    <w:rsid w:val="001C7B21"/>
    <w:rsid w:val="001C7F4E"/>
    <w:rsid w:val="001C7FEB"/>
    <w:rsid w:val="001D0320"/>
    <w:rsid w:val="001D0775"/>
    <w:rsid w:val="001D0F96"/>
    <w:rsid w:val="001D3AFA"/>
    <w:rsid w:val="001D68DF"/>
    <w:rsid w:val="001E1C44"/>
    <w:rsid w:val="001E3012"/>
    <w:rsid w:val="001E383F"/>
    <w:rsid w:val="001F1523"/>
    <w:rsid w:val="001F1D47"/>
    <w:rsid w:val="001F7A68"/>
    <w:rsid w:val="002006D3"/>
    <w:rsid w:val="002015C1"/>
    <w:rsid w:val="002028DE"/>
    <w:rsid w:val="00204AC4"/>
    <w:rsid w:val="00205091"/>
    <w:rsid w:val="002054AD"/>
    <w:rsid w:val="00207CBA"/>
    <w:rsid w:val="00215C98"/>
    <w:rsid w:val="00222E1A"/>
    <w:rsid w:val="0022340F"/>
    <w:rsid w:val="002256B5"/>
    <w:rsid w:val="00230486"/>
    <w:rsid w:val="0023406D"/>
    <w:rsid w:val="0023574D"/>
    <w:rsid w:val="00235BFB"/>
    <w:rsid w:val="00240302"/>
    <w:rsid w:val="00240F7C"/>
    <w:rsid w:val="00242A1A"/>
    <w:rsid w:val="00244B6E"/>
    <w:rsid w:val="00246470"/>
    <w:rsid w:val="0025150B"/>
    <w:rsid w:val="00251B85"/>
    <w:rsid w:val="00253C13"/>
    <w:rsid w:val="00254714"/>
    <w:rsid w:val="00255354"/>
    <w:rsid w:val="002569A8"/>
    <w:rsid w:val="00256E42"/>
    <w:rsid w:val="00257D5E"/>
    <w:rsid w:val="00261951"/>
    <w:rsid w:val="00261E7F"/>
    <w:rsid w:val="0026249B"/>
    <w:rsid w:val="002625F7"/>
    <w:rsid w:val="00263FF6"/>
    <w:rsid w:val="00264F8D"/>
    <w:rsid w:val="002669E5"/>
    <w:rsid w:val="00275F95"/>
    <w:rsid w:val="002810C7"/>
    <w:rsid w:val="00281F93"/>
    <w:rsid w:val="00284379"/>
    <w:rsid w:val="00291727"/>
    <w:rsid w:val="002953EC"/>
    <w:rsid w:val="00296849"/>
    <w:rsid w:val="002970DA"/>
    <w:rsid w:val="002A0890"/>
    <w:rsid w:val="002A2968"/>
    <w:rsid w:val="002A34A2"/>
    <w:rsid w:val="002A4554"/>
    <w:rsid w:val="002A535D"/>
    <w:rsid w:val="002A593E"/>
    <w:rsid w:val="002B0E32"/>
    <w:rsid w:val="002B2633"/>
    <w:rsid w:val="002B308A"/>
    <w:rsid w:val="002B3901"/>
    <w:rsid w:val="002B3ECD"/>
    <w:rsid w:val="002B46F3"/>
    <w:rsid w:val="002B53AB"/>
    <w:rsid w:val="002B6A10"/>
    <w:rsid w:val="002B7996"/>
    <w:rsid w:val="002C3227"/>
    <w:rsid w:val="002C3726"/>
    <w:rsid w:val="002C7265"/>
    <w:rsid w:val="002D1470"/>
    <w:rsid w:val="002D2021"/>
    <w:rsid w:val="002D41BD"/>
    <w:rsid w:val="002D4CF9"/>
    <w:rsid w:val="002D69AA"/>
    <w:rsid w:val="002D6A98"/>
    <w:rsid w:val="002D6C91"/>
    <w:rsid w:val="002F0212"/>
    <w:rsid w:val="002F1753"/>
    <w:rsid w:val="002F29E5"/>
    <w:rsid w:val="002F712E"/>
    <w:rsid w:val="003018E2"/>
    <w:rsid w:val="00305F7E"/>
    <w:rsid w:val="003060CA"/>
    <w:rsid w:val="00306704"/>
    <w:rsid w:val="003071CC"/>
    <w:rsid w:val="00310E55"/>
    <w:rsid w:val="00311F4B"/>
    <w:rsid w:val="00323197"/>
    <w:rsid w:val="00326ACC"/>
    <w:rsid w:val="00327CCC"/>
    <w:rsid w:val="00332191"/>
    <w:rsid w:val="003343A0"/>
    <w:rsid w:val="00335968"/>
    <w:rsid w:val="00335E03"/>
    <w:rsid w:val="00345003"/>
    <w:rsid w:val="00345C05"/>
    <w:rsid w:val="003472C8"/>
    <w:rsid w:val="003509FB"/>
    <w:rsid w:val="00353A05"/>
    <w:rsid w:val="00355053"/>
    <w:rsid w:val="0035634E"/>
    <w:rsid w:val="00356485"/>
    <w:rsid w:val="00356693"/>
    <w:rsid w:val="003609A8"/>
    <w:rsid w:val="00361EB7"/>
    <w:rsid w:val="00366117"/>
    <w:rsid w:val="0037082A"/>
    <w:rsid w:val="00370F69"/>
    <w:rsid w:val="00372A1B"/>
    <w:rsid w:val="00374854"/>
    <w:rsid w:val="00375867"/>
    <w:rsid w:val="00375CFA"/>
    <w:rsid w:val="00376799"/>
    <w:rsid w:val="00377149"/>
    <w:rsid w:val="0038035C"/>
    <w:rsid w:val="00384062"/>
    <w:rsid w:val="003875FE"/>
    <w:rsid w:val="00390AFF"/>
    <w:rsid w:val="00392FF9"/>
    <w:rsid w:val="003948CE"/>
    <w:rsid w:val="00395049"/>
    <w:rsid w:val="00395458"/>
    <w:rsid w:val="003970AE"/>
    <w:rsid w:val="003A27C1"/>
    <w:rsid w:val="003A3AC5"/>
    <w:rsid w:val="003A64C7"/>
    <w:rsid w:val="003A66F5"/>
    <w:rsid w:val="003B0B8A"/>
    <w:rsid w:val="003B1498"/>
    <w:rsid w:val="003B2208"/>
    <w:rsid w:val="003B37F6"/>
    <w:rsid w:val="003B4544"/>
    <w:rsid w:val="003B5AAC"/>
    <w:rsid w:val="003B7837"/>
    <w:rsid w:val="003C1C68"/>
    <w:rsid w:val="003C22F8"/>
    <w:rsid w:val="003C46BA"/>
    <w:rsid w:val="003C7B00"/>
    <w:rsid w:val="003D11EB"/>
    <w:rsid w:val="003D1F72"/>
    <w:rsid w:val="003D247F"/>
    <w:rsid w:val="003D2EE5"/>
    <w:rsid w:val="003D4439"/>
    <w:rsid w:val="003D5FE6"/>
    <w:rsid w:val="003D68D3"/>
    <w:rsid w:val="003E0860"/>
    <w:rsid w:val="003E0DE8"/>
    <w:rsid w:val="003E6E33"/>
    <w:rsid w:val="003E707B"/>
    <w:rsid w:val="003F17F3"/>
    <w:rsid w:val="003F1996"/>
    <w:rsid w:val="003F2784"/>
    <w:rsid w:val="003F427B"/>
    <w:rsid w:val="003F6CC3"/>
    <w:rsid w:val="00401357"/>
    <w:rsid w:val="00402449"/>
    <w:rsid w:val="0040373F"/>
    <w:rsid w:val="004068BC"/>
    <w:rsid w:val="004115CF"/>
    <w:rsid w:val="004117CB"/>
    <w:rsid w:val="00414605"/>
    <w:rsid w:val="0041768E"/>
    <w:rsid w:val="00417E96"/>
    <w:rsid w:val="004227CF"/>
    <w:rsid w:val="00422C3B"/>
    <w:rsid w:val="00424BF3"/>
    <w:rsid w:val="00431225"/>
    <w:rsid w:val="004343E4"/>
    <w:rsid w:val="0043578A"/>
    <w:rsid w:val="0043736E"/>
    <w:rsid w:val="00441153"/>
    <w:rsid w:val="0044236F"/>
    <w:rsid w:val="0044327A"/>
    <w:rsid w:val="00445384"/>
    <w:rsid w:val="00446686"/>
    <w:rsid w:val="00447545"/>
    <w:rsid w:val="00451A1E"/>
    <w:rsid w:val="00455659"/>
    <w:rsid w:val="0046139D"/>
    <w:rsid w:val="004629A9"/>
    <w:rsid w:val="00465FD2"/>
    <w:rsid w:val="004664FD"/>
    <w:rsid w:val="00473067"/>
    <w:rsid w:val="00473CDE"/>
    <w:rsid w:val="004742D2"/>
    <w:rsid w:val="00477A66"/>
    <w:rsid w:val="00481F00"/>
    <w:rsid w:val="00486CD7"/>
    <w:rsid w:val="00491287"/>
    <w:rsid w:val="004928EC"/>
    <w:rsid w:val="00495697"/>
    <w:rsid w:val="00495899"/>
    <w:rsid w:val="004A00C1"/>
    <w:rsid w:val="004A0A17"/>
    <w:rsid w:val="004A1599"/>
    <w:rsid w:val="004A419B"/>
    <w:rsid w:val="004B2D00"/>
    <w:rsid w:val="004B2EA9"/>
    <w:rsid w:val="004B3AF2"/>
    <w:rsid w:val="004B4A8E"/>
    <w:rsid w:val="004B5B8E"/>
    <w:rsid w:val="004B7799"/>
    <w:rsid w:val="004C1EC5"/>
    <w:rsid w:val="004C27EE"/>
    <w:rsid w:val="004C3B74"/>
    <w:rsid w:val="004C3F40"/>
    <w:rsid w:val="004C5496"/>
    <w:rsid w:val="004C5ABF"/>
    <w:rsid w:val="004D014D"/>
    <w:rsid w:val="004D1AD5"/>
    <w:rsid w:val="004D2647"/>
    <w:rsid w:val="004D4D83"/>
    <w:rsid w:val="004D5EC0"/>
    <w:rsid w:val="004D6F88"/>
    <w:rsid w:val="004D7BD7"/>
    <w:rsid w:val="004E1943"/>
    <w:rsid w:val="004E1FC0"/>
    <w:rsid w:val="004E2546"/>
    <w:rsid w:val="004E39C9"/>
    <w:rsid w:val="004E7995"/>
    <w:rsid w:val="004F043E"/>
    <w:rsid w:val="004F3542"/>
    <w:rsid w:val="004F4F9B"/>
    <w:rsid w:val="00501622"/>
    <w:rsid w:val="00503C92"/>
    <w:rsid w:val="005040AC"/>
    <w:rsid w:val="0050479E"/>
    <w:rsid w:val="0050640A"/>
    <w:rsid w:val="005074F9"/>
    <w:rsid w:val="00513F9D"/>
    <w:rsid w:val="00514973"/>
    <w:rsid w:val="005152F7"/>
    <w:rsid w:val="00515FD1"/>
    <w:rsid w:val="00517A4E"/>
    <w:rsid w:val="005200CD"/>
    <w:rsid w:val="005249A1"/>
    <w:rsid w:val="0052627A"/>
    <w:rsid w:val="005266AC"/>
    <w:rsid w:val="00530300"/>
    <w:rsid w:val="00533CDB"/>
    <w:rsid w:val="00534AD1"/>
    <w:rsid w:val="00536ADA"/>
    <w:rsid w:val="0054092A"/>
    <w:rsid w:val="0054265C"/>
    <w:rsid w:val="0054316B"/>
    <w:rsid w:val="00545F28"/>
    <w:rsid w:val="00546035"/>
    <w:rsid w:val="005469CF"/>
    <w:rsid w:val="005474D6"/>
    <w:rsid w:val="00550B12"/>
    <w:rsid w:val="00552FA2"/>
    <w:rsid w:val="00554A75"/>
    <w:rsid w:val="005558A6"/>
    <w:rsid w:val="005561A6"/>
    <w:rsid w:val="00556394"/>
    <w:rsid w:val="00556BCC"/>
    <w:rsid w:val="00560D16"/>
    <w:rsid w:val="005705E3"/>
    <w:rsid w:val="0057398B"/>
    <w:rsid w:val="0057488C"/>
    <w:rsid w:val="005762C3"/>
    <w:rsid w:val="0057780D"/>
    <w:rsid w:val="005805EE"/>
    <w:rsid w:val="00582A9E"/>
    <w:rsid w:val="00584810"/>
    <w:rsid w:val="0059218C"/>
    <w:rsid w:val="00593A59"/>
    <w:rsid w:val="00595853"/>
    <w:rsid w:val="005A1C73"/>
    <w:rsid w:val="005A42A1"/>
    <w:rsid w:val="005A4A58"/>
    <w:rsid w:val="005A7A28"/>
    <w:rsid w:val="005B3AB9"/>
    <w:rsid w:val="005B3D12"/>
    <w:rsid w:val="005B4754"/>
    <w:rsid w:val="005B60E2"/>
    <w:rsid w:val="005B6A3E"/>
    <w:rsid w:val="005C2A50"/>
    <w:rsid w:val="005C70A5"/>
    <w:rsid w:val="005D217E"/>
    <w:rsid w:val="005D2203"/>
    <w:rsid w:val="005D32A6"/>
    <w:rsid w:val="005D4792"/>
    <w:rsid w:val="005D59F2"/>
    <w:rsid w:val="005D5E13"/>
    <w:rsid w:val="005D6148"/>
    <w:rsid w:val="005D7B9B"/>
    <w:rsid w:val="005E53D6"/>
    <w:rsid w:val="005F1ACE"/>
    <w:rsid w:val="005F4BD5"/>
    <w:rsid w:val="005F6687"/>
    <w:rsid w:val="006022D1"/>
    <w:rsid w:val="0060234B"/>
    <w:rsid w:val="00602B48"/>
    <w:rsid w:val="0060382E"/>
    <w:rsid w:val="006051E1"/>
    <w:rsid w:val="0060570D"/>
    <w:rsid w:val="00605E3D"/>
    <w:rsid w:val="006066B3"/>
    <w:rsid w:val="006103B8"/>
    <w:rsid w:val="00614D4B"/>
    <w:rsid w:val="006173B4"/>
    <w:rsid w:val="0062143F"/>
    <w:rsid w:val="00621EE7"/>
    <w:rsid w:val="00622E1D"/>
    <w:rsid w:val="0062494B"/>
    <w:rsid w:val="00624FDC"/>
    <w:rsid w:val="00626496"/>
    <w:rsid w:val="00626AD7"/>
    <w:rsid w:val="006303DD"/>
    <w:rsid w:val="00631205"/>
    <w:rsid w:val="00631EF5"/>
    <w:rsid w:val="006368FC"/>
    <w:rsid w:val="006407E4"/>
    <w:rsid w:val="006415E0"/>
    <w:rsid w:val="00641A03"/>
    <w:rsid w:val="00642E83"/>
    <w:rsid w:val="00643C87"/>
    <w:rsid w:val="00646C87"/>
    <w:rsid w:val="006478D2"/>
    <w:rsid w:val="00651CE7"/>
    <w:rsid w:val="00653619"/>
    <w:rsid w:val="00653938"/>
    <w:rsid w:val="00670CE6"/>
    <w:rsid w:val="00670DAC"/>
    <w:rsid w:val="00671C83"/>
    <w:rsid w:val="0067323F"/>
    <w:rsid w:val="00675E99"/>
    <w:rsid w:val="0067642B"/>
    <w:rsid w:val="006764BC"/>
    <w:rsid w:val="006766E5"/>
    <w:rsid w:val="00677161"/>
    <w:rsid w:val="006777C3"/>
    <w:rsid w:val="006778B0"/>
    <w:rsid w:val="00680987"/>
    <w:rsid w:val="00680AEB"/>
    <w:rsid w:val="00680D62"/>
    <w:rsid w:val="00682DA2"/>
    <w:rsid w:val="00682E4D"/>
    <w:rsid w:val="006838DA"/>
    <w:rsid w:val="00685052"/>
    <w:rsid w:val="00686F32"/>
    <w:rsid w:val="006875BD"/>
    <w:rsid w:val="00687F35"/>
    <w:rsid w:val="00691E65"/>
    <w:rsid w:val="00693C73"/>
    <w:rsid w:val="00697359"/>
    <w:rsid w:val="00697478"/>
    <w:rsid w:val="006A0D36"/>
    <w:rsid w:val="006A4BD4"/>
    <w:rsid w:val="006B3A6D"/>
    <w:rsid w:val="006B582B"/>
    <w:rsid w:val="006B7254"/>
    <w:rsid w:val="006C0498"/>
    <w:rsid w:val="006C06D7"/>
    <w:rsid w:val="006C16F4"/>
    <w:rsid w:val="006C1B72"/>
    <w:rsid w:val="006C6C74"/>
    <w:rsid w:val="006D1008"/>
    <w:rsid w:val="006D1B1F"/>
    <w:rsid w:val="006D550B"/>
    <w:rsid w:val="006D615D"/>
    <w:rsid w:val="006D678C"/>
    <w:rsid w:val="006D7B6D"/>
    <w:rsid w:val="006E4A3F"/>
    <w:rsid w:val="006E6CBE"/>
    <w:rsid w:val="006E7AAB"/>
    <w:rsid w:val="006F3C9B"/>
    <w:rsid w:val="006F62D7"/>
    <w:rsid w:val="006F7006"/>
    <w:rsid w:val="006F7C80"/>
    <w:rsid w:val="00700288"/>
    <w:rsid w:val="00700A99"/>
    <w:rsid w:val="00700AE0"/>
    <w:rsid w:val="00702706"/>
    <w:rsid w:val="00703ED1"/>
    <w:rsid w:val="0070436A"/>
    <w:rsid w:val="007048B3"/>
    <w:rsid w:val="00704CB0"/>
    <w:rsid w:val="00705724"/>
    <w:rsid w:val="00706D30"/>
    <w:rsid w:val="00711EBE"/>
    <w:rsid w:val="00713C54"/>
    <w:rsid w:val="0071453F"/>
    <w:rsid w:val="00715848"/>
    <w:rsid w:val="0071744E"/>
    <w:rsid w:val="0072035B"/>
    <w:rsid w:val="00720E72"/>
    <w:rsid w:val="00721857"/>
    <w:rsid w:val="00721925"/>
    <w:rsid w:val="00721D9B"/>
    <w:rsid w:val="00722E86"/>
    <w:rsid w:val="007230EF"/>
    <w:rsid w:val="007316BD"/>
    <w:rsid w:val="00731EC1"/>
    <w:rsid w:val="00735041"/>
    <w:rsid w:val="00736858"/>
    <w:rsid w:val="00737739"/>
    <w:rsid w:val="007410CF"/>
    <w:rsid w:val="007412EA"/>
    <w:rsid w:val="00741E07"/>
    <w:rsid w:val="0074470E"/>
    <w:rsid w:val="00745BD3"/>
    <w:rsid w:val="00752DC7"/>
    <w:rsid w:val="00753A48"/>
    <w:rsid w:val="00757226"/>
    <w:rsid w:val="007575BC"/>
    <w:rsid w:val="007603FC"/>
    <w:rsid w:val="0076157B"/>
    <w:rsid w:val="007627D5"/>
    <w:rsid w:val="00763A4B"/>
    <w:rsid w:val="00764BFB"/>
    <w:rsid w:val="00764C86"/>
    <w:rsid w:val="007659EE"/>
    <w:rsid w:val="00766A01"/>
    <w:rsid w:val="00771058"/>
    <w:rsid w:val="00771B8D"/>
    <w:rsid w:val="00771F47"/>
    <w:rsid w:val="00773952"/>
    <w:rsid w:val="007749A7"/>
    <w:rsid w:val="00776C45"/>
    <w:rsid w:val="00780ED1"/>
    <w:rsid w:val="00782EFE"/>
    <w:rsid w:val="00786193"/>
    <w:rsid w:val="0078637C"/>
    <w:rsid w:val="00786526"/>
    <w:rsid w:val="007876EA"/>
    <w:rsid w:val="00791121"/>
    <w:rsid w:val="00791D7A"/>
    <w:rsid w:val="00793719"/>
    <w:rsid w:val="00794396"/>
    <w:rsid w:val="00795415"/>
    <w:rsid w:val="00796510"/>
    <w:rsid w:val="007979B6"/>
    <w:rsid w:val="007A13D8"/>
    <w:rsid w:val="007A339E"/>
    <w:rsid w:val="007A34ED"/>
    <w:rsid w:val="007A3994"/>
    <w:rsid w:val="007A51D4"/>
    <w:rsid w:val="007A55CF"/>
    <w:rsid w:val="007A72D8"/>
    <w:rsid w:val="007A7AFB"/>
    <w:rsid w:val="007B1048"/>
    <w:rsid w:val="007B23E1"/>
    <w:rsid w:val="007B29F6"/>
    <w:rsid w:val="007C1532"/>
    <w:rsid w:val="007C1F93"/>
    <w:rsid w:val="007C2385"/>
    <w:rsid w:val="007C3023"/>
    <w:rsid w:val="007C30A3"/>
    <w:rsid w:val="007D046B"/>
    <w:rsid w:val="007D180E"/>
    <w:rsid w:val="007D3374"/>
    <w:rsid w:val="007D5D32"/>
    <w:rsid w:val="007D6297"/>
    <w:rsid w:val="007D6C4D"/>
    <w:rsid w:val="007D7DDC"/>
    <w:rsid w:val="007E074D"/>
    <w:rsid w:val="007E2748"/>
    <w:rsid w:val="007E3600"/>
    <w:rsid w:val="007E6EB7"/>
    <w:rsid w:val="007E701B"/>
    <w:rsid w:val="007F2C98"/>
    <w:rsid w:val="007F4BB1"/>
    <w:rsid w:val="007F6AF4"/>
    <w:rsid w:val="0080257C"/>
    <w:rsid w:val="008055B7"/>
    <w:rsid w:val="00807518"/>
    <w:rsid w:val="008121DA"/>
    <w:rsid w:val="00816CAF"/>
    <w:rsid w:val="00816ECE"/>
    <w:rsid w:val="008178D3"/>
    <w:rsid w:val="00820FE9"/>
    <w:rsid w:val="00821127"/>
    <w:rsid w:val="008223BE"/>
    <w:rsid w:val="008228A6"/>
    <w:rsid w:val="00822909"/>
    <w:rsid w:val="00826212"/>
    <w:rsid w:val="0083025A"/>
    <w:rsid w:val="00833EEF"/>
    <w:rsid w:val="0083400C"/>
    <w:rsid w:val="00835D41"/>
    <w:rsid w:val="00837316"/>
    <w:rsid w:val="008373DC"/>
    <w:rsid w:val="008377BC"/>
    <w:rsid w:val="008418DF"/>
    <w:rsid w:val="0084328D"/>
    <w:rsid w:val="00845CA3"/>
    <w:rsid w:val="008474B3"/>
    <w:rsid w:val="00851C47"/>
    <w:rsid w:val="00852520"/>
    <w:rsid w:val="00853791"/>
    <w:rsid w:val="00853958"/>
    <w:rsid w:val="00853B6C"/>
    <w:rsid w:val="00855A19"/>
    <w:rsid w:val="00860E34"/>
    <w:rsid w:val="0086247E"/>
    <w:rsid w:val="00862703"/>
    <w:rsid w:val="00862708"/>
    <w:rsid w:val="0086302D"/>
    <w:rsid w:val="00863A0A"/>
    <w:rsid w:val="008642E7"/>
    <w:rsid w:val="00865E0A"/>
    <w:rsid w:val="00866CA1"/>
    <w:rsid w:val="008713E9"/>
    <w:rsid w:val="008732B4"/>
    <w:rsid w:val="0087454A"/>
    <w:rsid w:val="008758BA"/>
    <w:rsid w:val="00877F68"/>
    <w:rsid w:val="008803F0"/>
    <w:rsid w:val="008805B6"/>
    <w:rsid w:val="00881C5F"/>
    <w:rsid w:val="00881DF4"/>
    <w:rsid w:val="00882278"/>
    <w:rsid w:val="00882C92"/>
    <w:rsid w:val="00883F3A"/>
    <w:rsid w:val="00884A28"/>
    <w:rsid w:val="0088608D"/>
    <w:rsid w:val="00891CED"/>
    <w:rsid w:val="008930C1"/>
    <w:rsid w:val="00893231"/>
    <w:rsid w:val="00895B32"/>
    <w:rsid w:val="008A073C"/>
    <w:rsid w:val="008A0E4A"/>
    <w:rsid w:val="008A2F6F"/>
    <w:rsid w:val="008A4595"/>
    <w:rsid w:val="008A47BA"/>
    <w:rsid w:val="008A7053"/>
    <w:rsid w:val="008A74DE"/>
    <w:rsid w:val="008B037E"/>
    <w:rsid w:val="008B1FA4"/>
    <w:rsid w:val="008B1FDB"/>
    <w:rsid w:val="008B59C2"/>
    <w:rsid w:val="008C1670"/>
    <w:rsid w:val="008C1A16"/>
    <w:rsid w:val="008C3039"/>
    <w:rsid w:val="008C3DD6"/>
    <w:rsid w:val="008C75D6"/>
    <w:rsid w:val="008D1F72"/>
    <w:rsid w:val="008D24C9"/>
    <w:rsid w:val="008D74DD"/>
    <w:rsid w:val="008E2EDE"/>
    <w:rsid w:val="008E3CCB"/>
    <w:rsid w:val="008E5704"/>
    <w:rsid w:val="008E5BF9"/>
    <w:rsid w:val="008E5D12"/>
    <w:rsid w:val="008E68A1"/>
    <w:rsid w:val="008E7BEE"/>
    <w:rsid w:val="008F2DBA"/>
    <w:rsid w:val="00903FD0"/>
    <w:rsid w:val="0090486F"/>
    <w:rsid w:val="00904E18"/>
    <w:rsid w:val="009118E8"/>
    <w:rsid w:val="00913658"/>
    <w:rsid w:val="00913DA9"/>
    <w:rsid w:val="00915300"/>
    <w:rsid w:val="009304DA"/>
    <w:rsid w:val="00932279"/>
    <w:rsid w:val="00933872"/>
    <w:rsid w:val="00934A72"/>
    <w:rsid w:val="00934B41"/>
    <w:rsid w:val="00934D02"/>
    <w:rsid w:val="00935A55"/>
    <w:rsid w:val="00935E9C"/>
    <w:rsid w:val="00937F2F"/>
    <w:rsid w:val="00940E7D"/>
    <w:rsid w:val="009420BA"/>
    <w:rsid w:val="00942268"/>
    <w:rsid w:val="009427F3"/>
    <w:rsid w:val="00943E5D"/>
    <w:rsid w:val="009470AD"/>
    <w:rsid w:val="009547A2"/>
    <w:rsid w:val="00954A52"/>
    <w:rsid w:val="0095503F"/>
    <w:rsid w:val="009555A1"/>
    <w:rsid w:val="009618B1"/>
    <w:rsid w:val="0096444E"/>
    <w:rsid w:val="00967A1D"/>
    <w:rsid w:val="00972A6D"/>
    <w:rsid w:val="00974C8E"/>
    <w:rsid w:val="009809BF"/>
    <w:rsid w:val="00980FDD"/>
    <w:rsid w:val="009815F7"/>
    <w:rsid w:val="00982F53"/>
    <w:rsid w:val="0098301F"/>
    <w:rsid w:val="00984AFC"/>
    <w:rsid w:val="00986421"/>
    <w:rsid w:val="00986588"/>
    <w:rsid w:val="009908CE"/>
    <w:rsid w:val="00991B30"/>
    <w:rsid w:val="0099321A"/>
    <w:rsid w:val="0099470A"/>
    <w:rsid w:val="00996706"/>
    <w:rsid w:val="00996823"/>
    <w:rsid w:val="00997751"/>
    <w:rsid w:val="0099789D"/>
    <w:rsid w:val="009A654B"/>
    <w:rsid w:val="009A776D"/>
    <w:rsid w:val="009A7CDA"/>
    <w:rsid w:val="009B0010"/>
    <w:rsid w:val="009B1DF4"/>
    <w:rsid w:val="009B298C"/>
    <w:rsid w:val="009B2F6B"/>
    <w:rsid w:val="009B41F5"/>
    <w:rsid w:val="009C1DFF"/>
    <w:rsid w:val="009C2062"/>
    <w:rsid w:val="009C6A7D"/>
    <w:rsid w:val="009D1655"/>
    <w:rsid w:val="009D17F3"/>
    <w:rsid w:val="009D1976"/>
    <w:rsid w:val="009D1DF0"/>
    <w:rsid w:val="009D4686"/>
    <w:rsid w:val="009E0F6A"/>
    <w:rsid w:val="009E1D8C"/>
    <w:rsid w:val="009E3512"/>
    <w:rsid w:val="009E6586"/>
    <w:rsid w:val="009E7F39"/>
    <w:rsid w:val="009F0123"/>
    <w:rsid w:val="009F18BC"/>
    <w:rsid w:val="009F1B05"/>
    <w:rsid w:val="009F2453"/>
    <w:rsid w:val="009F2A4C"/>
    <w:rsid w:val="009F4376"/>
    <w:rsid w:val="009F726F"/>
    <w:rsid w:val="00A00EAE"/>
    <w:rsid w:val="00A012CA"/>
    <w:rsid w:val="00A01E2B"/>
    <w:rsid w:val="00A0313C"/>
    <w:rsid w:val="00A13BBA"/>
    <w:rsid w:val="00A14AD2"/>
    <w:rsid w:val="00A14D18"/>
    <w:rsid w:val="00A15322"/>
    <w:rsid w:val="00A22262"/>
    <w:rsid w:val="00A22327"/>
    <w:rsid w:val="00A23F69"/>
    <w:rsid w:val="00A24EB4"/>
    <w:rsid w:val="00A26429"/>
    <w:rsid w:val="00A2756D"/>
    <w:rsid w:val="00A27754"/>
    <w:rsid w:val="00A30C09"/>
    <w:rsid w:val="00A31168"/>
    <w:rsid w:val="00A33AC9"/>
    <w:rsid w:val="00A356E3"/>
    <w:rsid w:val="00A35C87"/>
    <w:rsid w:val="00A362FC"/>
    <w:rsid w:val="00A406CC"/>
    <w:rsid w:val="00A41960"/>
    <w:rsid w:val="00A41FE9"/>
    <w:rsid w:val="00A426DC"/>
    <w:rsid w:val="00A43DBF"/>
    <w:rsid w:val="00A4523F"/>
    <w:rsid w:val="00A461F4"/>
    <w:rsid w:val="00A46246"/>
    <w:rsid w:val="00A4789E"/>
    <w:rsid w:val="00A500E5"/>
    <w:rsid w:val="00A51454"/>
    <w:rsid w:val="00A56809"/>
    <w:rsid w:val="00A5690C"/>
    <w:rsid w:val="00A5722F"/>
    <w:rsid w:val="00A57BDC"/>
    <w:rsid w:val="00A57D2A"/>
    <w:rsid w:val="00A6000E"/>
    <w:rsid w:val="00A61137"/>
    <w:rsid w:val="00A638F5"/>
    <w:rsid w:val="00A65534"/>
    <w:rsid w:val="00A712D7"/>
    <w:rsid w:val="00A737C0"/>
    <w:rsid w:val="00A73B79"/>
    <w:rsid w:val="00A76C8A"/>
    <w:rsid w:val="00A8407A"/>
    <w:rsid w:val="00A8761A"/>
    <w:rsid w:val="00A950CA"/>
    <w:rsid w:val="00A95967"/>
    <w:rsid w:val="00A95DFC"/>
    <w:rsid w:val="00A95F14"/>
    <w:rsid w:val="00A97219"/>
    <w:rsid w:val="00A973DF"/>
    <w:rsid w:val="00AA0BD9"/>
    <w:rsid w:val="00AA13B2"/>
    <w:rsid w:val="00AA2DA3"/>
    <w:rsid w:val="00AA2FD2"/>
    <w:rsid w:val="00AA33F0"/>
    <w:rsid w:val="00AA720C"/>
    <w:rsid w:val="00AA747E"/>
    <w:rsid w:val="00AB051B"/>
    <w:rsid w:val="00AB1542"/>
    <w:rsid w:val="00AB2D6C"/>
    <w:rsid w:val="00AB394B"/>
    <w:rsid w:val="00AB49B9"/>
    <w:rsid w:val="00AB4A18"/>
    <w:rsid w:val="00AB658B"/>
    <w:rsid w:val="00AB6FF5"/>
    <w:rsid w:val="00AC035D"/>
    <w:rsid w:val="00AC3501"/>
    <w:rsid w:val="00AC4B38"/>
    <w:rsid w:val="00AC5335"/>
    <w:rsid w:val="00AC698E"/>
    <w:rsid w:val="00AC6BFE"/>
    <w:rsid w:val="00AC6DD6"/>
    <w:rsid w:val="00AC6E80"/>
    <w:rsid w:val="00AD010F"/>
    <w:rsid w:val="00AD307A"/>
    <w:rsid w:val="00AD3F89"/>
    <w:rsid w:val="00AD41CD"/>
    <w:rsid w:val="00AE063F"/>
    <w:rsid w:val="00AE1D09"/>
    <w:rsid w:val="00AE5A8E"/>
    <w:rsid w:val="00AE5CC9"/>
    <w:rsid w:val="00AE7511"/>
    <w:rsid w:val="00AF07F2"/>
    <w:rsid w:val="00AF29BD"/>
    <w:rsid w:val="00AF489A"/>
    <w:rsid w:val="00B00B7C"/>
    <w:rsid w:val="00B01632"/>
    <w:rsid w:val="00B016E6"/>
    <w:rsid w:val="00B01777"/>
    <w:rsid w:val="00B02CBF"/>
    <w:rsid w:val="00B07F3C"/>
    <w:rsid w:val="00B12044"/>
    <w:rsid w:val="00B1696B"/>
    <w:rsid w:val="00B17D06"/>
    <w:rsid w:val="00B20B00"/>
    <w:rsid w:val="00B210C5"/>
    <w:rsid w:val="00B24CA3"/>
    <w:rsid w:val="00B261BF"/>
    <w:rsid w:val="00B30810"/>
    <w:rsid w:val="00B35805"/>
    <w:rsid w:val="00B4522D"/>
    <w:rsid w:val="00B46D2B"/>
    <w:rsid w:val="00B46D61"/>
    <w:rsid w:val="00B47B18"/>
    <w:rsid w:val="00B53BFD"/>
    <w:rsid w:val="00B577A3"/>
    <w:rsid w:val="00B61E23"/>
    <w:rsid w:val="00B638BC"/>
    <w:rsid w:val="00B64323"/>
    <w:rsid w:val="00B65150"/>
    <w:rsid w:val="00B7011E"/>
    <w:rsid w:val="00B70CEA"/>
    <w:rsid w:val="00B70E61"/>
    <w:rsid w:val="00B70F4E"/>
    <w:rsid w:val="00B74C0D"/>
    <w:rsid w:val="00B77A40"/>
    <w:rsid w:val="00B842CF"/>
    <w:rsid w:val="00B84EA2"/>
    <w:rsid w:val="00B87181"/>
    <w:rsid w:val="00B873DA"/>
    <w:rsid w:val="00B907E6"/>
    <w:rsid w:val="00B9149D"/>
    <w:rsid w:val="00B91A34"/>
    <w:rsid w:val="00B9207E"/>
    <w:rsid w:val="00B94D57"/>
    <w:rsid w:val="00BA2A74"/>
    <w:rsid w:val="00BA3433"/>
    <w:rsid w:val="00BA4CB4"/>
    <w:rsid w:val="00BA6C6A"/>
    <w:rsid w:val="00BA782C"/>
    <w:rsid w:val="00BA7DE3"/>
    <w:rsid w:val="00BB24F2"/>
    <w:rsid w:val="00BB453B"/>
    <w:rsid w:val="00BB5E06"/>
    <w:rsid w:val="00BB78AF"/>
    <w:rsid w:val="00BB78D5"/>
    <w:rsid w:val="00BC127F"/>
    <w:rsid w:val="00BC15E9"/>
    <w:rsid w:val="00BC27E7"/>
    <w:rsid w:val="00BC45B1"/>
    <w:rsid w:val="00BC5A6E"/>
    <w:rsid w:val="00BC5C45"/>
    <w:rsid w:val="00BC6709"/>
    <w:rsid w:val="00BE13DF"/>
    <w:rsid w:val="00BE1831"/>
    <w:rsid w:val="00BE1BB5"/>
    <w:rsid w:val="00BE526E"/>
    <w:rsid w:val="00BE7F5F"/>
    <w:rsid w:val="00BF017E"/>
    <w:rsid w:val="00BF1324"/>
    <w:rsid w:val="00BF23D8"/>
    <w:rsid w:val="00BF3110"/>
    <w:rsid w:val="00BF4767"/>
    <w:rsid w:val="00BF7C33"/>
    <w:rsid w:val="00BF7CB1"/>
    <w:rsid w:val="00C01DC9"/>
    <w:rsid w:val="00C026D3"/>
    <w:rsid w:val="00C0293D"/>
    <w:rsid w:val="00C05D15"/>
    <w:rsid w:val="00C07E75"/>
    <w:rsid w:val="00C1301C"/>
    <w:rsid w:val="00C13F25"/>
    <w:rsid w:val="00C24F2D"/>
    <w:rsid w:val="00C25486"/>
    <w:rsid w:val="00C268B8"/>
    <w:rsid w:val="00C3019C"/>
    <w:rsid w:val="00C30C2F"/>
    <w:rsid w:val="00C323BB"/>
    <w:rsid w:val="00C33B4A"/>
    <w:rsid w:val="00C33C6C"/>
    <w:rsid w:val="00C3550D"/>
    <w:rsid w:val="00C371C6"/>
    <w:rsid w:val="00C37A74"/>
    <w:rsid w:val="00C40417"/>
    <w:rsid w:val="00C40C54"/>
    <w:rsid w:val="00C423C3"/>
    <w:rsid w:val="00C4258C"/>
    <w:rsid w:val="00C42A4D"/>
    <w:rsid w:val="00C457E2"/>
    <w:rsid w:val="00C473AD"/>
    <w:rsid w:val="00C51043"/>
    <w:rsid w:val="00C511B3"/>
    <w:rsid w:val="00C573B5"/>
    <w:rsid w:val="00C604DD"/>
    <w:rsid w:val="00C609D5"/>
    <w:rsid w:val="00C61239"/>
    <w:rsid w:val="00C637D6"/>
    <w:rsid w:val="00C63E9D"/>
    <w:rsid w:val="00C659A5"/>
    <w:rsid w:val="00C65AA7"/>
    <w:rsid w:val="00C65E92"/>
    <w:rsid w:val="00C666E2"/>
    <w:rsid w:val="00C70D8D"/>
    <w:rsid w:val="00C726BE"/>
    <w:rsid w:val="00C73A45"/>
    <w:rsid w:val="00C746D3"/>
    <w:rsid w:val="00C820C8"/>
    <w:rsid w:val="00C853D3"/>
    <w:rsid w:val="00C86717"/>
    <w:rsid w:val="00C92287"/>
    <w:rsid w:val="00C93CC2"/>
    <w:rsid w:val="00C95C76"/>
    <w:rsid w:val="00C96DA3"/>
    <w:rsid w:val="00CA08A8"/>
    <w:rsid w:val="00CA10E6"/>
    <w:rsid w:val="00CA1801"/>
    <w:rsid w:val="00CA5D0E"/>
    <w:rsid w:val="00CB0953"/>
    <w:rsid w:val="00CB1EAA"/>
    <w:rsid w:val="00CB32A9"/>
    <w:rsid w:val="00CB42C8"/>
    <w:rsid w:val="00CB435C"/>
    <w:rsid w:val="00CB6555"/>
    <w:rsid w:val="00CB7AC5"/>
    <w:rsid w:val="00CC02BA"/>
    <w:rsid w:val="00CC2DC7"/>
    <w:rsid w:val="00CC2F14"/>
    <w:rsid w:val="00CD3022"/>
    <w:rsid w:val="00CD336D"/>
    <w:rsid w:val="00CD4AE8"/>
    <w:rsid w:val="00CD5276"/>
    <w:rsid w:val="00CD6C6B"/>
    <w:rsid w:val="00CE01AA"/>
    <w:rsid w:val="00CE2064"/>
    <w:rsid w:val="00CE47B7"/>
    <w:rsid w:val="00CE4E8E"/>
    <w:rsid w:val="00CE54E3"/>
    <w:rsid w:val="00CF03BA"/>
    <w:rsid w:val="00CF03E0"/>
    <w:rsid w:val="00CF2059"/>
    <w:rsid w:val="00CF3BAB"/>
    <w:rsid w:val="00CF5DFA"/>
    <w:rsid w:val="00CF733F"/>
    <w:rsid w:val="00CF7B9B"/>
    <w:rsid w:val="00CF7B9C"/>
    <w:rsid w:val="00D00B3F"/>
    <w:rsid w:val="00D0116B"/>
    <w:rsid w:val="00D01CF1"/>
    <w:rsid w:val="00D028AD"/>
    <w:rsid w:val="00D02EB1"/>
    <w:rsid w:val="00D06940"/>
    <w:rsid w:val="00D1099C"/>
    <w:rsid w:val="00D11DF4"/>
    <w:rsid w:val="00D154F0"/>
    <w:rsid w:val="00D15944"/>
    <w:rsid w:val="00D166B7"/>
    <w:rsid w:val="00D167D2"/>
    <w:rsid w:val="00D20A60"/>
    <w:rsid w:val="00D211D0"/>
    <w:rsid w:val="00D23038"/>
    <w:rsid w:val="00D24FB3"/>
    <w:rsid w:val="00D25863"/>
    <w:rsid w:val="00D2606C"/>
    <w:rsid w:val="00D264BE"/>
    <w:rsid w:val="00D26B6A"/>
    <w:rsid w:val="00D26D0A"/>
    <w:rsid w:val="00D277ED"/>
    <w:rsid w:val="00D30E4F"/>
    <w:rsid w:val="00D31778"/>
    <w:rsid w:val="00D31F05"/>
    <w:rsid w:val="00D3247A"/>
    <w:rsid w:val="00D33539"/>
    <w:rsid w:val="00D36FD0"/>
    <w:rsid w:val="00D41A25"/>
    <w:rsid w:val="00D42D4A"/>
    <w:rsid w:val="00D431B9"/>
    <w:rsid w:val="00D448CD"/>
    <w:rsid w:val="00D45A03"/>
    <w:rsid w:val="00D46B2F"/>
    <w:rsid w:val="00D47127"/>
    <w:rsid w:val="00D47C84"/>
    <w:rsid w:val="00D544CB"/>
    <w:rsid w:val="00D5731E"/>
    <w:rsid w:val="00D62E95"/>
    <w:rsid w:val="00D6369B"/>
    <w:rsid w:val="00D71F5C"/>
    <w:rsid w:val="00D724A5"/>
    <w:rsid w:val="00D7450A"/>
    <w:rsid w:val="00D75B88"/>
    <w:rsid w:val="00D81401"/>
    <w:rsid w:val="00D81616"/>
    <w:rsid w:val="00D83B7A"/>
    <w:rsid w:val="00D84A8F"/>
    <w:rsid w:val="00D91E70"/>
    <w:rsid w:val="00D92217"/>
    <w:rsid w:val="00D92644"/>
    <w:rsid w:val="00D95359"/>
    <w:rsid w:val="00D958BF"/>
    <w:rsid w:val="00D9746C"/>
    <w:rsid w:val="00DA06A4"/>
    <w:rsid w:val="00DA1A07"/>
    <w:rsid w:val="00DA4CF6"/>
    <w:rsid w:val="00DA6139"/>
    <w:rsid w:val="00DB7208"/>
    <w:rsid w:val="00DC0DCB"/>
    <w:rsid w:val="00DC465F"/>
    <w:rsid w:val="00DC4B2E"/>
    <w:rsid w:val="00DC615A"/>
    <w:rsid w:val="00DC7D3E"/>
    <w:rsid w:val="00DD077D"/>
    <w:rsid w:val="00DD26AE"/>
    <w:rsid w:val="00DD3501"/>
    <w:rsid w:val="00DD47DD"/>
    <w:rsid w:val="00DD53D4"/>
    <w:rsid w:val="00DD53D8"/>
    <w:rsid w:val="00DD7F6B"/>
    <w:rsid w:val="00DE0911"/>
    <w:rsid w:val="00DE161E"/>
    <w:rsid w:val="00DE541F"/>
    <w:rsid w:val="00DF2737"/>
    <w:rsid w:val="00DF3D1C"/>
    <w:rsid w:val="00DF4895"/>
    <w:rsid w:val="00DF49FD"/>
    <w:rsid w:val="00DF7229"/>
    <w:rsid w:val="00DF7BBB"/>
    <w:rsid w:val="00E0509D"/>
    <w:rsid w:val="00E10F56"/>
    <w:rsid w:val="00E1234F"/>
    <w:rsid w:val="00E14BB9"/>
    <w:rsid w:val="00E15971"/>
    <w:rsid w:val="00E15CBE"/>
    <w:rsid w:val="00E17475"/>
    <w:rsid w:val="00E20E4D"/>
    <w:rsid w:val="00E210EB"/>
    <w:rsid w:val="00E23B36"/>
    <w:rsid w:val="00E248E0"/>
    <w:rsid w:val="00E25A7D"/>
    <w:rsid w:val="00E27B26"/>
    <w:rsid w:val="00E27C7C"/>
    <w:rsid w:val="00E32896"/>
    <w:rsid w:val="00E33DB2"/>
    <w:rsid w:val="00E3425C"/>
    <w:rsid w:val="00E35207"/>
    <w:rsid w:val="00E36934"/>
    <w:rsid w:val="00E36F15"/>
    <w:rsid w:val="00E40865"/>
    <w:rsid w:val="00E429BB"/>
    <w:rsid w:val="00E43ED9"/>
    <w:rsid w:val="00E44330"/>
    <w:rsid w:val="00E4629F"/>
    <w:rsid w:val="00E512CD"/>
    <w:rsid w:val="00E51A4B"/>
    <w:rsid w:val="00E52245"/>
    <w:rsid w:val="00E5386E"/>
    <w:rsid w:val="00E53AC7"/>
    <w:rsid w:val="00E53EDA"/>
    <w:rsid w:val="00E542F8"/>
    <w:rsid w:val="00E56A07"/>
    <w:rsid w:val="00E56B2F"/>
    <w:rsid w:val="00E56EA6"/>
    <w:rsid w:val="00E5759F"/>
    <w:rsid w:val="00E57BDA"/>
    <w:rsid w:val="00E60FF6"/>
    <w:rsid w:val="00E6190B"/>
    <w:rsid w:val="00E64FFF"/>
    <w:rsid w:val="00E654C5"/>
    <w:rsid w:val="00E66332"/>
    <w:rsid w:val="00E66B18"/>
    <w:rsid w:val="00E72816"/>
    <w:rsid w:val="00E728CF"/>
    <w:rsid w:val="00E74132"/>
    <w:rsid w:val="00E80AC8"/>
    <w:rsid w:val="00E853CE"/>
    <w:rsid w:val="00E87D4C"/>
    <w:rsid w:val="00E90522"/>
    <w:rsid w:val="00E91109"/>
    <w:rsid w:val="00E913E2"/>
    <w:rsid w:val="00E965C4"/>
    <w:rsid w:val="00EA0BC2"/>
    <w:rsid w:val="00EA14C2"/>
    <w:rsid w:val="00EA63BD"/>
    <w:rsid w:val="00EB2B18"/>
    <w:rsid w:val="00EB3FE3"/>
    <w:rsid w:val="00EB4750"/>
    <w:rsid w:val="00EB6920"/>
    <w:rsid w:val="00EB7D6F"/>
    <w:rsid w:val="00EC08F0"/>
    <w:rsid w:val="00EC1917"/>
    <w:rsid w:val="00EC1AF0"/>
    <w:rsid w:val="00EC44BD"/>
    <w:rsid w:val="00EC5B57"/>
    <w:rsid w:val="00EC7FE7"/>
    <w:rsid w:val="00ED39DC"/>
    <w:rsid w:val="00ED4B4F"/>
    <w:rsid w:val="00ED4CA0"/>
    <w:rsid w:val="00ED5472"/>
    <w:rsid w:val="00EE0E57"/>
    <w:rsid w:val="00EE16C9"/>
    <w:rsid w:val="00EE2F77"/>
    <w:rsid w:val="00EE3CB8"/>
    <w:rsid w:val="00EE7330"/>
    <w:rsid w:val="00EF01CF"/>
    <w:rsid w:val="00EF10AD"/>
    <w:rsid w:val="00EF1D1E"/>
    <w:rsid w:val="00EF2ABE"/>
    <w:rsid w:val="00EF427A"/>
    <w:rsid w:val="00EF487A"/>
    <w:rsid w:val="00EF4BB5"/>
    <w:rsid w:val="00EF4CAC"/>
    <w:rsid w:val="00EF4CE7"/>
    <w:rsid w:val="00EF5A95"/>
    <w:rsid w:val="00EF7CAD"/>
    <w:rsid w:val="00F0793C"/>
    <w:rsid w:val="00F10E67"/>
    <w:rsid w:val="00F131AC"/>
    <w:rsid w:val="00F13759"/>
    <w:rsid w:val="00F21930"/>
    <w:rsid w:val="00F228DA"/>
    <w:rsid w:val="00F2488B"/>
    <w:rsid w:val="00F25967"/>
    <w:rsid w:val="00F27190"/>
    <w:rsid w:val="00F27320"/>
    <w:rsid w:val="00F30AA6"/>
    <w:rsid w:val="00F31B14"/>
    <w:rsid w:val="00F34756"/>
    <w:rsid w:val="00F3650C"/>
    <w:rsid w:val="00F370DE"/>
    <w:rsid w:val="00F403D8"/>
    <w:rsid w:val="00F42989"/>
    <w:rsid w:val="00F43EA9"/>
    <w:rsid w:val="00F44016"/>
    <w:rsid w:val="00F44DA4"/>
    <w:rsid w:val="00F45906"/>
    <w:rsid w:val="00F46A2B"/>
    <w:rsid w:val="00F46C16"/>
    <w:rsid w:val="00F52BC7"/>
    <w:rsid w:val="00F53A3D"/>
    <w:rsid w:val="00F53E2B"/>
    <w:rsid w:val="00F57026"/>
    <w:rsid w:val="00F57A94"/>
    <w:rsid w:val="00F57F49"/>
    <w:rsid w:val="00F61186"/>
    <w:rsid w:val="00F62678"/>
    <w:rsid w:val="00F6335F"/>
    <w:rsid w:val="00F63D24"/>
    <w:rsid w:val="00F642AF"/>
    <w:rsid w:val="00F644DB"/>
    <w:rsid w:val="00F64A84"/>
    <w:rsid w:val="00F64BD2"/>
    <w:rsid w:val="00F661E3"/>
    <w:rsid w:val="00F6632C"/>
    <w:rsid w:val="00F67273"/>
    <w:rsid w:val="00F71660"/>
    <w:rsid w:val="00F720DA"/>
    <w:rsid w:val="00F72427"/>
    <w:rsid w:val="00F72BC3"/>
    <w:rsid w:val="00F74DA9"/>
    <w:rsid w:val="00F756A6"/>
    <w:rsid w:val="00F80D79"/>
    <w:rsid w:val="00F81FE9"/>
    <w:rsid w:val="00F84870"/>
    <w:rsid w:val="00F87A8A"/>
    <w:rsid w:val="00F87E5C"/>
    <w:rsid w:val="00F9502E"/>
    <w:rsid w:val="00FA0F6E"/>
    <w:rsid w:val="00FA1303"/>
    <w:rsid w:val="00FA1442"/>
    <w:rsid w:val="00FA5A12"/>
    <w:rsid w:val="00FB02C2"/>
    <w:rsid w:val="00FB087A"/>
    <w:rsid w:val="00FB5272"/>
    <w:rsid w:val="00FB6EAE"/>
    <w:rsid w:val="00FB701D"/>
    <w:rsid w:val="00FB7E7D"/>
    <w:rsid w:val="00FC0975"/>
    <w:rsid w:val="00FC526F"/>
    <w:rsid w:val="00FC5589"/>
    <w:rsid w:val="00FC6349"/>
    <w:rsid w:val="00FC7D45"/>
    <w:rsid w:val="00FD00E0"/>
    <w:rsid w:val="00FD0C4F"/>
    <w:rsid w:val="00FD1236"/>
    <w:rsid w:val="00FD19B5"/>
    <w:rsid w:val="00FD5BC9"/>
    <w:rsid w:val="00FD5C73"/>
    <w:rsid w:val="00FD64B1"/>
    <w:rsid w:val="00FE543D"/>
    <w:rsid w:val="00FF0318"/>
    <w:rsid w:val="00FF1AED"/>
    <w:rsid w:val="00FF5037"/>
    <w:rsid w:val="00FF6C4F"/>
    <w:rsid w:val="00FF7CCC"/>
    <w:rsid w:val="00FF7D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46208E"/>
  <w15:chartTrackingRefBased/>
  <w15:docId w15:val="{99AB3FAA-224D-4676-94C9-B3F40DFD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2A50"/>
    <w:pPr>
      <w:spacing w:before="120" w:after="120" w:line="240" w:lineRule="auto"/>
      <w:jc w:val="both"/>
    </w:pPr>
    <w:rPr>
      <w:rFonts w:ascii="Times New Roman" w:hAnsi="Times New Roman" w:cs="Times New Roman"/>
      <w:sz w:val="24"/>
    </w:rPr>
  </w:style>
  <w:style w:type="paragraph" w:styleId="Naslov3">
    <w:name w:val="heading 3"/>
    <w:basedOn w:val="Navaden"/>
    <w:link w:val="Naslov3Znak"/>
    <w:uiPriority w:val="9"/>
    <w:qFormat/>
    <w:rsid w:val="00E60FF6"/>
    <w:pPr>
      <w:spacing w:before="100" w:beforeAutospacing="1" w:after="100" w:afterAutospacing="1"/>
      <w:jc w:val="left"/>
      <w:outlineLvl w:val="2"/>
    </w:pPr>
    <w:rPr>
      <w:rFonts w:eastAsia="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34"/>
    <w:qFormat/>
    <w:locked/>
    <w:rsid w:val="004742D2"/>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34"/>
    <w:qFormat/>
    <w:rsid w:val="004742D2"/>
    <w:pPr>
      <w:spacing w:before="0" w:after="200" w:line="276" w:lineRule="auto"/>
      <w:ind w:left="720"/>
      <w:contextualSpacing/>
      <w:jc w:val="left"/>
    </w:pPr>
    <w:rPr>
      <w:rFonts w:asciiTheme="minorHAnsi" w:hAnsiTheme="minorHAnsi" w:cstheme="minorBidi"/>
      <w:sz w:val="22"/>
    </w:rPr>
  </w:style>
  <w:style w:type="table" w:styleId="Tabelamrea">
    <w:name w:val="Table Grid"/>
    <w:basedOn w:val="Navadnatabela"/>
    <w:uiPriority w:val="59"/>
    <w:rsid w:val="004742D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629A9"/>
    <w:rPr>
      <w:sz w:val="16"/>
      <w:szCs w:val="16"/>
    </w:rPr>
  </w:style>
  <w:style w:type="paragraph" w:styleId="Pripombabesedilo">
    <w:name w:val="annotation text"/>
    <w:basedOn w:val="Navaden"/>
    <w:link w:val="PripombabesediloZnak"/>
    <w:uiPriority w:val="99"/>
    <w:unhideWhenUsed/>
    <w:rsid w:val="004629A9"/>
    <w:rPr>
      <w:sz w:val="20"/>
      <w:szCs w:val="20"/>
    </w:rPr>
  </w:style>
  <w:style w:type="character" w:customStyle="1" w:styleId="PripombabesediloZnak">
    <w:name w:val="Pripomba – besedilo Znak"/>
    <w:basedOn w:val="Privzetapisavaodstavka"/>
    <w:link w:val="Pripombabesedilo"/>
    <w:uiPriority w:val="99"/>
    <w:rsid w:val="004629A9"/>
    <w:rPr>
      <w:rFonts w:ascii="Times New Roman" w:hAnsi="Times New Roman" w:cs="Times New Roman"/>
      <w:sz w:val="20"/>
      <w:szCs w:val="20"/>
    </w:rPr>
  </w:style>
  <w:style w:type="paragraph" w:styleId="Besedilooblaka">
    <w:name w:val="Balloon Text"/>
    <w:basedOn w:val="Navaden"/>
    <w:link w:val="BesedilooblakaZnak"/>
    <w:uiPriority w:val="99"/>
    <w:semiHidden/>
    <w:unhideWhenUsed/>
    <w:rsid w:val="004629A9"/>
    <w:pPr>
      <w:spacing w:before="0"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629A9"/>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4629A9"/>
    <w:rPr>
      <w:b/>
      <w:bCs/>
    </w:rPr>
  </w:style>
  <w:style w:type="character" w:customStyle="1" w:styleId="ZadevapripombeZnak">
    <w:name w:val="Zadeva pripombe Znak"/>
    <w:basedOn w:val="PripombabesediloZnak"/>
    <w:link w:val="Zadevapripombe"/>
    <w:uiPriority w:val="99"/>
    <w:semiHidden/>
    <w:rsid w:val="004629A9"/>
    <w:rPr>
      <w:rFonts w:ascii="Times New Roman" w:hAnsi="Times New Roman" w:cs="Times New Roman"/>
      <w:b/>
      <w:bCs/>
      <w:sz w:val="20"/>
      <w:szCs w:val="20"/>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
    <w:basedOn w:val="Navaden"/>
    <w:next w:val="Navaden"/>
    <w:link w:val="NapisZnak"/>
    <w:uiPriority w:val="35"/>
    <w:unhideWhenUsed/>
    <w:qFormat/>
    <w:rsid w:val="00E35207"/>
    <w:pPr>
      <w:spacing w:before="0" w:after="0"/>
    </w:pPr>
    <w:rPr>
      <w:rFonts w:ascii="Calibri" w:hAnsi="Calibri" w:cstheme="minorBidi"/>
      <w:i/>
      <w:iCs/>
      <w:color w:val="92D400"/>
      <w:sz w:val="18"/>
      <w:szCs w:val="18"/>
      <w:lang w:val="en-GB"/>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E35207"/>
    <w:rPr>
      <w:rFonts w:ascii="Calibri" w:hAnsi="Calibri"/>
      <w:i/>
      <w:iCs/>
      <w:color w:val="92D400"/>
      <w:sz w:val="18"/>
      <w:szCs w:val="18"/>
      <w:lang w:val="en-GB"/>
    </w:rPr>
  </w:style>
  <w:style w:type="paragraph" w:styleId="Sprotnaopomba-besedilo">
    <w:name w:val="footnote text"/>
    <w:aliases w:val="single space,Footnote Text Char Char Char Char Char Char,fn,FOOTNOTES,Footnote Text Char Char,Footnote,Fußnote,Testo_note,Testo_note1,Testo_note2,Footnote Text Char3 Char,Footnotes,Footnote ak,footnote text Char,Footnotes Char"/>
    <w:basedOn w:val="Navaden"/>
    <w:link w:val="Sprotnaopomba-besediloZnak"/>
    <w:uiPriority w:val="99"/>
    <w:unhideWhenUsed/>
    <w:qFormat/>
    <w:rsid w:val="00422C3B"/>
    <w:pPr>
      <w:spacing w:before="0"/>
      <w:jc w:val="left"/>
    </w:pPr>
    <w:rPr>
      <w:rFonts w:ascii="Calibri" w:hAnsi="Calibri" w:cstheme="minorBidi"/>
      <w:sz w:val="20"/>
      <w:szCs w:val="20"/>
      <w:lang w:val="en-US"/>
    </w:rPr>
  </w:style>
  <w:style w:type="character" w:customStyle="1" w:styleId="Sprotnaopomba-besediloZnak">
    <w:name w:val="Sprotna opomba - besedilo Znak"/>
    <w:aliases w:val="single space Znak,Footnote Text Char Char Char Char Char Char Znak,fn Znak,FOOTNOTES Znak,Footnote Text Char Char Znak,Footnote Znak,Fußnote Znak,Testo_note Znak,Testo_note1 Znak,Testo_note2 Znak,Footnotes Znak"/>
    <w:basedOn w:val="Privzetapisavaodstavka"/>
    <w:link w:val="Sprotnaopomba-besedilo"/>
    <w:uiPriority w:val="99"/>
    <w:rsid w:val="00422C3B"/>
    <w:rPr>
      <w:rFonts w:ascii="Calibri" w:hAnsi="Calibri"/>
      <w:sz w:val="20"/>
      <w:szCs w:val="20"/>
      <w:lang w:val="en-US"/>
    </w:rPr>
  </w:style>
  <w:style w:type="character" w:styleId="Sprotnaopomba-sklic">
    <w:name w:val="footnote reference"/>
    <w:aliases w:val="BVI fnr,Footnote Reference Number,Footnote Reference_LVL6,Footnote Reference_LVL61,Footnote Reference_LVL62,Footnote Reference_LVL63,Footnote Reference_LVL64,fr,Ref,de nota al pie,Ref1,de nota al pie1,Ref2,de nota al pie2,Ref11"/>
    <w:basedOn w:val="Privzetapisavaodstavka"/>
    <w:uiPriority w:val="99"/>
    <w:unhideWhenUsed/>
    <w:qFormat/>
    <w:rsid w:val="00422C3B"/>
    <w:rPr>
      <w:vertAlign w:val="superscript"/>
    </w:rPr>
  </w:style>
  <w:style w:type="paragraph" w:styleId="Podnaslov">
    <w:name w:val="Subtitle"/>
    <w:basedOn w:val="Navaden"/>
    <w:next w:val="Navaden"/>
    <w:link w:val="PodnaslovZnak"/>
    <w:uiPriority w:val="11"/>
    <w:qFormat/>
    <w:rsid w:val="00422C3B"/>
    <w:pPr>
      <w:numPr>
        <w:ilvl w:val="1"/>
      </w:numPr>
      <w:spacing w:after="160"/>
      <w:jc w:val="left"/>
    </w:pPr>
    <w:rPr>
      <w:rFonts w:ascii="Calibri" w:eastAsiaTheme="minorEastAsia" w:hAnsi="Calibri" w:cstheme="minorBidi"/>
      <w:b/>
      <w:color w:val="92D400"/>
      <w:spacing w:val="15"/>
      <w:sz w:val="40"/>
      <w:lang w:val="en-GB"/>
    </w:rPr>
  </w:style>
  <w:style w:type="character" w:customStyle="1" w:styleId="PodnaslovZnak">
    <w:name w:val="Podnaslov Znak"/>
    <w:basedOn w:val="Privzetapisavaodstavka"/>
    <w:link w:val="Podnaslov"/>
    <w:uiPriority w:val="11"/>
    <w:rsid w:val="00422C3B"/>
    <w:rPr>
      <w:rFonts w:ascii="Calibri" w:eastAsiaTheme="minorEastAsia" w:hAnsi="Calibri"/>
      <w:b/>
      <w:color w:val="92D400"/>
      <w:spacing w:val="15"/>
      <w:sz w:val="40"/>
      <w:lang w:val="en-GB"/>
    </w:rPr>
  </w:style>
  <w:style w:type="paragraph" w:customStyle="1" w:styleId="oj-tbl-txt">
    <w:name w:val="oj-tbl-txt"/>
    <w:basedOn w:val="Navaden"/>
    <w:rsid w:val="00EF5A95"/>
    <w:pPr>
      <w:spacing w:before="100" w:beforeAutospacing="1" w:after="100" w:afterAutospacing="1"/>
      <w:jc w:val="left"/>
    </w:pPr>
    <w:rPr>
      <w:rFonts w:eastAsia="Times New Roman"/>
      <w:szCs w:val="24"/>
      <w:lang w:eastAsia="sl-SI"/>
    </w:rPr>
  </w:style>
  <w:style w:type="paragraph" w:styleId="Glava">
    <w:name w:val="header"/>
    <w:basedOn w:val="Navaden"/>
    <w:link w:val="GlavaZnak"/>
    <w:uiPriority w:val="99"/>
    <w:unhideWhenUsed/>
    <w:rsid w:val="00D26D0A"/>
    <w:pPr>
      <w:tabs>
        <w:tab w:val="center" w:pos="4536"/>
        <w:tab w:val="right" w:pos="9072"/>
      </w:tabs>
      <w:spacing w:before="0" w:after="0"/>
    </w:pPr>
  </w:style>
  <w:style w:type="character" w:customStyle="1" w:styleId="GlavaZnak">
    <w:name w:val="Glava Znak"/>
    <w:basedOn w:val="Privzetapisavaodstavka"/>
    <w:link w:val="Glava"/>
    <w:uiPriority w:val="99"/>
    <w:rsid w:val="00D26D0A"/>
    <w:rPr>
      <w:rFonts w:ascii="Times New Roman" w:hAnsi="Times New Roman" w:cs="Times New Roman"/>
      <w:sz w:val="24"/>
    </w:rPr>
  </w:style>
  <w:style w:type="paragraph" w:styleId="Noga">
    <w:name w:val="footer"/>
    <w:basedOn w:val="Navaden"/>
    <w:link w:val="NogaZnak"/>
    <w:uiPriority w:val="99"/>
    <w:unhideWhenUsed/>
    <w:rsid w:val="00D26D0A"/>
    <w:pPr>
      <w:tabs>
        <w:tab w:val="center" w:pos="4536"/>
        <w:tab w:val="right" w:pos="9072"/>
      </w:tabs>
      <w:spacing w:before="0" w:after="0"/>
    </w:pPr>
  </w:style>
  <w:style w:type="character" w:customStyle="1" w:styleId="NogaZnak">
    <w:name w:val="Noga Znak"/>
    <w:basedOn w:val="Privzetapisavaodstavka"/>
    <w:link w:val="Noga"/>
    <w:uiPriority w:val="99"/>
    <w:rsid w:val="00D26D0A"/>
    <w:rPr>
      <w:rFonts w:ascii="Times New Roman" w:hAnsi="Times New Roman" w:cs="Times New Roman"/>
      <w:sz w:val="24"/>
    </w:rPr>
  </w:style>
  <w:style w:type="paragraph" w:styleId="Revizija">
    <w:name w:val="Revision"/>
    <w:hidden/>
    <w:uiPriority w:val="99"/>
    <w:semiHidden/>
    <w:rsid w:val="00E25A7D"/>
    <w:pPr>
      <w:spacing w:after="0" w:line="240" w:lineRule="auto"/>
    </w:pPr>
    <w:rPr>
      <w:rFonts w:ascii="Times New Roman" w:hAnsi="Times New Roman" w:cs="Times New Roman"/>
      <w:sz w:val="24"/>
    </w:rPr>
  </w:style>
  <w:style w:type="character" w:styleId="Hiperpovezava">
    <w:name w:val="Hyperlink"/>
    <w:basedOn w:val="Privzetapisavaodstavka"/>
    <w:uiPriority w:val="99"/>
    <w:unhideWhenUsed/>
    <w:rsid w:val="00BB453B"/>
    <w:rPr>
      <w:color w:val="0000FF"/>
      <w:u w:val="single"/>
    </w:rPr>
  </w:style>
  <w:style w:type="table" w:customStyle="1" w:styleId="Tabelamrea2">
    <w:name w:val="Tabela – mreža2"/>
    <w:basedOn w:val="Navadnatabela"/>
    <w:next w:val="Tabelamrea"/>
    <w:uiPriority w:val="59"/>
    <w:rsid w:val="00851C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E60FF6"/>
    <w:rPr>
      <w:rFonts w:ascii="Times New Roman" w:eastAsia="Times New Roman" w:hAnsi="Times New Roman" w:cs="Times New Roman"/>
      <w:b/>
      <w:bCs/>
      <w:sz w:val="27"/>
      <w:szCs w:val="27"/>
      <w:lang w:eastAsia="sl-SI"/>
    </w:rPr>
  </w:style>
  <w:style w:type="paragraph" w:styleId="Naslov">
    <w:name w:val="Title"/>
    <w:basedOn w:val="Navaden"/>
    <w:next w:val="Navaden"/>
    <w:link w:val="NaslovZnak"/>
    <w:rsid w:val="00D15944"/>
    <w:pPr>
      <w:keepNext/>
      <w:keepLines/>
      <w:spacing w:before="480"/>
    </w:pPr>
    <w:rPr>
      <w:rFonts w:eastAsia="Times New Roman"/>
      <w:b/>
      <w:sz w:val="72"/>
      <w:szCs w:val="72"/>
      <w:lang w:eastAsia="sl-SI"/>
    </w:rPr>
  </w:style>
  <w:style w:type="character" w:customStyle="1" w:styleId="NaslovZnak">
    <w:name w:val="Naslov Znak"/>
    <w:basedOn w:val="Privzetapisavaodstavka"/>
    <w:link w:val="Naslov"/>
    <w:rsid w:val="00D15944"/>
    <w:rPr>
      <w:rFonts w:ascii="Times New Roman" w:eastAsia="Times New Roman" w:hAnsi="Times New Roman" w:cs="Times New Roman"/>
      <w:b/>
      <w:sz w:val="72"/>
      <w:szCs w:val="7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28425">
      <w:bodyDiv w:val="1"/>
      <w:marLeft w:val="0"/>
      <w:marRight w:val="0"/>
      <w:marTop w:val="0"/>
      <w:marBottom w:val="0"/>
      <w:divBdr>
        <w:top w:val="none" w:sz="0" w:space="0" w:color="auto"/>
        <w:left w:val="none" w:sz="0" w:space="0" w:color="auto"/>
        <w:bottom w:val="none" w:sz="0" w:space="0" w:color="auto"/>
        <w:right w:val="none" w:sz="0" w:space="0" w:color="auto"/>
      </w:divBdr>
    </w:div>
    <w:div w:id="142547075">
      <w:bodyDiv w:val="1"/>
      <w:marLeft w:val="0"/>
      <w:marRight w:val="0"/>
      <w:marTop w:val="0"/>
      <w:marBottom w:val="0"/>
      <w:divBdr>
        <w:top w:val="none" w:sz="0" w:space="0" w:color="auto"/>
        <w:left w:val="none" w:sz="0" w:space="0" w:color="auto"/>
        <w:bottom w:val="none" w:sz="0" w:space="0" w:color="auto"/>
        <w:right w:val="none" w:sz="0" w:space="0" w:color="auto"/>
      </w:divBdr>
    </w:div>
    <w:div w:id="498471297">
      <w:bodyDiv w:val="1"/>
      <w:marLeft w:val="0"/>
      <w:marRight w:val="0"/>
      <w:marTop w:val="0"/>
      <w:marBottom w:val="0"/>
      <w:divBdr>
        <w:top w:val="none" w:sz="0" w:space="0" w:color="auto"/>
        <w:left w:val="none" w:sz="0" w:space="0" w:color="auto"/>
        <w:bottom w:val="none" w:sz="0" w:space="0" w:color="auto"/>
        <w:right w:val="none" w:sz="0" w:space="0" w:color="auto"/>
      </w:divBdr>
    </w:div>
    <w:div w:id="642661050">
      <w:bodyDiv w:val="1"/>
      <w:marLeft w:val="0"/>
      <w:marRight w:val="0"/>
      <w:marTop w:val="0"/>
      <w:marBottom w:val="0"/>
      <w:divBdr>
        <w:top w:val="none" w:sz="0" w:space="0" w:color="auto"/>
        <w:left w:val="none" w:sz="0" w:space="0" w:color="auto"/>
        <w:bottom w:val="none" w:sz="0" w:space="0" w:color="auto"/>
        <w:right w:val="none" w:sz="0" w:space="0" w:color="auto"/>
      </w:divBdr>
    </w:div>
    <w:div w:id="744112517">
      <w:bodyDiv w:val="1"/>
      <w:marLeft w:val="0"/>
      <w:marRight w:val="0"/>
      <w:marTop w:val="0"/>
      <w:marBottom w:val="0"/>
      <w:divBdr>
        <w:top w:val="none" w:sz="0" w:space="0" w:color="auto"/>
        <w:left w:val="none" w:sz="0" w:space="0" w:color="auto"/>
        <w:bottom w:val="none" w:sz="0" w:space="0" w:color="auto"/>
        <w:right w:val="none" w:sz="0" w:space="0" w:color="auto"/>
      </w:divBdr>
    </w:div>
    <w:div w:id="980497772">
      <w:bodyDiv w:val="1"/>
      <w:marLeft w:val="0"/>
      <w:marRight w:val="0"/>
      <w:marTop w:val="0"/>
      <w:marBottom w:val="0"/>
      <w:divBdr>
        <w:top w:val="none" w:sz="0" w:space="0" w:color="auto"/>
        <w:left w:val="none" w:sz="0" w:space="0" w:color="auto"/>
        <w:bottom w:val="none" w:sz="0" w:space="0" w:color="auto"/>
        <w:right w:val="none" w:sz="0" w:space="0" w:color="auto"/>
      </w:divBdr>
    </w:div>
    <w:div w:id="1150443196">
      <w:bodyDiv w:val="1"/>
      <w:marLeft w:val="0"/>
      <w:marRight w:val="0"/>
      <w:marTop w:val="0"/>
      <w:marBottom w:val="0"/>
      <w:divBdr>
        <w:top w:val="none" w:sz="0" w:space="0" w:color="auto"/>
        <w:left w:val="none" w:sz="0" w:space="0" w:color="auto"/>
        <w:bottom w:val="none" w:sz="0" w:space="0" w:color="auto"/>
        <w:right w:val="none" w:sz="0" w:space="0" w:color="auto"/>
      </w:divBdr>
    </w:div>
    <w:div w:id="1790394027">
      <w:bodyDiv w:val="1"/>
      <w:marLeft w:val="0"/>
      <w:marRight w:val="0"/>
      <w:marTop w:val="0"/>
      <w:marBottom w:val="0"/>
      <w:divBdr>
        <w:top w:val="none" w:sz="0" w:space="0" w:color="auto"/>
        <w:left w:val="none" w:sz="0" w:space="0" w:color="auto"/>
        <w:bottom w:val="none" w:sz="0" w:space="0" w:color="auto"/>
        <w:right w:val="none" w:sz="0" w:space="0" w:color="auto"/>
      </w:divBdr>
    </w:div>
    <w:div w:id="18477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e-obcina/brezplacno-svetovanje/111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5DD601-C17B-41C4-9D4F-2F0776E6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13170</Words>
  <Characters>77314</Characters>
  <Application>Microsoft Office Word</Application>
  <DocSecurity>0</DocSecurity>
  <Lines>1073</Lines>
  <Paragraphs>313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Sergeja Kariž</cp:lastModifiedBy>
  <cp:revision>2</cp:revision>
  <cp:lastPrinted>2022-08-01T04:50:00Z</cp:lastPrinted>
  <dcterms:created xsi:type="dcterms:W3CDTF">2022-08-02T08:54:00Z</dcterms:created>
  <dcterms:modified xsi:type="dcterms:W3CDTF">2022-08-02T08:54:00Z</dcterms:modified>
</cp:coreProperties>
</file>