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53D" w:rsidRDefault="0012653D" w:rsidP="0012653D">
      <w:pPr>
        <w:spacing w:after="0" w:line="276" w:lineRule="auto"/>
        <w:ind w:left="142"/>
        <w:jc w:val="both"/>
        <w:rPr>
          <w:rFonts w:ascii="Calibri" w:eastAsia="Calibri" w:hAnsi="Calibri" w:cs="Calibri"/>
          <w:b/>
          <w:lang w:eastAsia="sl-SI"/>
        </w:rPr>
      </w:pPr>
      <w:r w:rsidRPr="0012653D">
        <w:rPr>
          <w:rFonts w:ascii="Calibri" w:eastAsia="Calibri" w:hAnsi="Calibri" w:cs="Calibri"/>
          <w:b/>
          <w:lang w:eastAsia="sl-SI"/>
        </w:rPr>
        <w:t>Priloga 5:   2.4. Predvidene vrste operacij – Produktivne naložbe, ki niso naložbe MSP (člen 11(2)(h))</w:t>
      </w:r>
    </w:p>
    <w:p w:rsidR="0012653D" w:rsidRPr="0012653D" w:rsidRDefault="0012653D" w:rsidP="0012653D">
      <w:pPr>
        <w:spacing w:after="0" w:line="276" w:lineRule="auto"/>
        <w:ind w:left="142"/>
        <w:jc w:val="both"/>
        <w:rPr>
          <w:rFonts w:ascii="Calibri" w:eastAsia="Calibri" w:hAnsi="Calibri" w:cs="Calibri"/>
          <w:b/>
          <w:lang w:eastAsia="sl-SI"/>
        </w:rPr>
      </w:pPr>
    </w:p>
    <w:p w:rsidR="0012653D" w:rsidRPr="0012653D" w:rsidRDefault="0012653D" w:rsidP="0012653D">
      <w:pPr>
        <w:spacing w:after="120" w:line="276" w:lineRule="auto"/>
        <w:jc w:val="both"/>
        <w:rPr>
          <w:rFonts w:ascii="Calibri" w:eastAsia="Calibri" w:hAnsi="Calibri" w:cs="Calibri"/>
          <w:lang w:eastAsia="sl-SI"/>
        </w:rPr>
      </w:pPr>
      <w:r w:rsidRPr="0012653D">
        <w:rPr>
          <w:rFonts w:ascii="Calibri" w:eastAsia="Calibri" w:hAnsi="Calibri" w:cs="Calibri"/>
          <w:lang w:eastAsia="sl-SI"/>
        </w:rPr>
        <w:t>Analiza vrzeli (Priloga 1) je pokazala, da so velika podjetja pomemben steber gospodarskega in razvoja v regiji in so pomemben dejavnik na področju zaposlovanja, saj lahko ob ustrezni razvojni viziji prispevajo k oblikovanju visoko kvalificiranih delovnih mest in tako zmanjšajo odliv tega kadra iz regije. Velika podjetja so tudi pomemben dejavnik pri razvoju zagonskih in MSP, s katerimi se povezujejo v različne ekosisteme. To vlogo bodo igrala tudi v prihodnje. Zato bo del sredstev, ki bo namenjen gospodarski preobrazbi v regiji, dostopen tudi velikim podjetjem. Ta bodo morala, poleg pogojev, ki jih določa SPP uredba</w:t>
      </w:r>
      <w:r w:rsidRPr="0012653D">
        <w:rPr>
          <w:rFonts w:ascii="Calibri" w:eastAsia="Calibri" w:hAnsi="Calibri" w:cs="Calibri"/>
          <w:vertAlign w:val="superscript"/>
          <w:lang w:eastAsia="sl-SI"/>
        </w:rPr>
        <w:footnoteReference w:id="1"/>
      </w:r>
      <w:r w:rsidRPr="0012653D">
        <w:rPr>
          <w:rFonts w:ascii="Calibri" w:eastAsia="Calibri" w:hAnsi="Calibri" w:cs="Calibri"/>
          <w:lang w:eastAsia="sl-SI"/>
        </w:rPr>
        <w:t xml:space="preserve"> zadostiti tudi dodatnim merilom, ki bodo povezana z ustvarjanjem novih visokokakovostnih delovnih mest, krepitvi sodelovanja z </w:t>
      </w:r>
      <w:proofErr w:type="spellStart"/>
      <w:r w:rsidRPr="0012653D">
        <w:rPr>
          <w:rFonts w:ascii="Calibri" w:eastAsia="Calibri" w:hAnsi="Calibri" w:cs="Calibri"/>
          <w:lang w:eastAsia="sl-SI"/>
        </w:rPr>
        <w:t>MSPji</w:t>
      </w:r>
      <w:proofErr w:type="spellEnd"/>
      <w:r w:rsidRPr="0012653D">
        <w:rPr>
          <w:rFonts w:ascii="Calibri" w:eastAsia="Calibri" w:hAnsi="Calibri" w:cs="Calibri"/>
          <w:lang w:eastAsia="sl-SI"/>
        </w:rPr>
        <w:t xml:space="preserve"> in zagonskimi podjetji, dvigu dodane vrednosti in prispevku k doseganju podnebnih ciljev in izboljšanju snovne učinkovitosti, dvojnega prehoda, ipd.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sl-SI"/>
          </w:rPr>
          <w:tag w:val="goog_rdk_64"/>
          <w:id w:val="-1630234026"/>
        </w:sdtPr>
        <w:sdtEndPr/>
        <w:sdtContent/>
      </w:sdt>
      <w:r w:rsidRPr="0012653D">
        <w:rPr>
          <w:rFonts w:ascii="Calibri" w:eastAsia="Calibri" w:hAnsi="Calibri" w:cs="Calibri"/>
          <w:lang w:eastAsia="sl-SI"/>
        </w:rPr>
        <w:t xml:space="preserve"> </w:t>
      </w:r>
      <w:r w:rsidRPr="0012653D">
        <w:rPr>
          <w:rFonts w:ascii="Calibri" w:eastAsia="Calibri" w:hAnsi="Calibri" w:cs="Calibri"/>
          <w:highlight w:val="lightGray"/>
          <w:lang w:eastAsia="sl-SI"/>
        </w:rPr>
        <w:t xml:space="preserve"> </w:t>
      </w:r>
    </w:p>
    <w:p w:rsidR="0012653D" w:rsidRPr="0012653D" w:rsidRDefault="0012653D" w:rsidP="0012653D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12653D">
        <w:rPr>
          <w:rFonts w:ascii="Calibri" w:eastAsia="Calibri" w:hAnsi="Calibri" w:cs="Calibri"/>
          <w:lang w:eastAsia="sl-SI"/>
        </w:rPr>
        <w:t>Velika podjetja bodo tako lahko, v sodelovanju z raziskovalni organizacijami in drugimi relevantnimi deležniki iz regije, upravičena do sredstev za raziskovalno razvojne dejavnosti na področjih, ki bodo skladna s Slovensko strategijo pametne specializacije (S4/S5). To podporo bo mogoče kombinirati z ukrepi na področju izobraževanja in usposabljanja</w:t>
      </w:r>
      <w:r w:rsidRPr="0012653D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Pr="0012653D">
        <w:rPr>
          <w:rFonts w:ascii="Calibri" w:eastAsia="Calibri" w:hAnsi="Calibri" w:cs="Calibri"/>
          <w:lang w:eastAsia="sl-SI"/>
        </w:rPr>
        <w:t xml:space="preserve"> Na ta način bodo partnerji, ob podpori vrhunske raziskovalne infrastrukture, oblikovali in razvili skupne prebojne rešitve in tako prispevali k hitrejšemu uvajanju novih tehnologij v podjetja. Poleg tega bodo velika podjetja lahko dostopala do podpore za produktivne naložbe, ki bodo prispevale k diverzifikaciji njihove dejavnosti in bodo skladna s Slovensko strategijo pametne specializacije (S4/S5), bodo prispevale k prehodu v </w:t>
      </w:r>
      <w:proofErr w:type="spellStart"/>
      <w:r w:rsidRPr="0012653D">
        <w:rPr>
          <w:rFonts w:ascii="Calibri" w:eastAsia="Calibri" w:hAnsi="Calibri" w:cs="Calibri"/>
          <w:lang w:eastAsia="sl-SI"/>
        </w:rPr>
        <w:t>nizkoogljično</w:t>
      </w:r>
      <w:proofErr w:type="spellEnd"/>
      <w:r w:rsidRPr="0012653D">
        <w:rPr>
          <w:rFonts w:ascii="Calibri" w:eastAsia="Calibri" w:hAnsi="Calibri" w:cs="Calibri"/>
          <w:lang w:eastAsia="sl-SI"/>
        </w:rPr>
        <w:t xml:space="preserve"> krožno gospodarstvo (URE, OVE, dvig snovne produktivnosti, industrijska simbioza, razvoj materialov, izdelkov, storitev, poslovnih modelov, socialno podjetništvo itd.) in s preobrazbo v industrijo 4.0, digitalizacijo, itd.</w:t>
      </w:r>
    </w:p>
    <w:p w:rsidR="0012653D" w:rsidRPr="0012653D" w:rsidRDefault="0012653D" w:rsidP="0012653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sl-SI"/>
        </w:rPr>
      </w:pPr>
      <w:r w:rsidRPr="001265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sl-SI"/>
        </w:rPr>
        <w:br w:type="page"/>
      </w:r>
    </w:p>
    <w:p w:rsidR="0012653D" w:rsidRPr="0012653D" w:rsidRDefault="0012653D" w:rsidP="001265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sl-SI"/>
        </w:rPr>
        <w:sectPr w:rsidR="0012653D" w:rsidRPr="0012653D" w:rsidSect="00C0587B">
          <w:footerReference w:type="default" r:id="rId7"/>
          <w:pgSz w:w="11906" w:h="16838" w:code="9"/>
          <w:pgMar w:top="1417" w:right="1417" w:bottom="1417" w:left="1417" w:header="708" w:footer="708" w:gutter="0"/>
          <w:pgNumType w:start="1"/>
          <w:cols w:space="708"/>
          <w:docGrid w:linePitch="326"/>
        </w:sectPr>
      </w:pPr>
    </w:p>
    <w:p w:rsidR="0012653D" w:rsidRPr="0012653D" w:rsidRDefault="0012653D" w:rsidP="001265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sl-SI"/>
        </w:rPr>
      </w:pPr>
    </w:p>
    <w:p w:rsidR="0012653D" w:rsidRPr="0012653D" w:rsidRDefault="00EF01E6" w:rsidP="0012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12"/>
        <w:jc w:val="both"/>
        <w:rPr>
          <w:rFonts w:ascii="Calibri" w:eastAsia="Calibri" w:hAnsi="Calibri" w:cs="Calibri"/>
          <w:color w:val="000000"/>
          <w:highlight w:val="white"/>
          <w:lang w:eastAsia="sl-S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sl-SI"/>
          </w:rPr>
          <w:tag w:val="goog_rdk_65"/>
          <w:id w:val="-1518079807"/>
          <w:showingPlcHdr/>
        </w:sdtPr>
        <w:sdtEndPr/>
        <w:sdtContent>
          <w:r w:rsidR="0012653D" w:rsidRPr="0012653D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  <w:t xml:space="preserve">     </w:t>
          </w:r>
        </w:sdtContent>
      </w:sdt>
      <w:r w:rsidR="0012653D" w:rsidRPr="0012653D">
        <w:rPr>
          <w:rFonts w:ascii="Calibri" w:eastAsia="Calibri" w:hAnsi="Calibri" w:cs="Calibri"/>
          <w:color w:val="000000"/>
          <w:highlight w:val="white"/>
          <w:lang w:eastAsia="sl-SI"/>
        </w:rPr>
        <w:t xml:space="preserve">Okvirni seznam operacij in podjetij, ki niso MSP </w:t>
      </w:r>
      <w:r w:rsidR="0012653D" w:rsidRPr="0012653D">
        <w:rPr>
          <w:rFonts w:eastAsia="Times New Roman" w:cstheme="minorHAnsi"/>
          <w:color w:val="000000"/>
          <w:szCs w:val="24"/>
          <w:shd w:val="clear" w:color="auto" w:fill="FFFFFF"/>
          <w:lang w:eastAsia="sl-SI"/>
        </w:rPr>
        <w:t xml:space="preserve"> in je njihova podpora potrebna za ustvarjanje delovnih mest  </w:t>
      </w:r>
    </w:p>
    <w:tbl>
      <w:tblPr>
        <w:tblStyle w:val="Tabelamrea1"/>
        <w:tblW w:w="16195" w:type="dxa"/>
        <w:tblInd w:w="-891" w:type="dxa"/>
        <w:tblLook w:val="04A0" w:firstRow="1" w:lastRow="0" w:firstColumn="1" w:lastColumn="0" w:noHBand="0" w:noVBand="1"/>
      </w:tblPr>
      <w:tblGrid>
        <w:gridCol w:w="2871"/>
        <w:gridCol w:w="1559"/>
        <w:gridCol w:w="6237"/>
        <w:gridCol w:w="1276"/>
        <w:gridCol w:w="1843"/>
        <w:gridCol w:w="2409"/>
      </w:tblGrid>
      <w:tr w:rsidR="0012653D" w:rsidRPr="0012653D" w:rsidTr="002E29C3">
        <w:tc>
          <w:tcPr>
            <w:tcW w:w="2871" w:type="dxa"/>
          </w:tcPr>
          <w:p w:rsidR="0012653D" w:rsidRPr="0012653D" w:rsidRDefault="0012653D" w:rsidP="0012653D">
            <w:pPr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</w:pPr>
            <w:r w:rsidRPr="0012653D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  <w:t>Operacija</w:t>
            </w:r>
          </w:p>
        </w:tc>
        <w:tc>
          <w:tcPr>
            <w:tcW w:w="1559" w:type="dxa"/>
          </w:tcPr>
          <w:p w:rsidR="0012653D" w:rsidRPr="0012653D" w:rsidRDefault="0012653D" w:rsidP="0012653D">
            <w:pPr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</w:pPr>
            <w:r w:rsidRPr="0012653D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  <w:t>Podjetje</w:t>
            </w:r>
          </w:p>
        </w:tc>
        <w:tc>
          <w:tcPr>
            <w:tcW w:w="6237" w:type="dxa"/>
          </w:tcPr>
          <w:p w:rsidR="0012653D" w:rsidRPr="0012653D" w:rsidRDefault="0012653D" w:rsidP="0012653D">
            <w:pPr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</w:pPr>
            <w:r w:rsidRPr="0012653D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  <w:t>Opis projektov</w:t>
            </w:r>
          </w:p>
        </w:tc>
        <w:tc>
          <w:tcPr>
            <w:tcW w:w="1276" w:type="dxa"/>
          </w:tcPr>
          <w:p w:rsidR="0012653D" w:rsidRPr="0012653D" w:rsidRDefault="0012653D" w:rsidP="0012653D">
            <w:pPr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</w:pPr>
            <w:r w:rsidRPr="0012653D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  <w:t>Vrednost operacije</w:t>
            </w:r>
          </w:p>
        </w:tc>
        <w:tc>
          <w:tcPr>
            <w:tcW w:w="1843" w:type="dxa"/>
          </w:tcPr>
          <w:p w:rsidR="0012653D" w:rsidRPr="0012653D" w:rsidRDefault="0012653D" w:rsidP="0012653D">
            <w:pPr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</w:pPr>
            <w:r w:rsidRPr="0012653D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  <w:t>Predviden prispevek iz SPP (ocena podjetja v okviru projektnega predloga*)</w:t>
            </w:r>
          </w:p>
        </w:tc>
        <w:tc>
          <w:tcPr>
            <w:tcW w:w="2409" w:type="dxa"/>
          </w:tcPr>
          <w:p w:rsidR="0012653D" w:rsidRPr="0012653D" w:rsidRDefault="0012653D" w:rsidP="0012653D">
            <w:pPr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</w:pPr>
            <w:r w:rsidRPr="0012653D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  <w:t>Št. delovnih mest</w:t>
            </w:r>
          </w:p>
        </w:tc>
      </w:tr>
      <w:tr w:rsidR="0012653D" w:rsidRPr="0012653D" w:rsidTr="002E29C3">
        <w:tc>
          <w:tcPr>
            <w:tcW w:w="2871" w:type="dxa"/>
          </w:tcPr>
          <w:p w:rsidR="0012653D" w:rsidRPr="0012653D" w:rsidRDefault="0012653D" w:rsidP="0012653D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</w:pPr>
            <w:r w:rsidRPr="0012653D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  <w:t xml:space="preserve">Postavitev proizvodne enote podjetja </w:t>
            </w:r>
            <w:proofErr w:type="spellStart"/>
            <w:r w:rsidRPr="0012653D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  <w:t>Herz</w:t>
            </w:r>
            <w:proofErr w:type="spellEnd"/>
            <w:r w:rsidRPr="0012653D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  <w:t xml:space="preserve"> v Trbovljah</w:t>
            </w:r>
          </w:p>
        </w:tc>
        <w:tc>
          <w:tcPr>
            <w:tcW w:w="1559" w:type="dxa"/>
          </w:tcPr>
          <w:p w:rsidR="0012653D" w:rsidRPr="0012653D" w:rsidRDefault="0012653D" w:rsidP="0012653D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</w:pPr>
            <w:proofErr w:type="spellStart"/>
            <w:r w:rsidRPr="0012653D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  <w:t>Herz</w:t>
            </w:r>
            <w:proofErr w:type="spellEnd"/>
            <w:r w:rsidRPr="0012653D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  <w:t xml:space="preserve"> </w:t>
            </w:r>
            <w:proofErr w:type="spellStart"/>
            <w:r w:rsidRPr="0012653D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  <w:t>d.o.o</w:t>
            </w:r>
            <w:proofErr w:type="spellEnd"/>
            <w:r w:rsidRPr="0012653D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  <w:t>.</w:t>
            </w:r>
          </w:p>
        </w:tc>
        <w:tc>
          <w:tcPr>
            <w:tcW w:w="6237" w:type="dxa"/>
          </w:tcPr>
          <w:p w:rsidR="0012653D" w:rsidRPr="0012653D" w:rsidRDefault="0012653D" w:rsidP="0012653D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</w:pPr>
            <w:r w:rsidRPr="0012653D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  <w:t>Postavljena bo nova proizvodna enota v Trbovljah, ki pomeni razširitev proizvodnega programa podjetja z dolgoletnimi izkušnjami v kovinsko predelovalni industriji. Podjetje že sedaj deluje skladno s strategijo »</w:t>
            </w:r>
            <w:proofErr w:type="spellStart"/>
            <w:r w:rsidRPr="0012653D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  <w:t>Green</w:t>
            </w:r>
            <w:proofErr w:type="spellEnd"/>
            <w:r w:rsidRPr="0012653D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  <w:t xml:space="preserve"> </w:t>
            </w:r>
            <w:proofErr w:type="spellStart"/>
            <w:r w:rsidRPr="0012653D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  <w:t>Energy</w:t>
            </w:r>
            <w:proofErr w:type="spellEnd"/>
            <w:r w:rsidRPr="0012653D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  <w:t>«, pri proizvodnji izdelkov zmanjšuje emisije z recikliranjem odpadnih kovin, skrbno ravna z odpadki, na novi lokaciji predvidevajo tudi namestitev sončnih panelov.</w:t>
            </w:r>
          </w:p>
        </w:tc>
        <w:tc>
          <w:tcPr>
            <w:tcW w:w="1276" w:type="dxa"/>
          </w:tcPr>
          <w:p w:rsidR="0012653D" w:rsidRPr="0012653D" w:rsidRDefault="0012653D" w:rsidP="0012653D">
            <w:pPr>
              <w:spacing w:before="120" w:after="120" w:line="276" w:lineRule="auto"/>
              <w:ind w:left="36"/>
              <w:contextualSpacing/>
              <w:jc w:val="center"/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</w:pPr>
            <w:r w:rsidRPr="0012653D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  <w:t>7,0 mio EUR</w:t>
            </w:r>
          </w:p>
        </w:tc>
        <w:tc>
          <w:tcPr>
            <w:tcW w:w="1843" w:type="dxa"/>
          </w:tcPr>
          <w:p w:rsidR="0012653D" w:rsidRPr="0012653D" w:rsidRDefault="0012653D" w:rsidP="0012653D">
            <w:pPr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</w:pPr>
            <w:r w:rsidRPr="0012653D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  <w:t>3,5 mio EUR</w:t>
            </w:r>
          </w:p>
        </w:tc>
        <w:tc>
          <w:tcPr>
            <w:tcW w:w="2409" w:type="dxa"/>
          </w:tcPr>
          <w:p w:rsidR="0012653D" w:rsidRPr="0012653D" w:rsidRDefault="0012653D" w:rsidP="0012653D">
            <w:pPr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</w:pPr>
            <w:r w:rsidRPr="0012653D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shd w:val="clear" w:color="auto" w:fill="FFFFFF"/>
                <w:lang w:eastAsia="sl-SI"/>
              </w:rPr>
              <w:t>100 DM</w:t>
            </w:r>
          </w:p>
        </w:tc>
      </w:tr>
    </w:tbl>
    <w:p w:rsidR="0012653D" w:rsidRDefault="0012653D" w:rsidP="0012653D">
      <w:pPr>
        <w:spacing w:after="0" w:line="276" w:lineRule="auto"/>
        <w:ind w:left="-284"/>
        <w:jc w:val="both"/>
        <w:rPr>
          <w:rFonts w:eastAsia="Times New Roman" w:cstheme="minorHAnsi"/>
          <w:color w:val="000000"/>
          <w:szCs w:val="24"/>
          <w:shd w:val="clear" w:color="auto" w:fill="FFFFFF"/>
          <w:lang w:eastAsia="sl-SI"/>
        </w:rPr>
      </w:pPr>
      <w:bookmarkStart w:id="0" w:name="_GoBack"/>
      <w:bookmarkEnd w:id="0"/>
    </w:p>
    <w:sectPr w:rsidR="0012653D" w:rsidSect="0012653D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53D" w:rsidRDefault="0012653D" w:rsidP="0012653D">
      <w:pPr>
        <w:spacing w:after="0" w:line="240" w:lineRule="auto"/>
      </w:pPr>
      <w:r>
        <w:separator/>
      </w:r>
    </w:p>
  </w:endnote>
  <w:endnote w:type="continuationSeparator" w:id="0">
    <w:p w:rsidR="0012653D" w:rsidRDefault="0012653D" w:rsidP="00126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53D" w:rsidRDefault="00126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01E6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EF01E6">
      <w:rPr>
        <w:noProof/>
        <w:color w:val="000000"/>
      </w:rPr>
      <w:t>2</w:t>
    </w:r>
    <w:r>
      <w:rPr>
        <w:color w:val="000000"/>
      </w:rPr>
      <w:fldChar w:fldCharType="end"/>
    </w:r>
  </w:p>
  <w:p w:rsidR="0012653D" w:rsidRDefault="00126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53D" w:rsidRDefault="0012653D" w:rsidP="0012653D">
      <w:pPr>
        <w:spacing w:after="0" w:line="240" w:lineRule="auto"/>
      </w:pPr>
      <w:r>
        <w:separator/>
      </w:r>
    </w:p>
  </w:footnote>
  <w:footnote w:type="continuationSeparator" w:id="0">
    <w:p w:rsidR="0012653D" w:rsidRDefault="0012653D" w:rsidP="0012653D">
      <w:pPr>
        <w:spacing w:after="0" w:line="240" w:lineRule="auto"/>
      </w:pPr>
      <w:r>
        <w:continuationSeparator/>
      </w:r>
    </w:p>
  </w:footnote>
  <w:footnote w:id="1">
    <w:p w:rsidR="0012653D" w:rsidRPr="00E21EB1" w:rsidRDefault="0012653D" w:rsidP="0012653D">
      <w:pPr>
        <w:pStyle w:val="Sprotnaopomba-besedilo"/>
      </w:pPr>
      <w:r w:rsidRPr="00E21EB1">
        <w:rPr>
          <w:rStyle w:val="Sprotnaopomba-sklic"/>
          <w:sz w:val="16"/>
        </w:rPr>
        <w:footnoteRef/>
      </w:r>
      <w:r w:rsidRPr="00A42466">
        <w:rPr>
          <w:sz w:val="16"/>
          <w:lang w:val="fr-FR"/>
        </w:rPr>
        <w:t xml:space="preserve"> </w:t>
      </w:r>
      <w:hyperlink r:id="rId1" w:history="1">
        <w:r w:rsidRPr="00A42466">
          <w:rPr>
            <w:rStyle w:val="Hiperpovezava"/>
            <w:sz w:val="16"/>
            <w:lang w:val="fr-FR"/>
          </w:rPr>
          <w:t>EUR-</w:t>
        </w:r>
        <w:proofErr w:type="spellStart"/>
        <w:r w:rsidRPr="00A42466">
          <w:rPr>
            <w:rStyle w:val="Hiperpovezava"/>
            <w:sz w:val="16"/>
            <w:lang w:val="fr-FR"/>
          </w:rPr>
          <w:t>Lex</w:t>
        </w:r>
        <w:proofErr w:type="spellEnd"/>
        <w:r w:rsidRPr="00A42466">
          <w:rPr>
            <w:rStyle w:val="Hiperpovezava"/>
            <w:sz w:val="16"/>
            <w:lang w:val="fr-FR"/>
          </w:rPr>
          <w:t xml:space="preserve"> - 32021R1056 - EN - EUR-</w:t>
        </w:r>
        <w:proofErr w:type="spellStart"/>
        <w:r w:rsidRPr="00A42466">
          <w:rPr>
            <w:rStyle w:val="Hiperpovezava"/>
            <w:sz w:val="16"/>
            <w:lang w:val="fr-FR"/>
          </w:rPr>
          <w:t>Lex</w:t>
        </w:r>
        <w:proofErr w:type="spellEnd"/>
        <w:r w:rsidRPr="00A42466">
          <w:rPr>
            <w:rStyle w:val="Hiperpovezava"/>
            <w:sz w:val="16"/>
            <w:lang w:val="fr-FR"/>
          </w:rPr>
          <w:t xml:space="preserve"> (europa.eu)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3D"/>
    <w:rsid w:val="000A437A"/>
    <w:rsid w:val="0012653D"/>
    <w:rsid w:val="001970AB"/>
    <w:rsid w:val="002039A2"/>
    <w:rsid w:val="003B2FA7"/>
    <w:rsid w:val="0046221F"/>
    <w:rsid w:val="004B31FB"/>
    <w:rsid w:val="004E2035"/>
    <w:rsid w:val="005E6D1E"/>
    <w:rsid w:val="00744541"/>
    <w:rsid w:val="00924221"/>
    <w:rsid w:val="00954911"/>
    <w:rsid w:val="009F465B"/>
    <w:rsid w:val="00A42466"/>
    <w:rsid w:val="00AB2AA0"/>
    <w:rsid w:val="00DF4527"/>
    <w:rsid w:val="00EF01E6"/>
    <w:rsid w:val="00E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771BA-B885-4347-9770-4292618E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2653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2653D"/>
    <w:rPr>
      <w:sz w:val="20"/>
      <w:szCs w:val="20"/>
    </w:rPr>
  </w:style>
  <w:style w:type="character" w:styleId="Sprotnaopomba-sklic">
    <w:name w:val="footnote reference"/>
    <w:aliases w:val="BVI fnr,Footnote Reference Number,Footnote Reference_LVL6,Footnote Reference_LVL61,Footnote Reference_LVL62,Footnote Reference_LVL63,Footnote Reference_LVL64,fr,Ref,de nota al pie,Ref1,de nota al pie1,Ref2,de nota al pie2,Ref11"/>
    <w:basedOn w:val="Privzetapisavaodstavka"/>
    <w:uiPriority w:val="99"/>
    <w:unhideWhenUsed/>
    <w:qFormat/>
    <w:rsid w:val="0012653D"/>
    <w:rPr>
      <w:vertAlign w:val="superscript"/>
    </w:rPr>
  </w:style>
  <w:style w:type="character" w:styleId="Hiperpovezava">
    <w:name w:val="Hyperlink"/>
    <w:uiPriority w:val="99"/>
    <w:unhideWhenUsed/>
    <w:rsid w:val="0012653D"/>
    <w:rPr>
      <w:color w:val="0000FF"/>
      <w:u w:val="single"/>
    </w:rPr>
  </w:style>
  <w:style w:type="table" w:customStyle="1" w:styleId="Tabelamrea1">
    <w:name w:val="Tabela – mreža1"/>
    <w:basedOn w:val="Navadnatabela"/>
    <w:next w:val="Tabelamrea"/>
    <w:uiPriority w:val="59"/>
    <w:rsid w:val="0012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12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26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653D"/>
  </w:style>
  <w:style w:type="paragraph" w:styleId="Noga">
    <w:name w:val="footer"/>
    <w:basedOn w:val="Navaden"/>
    <w:link w:val="NogaZnak"/>
    <w:uiPriority w:val="99"/>
    <w:unhideWhenUsed/>
    <w:rsid w:val="00126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653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3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3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TXT/?uri=CELEX%3A32021R105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31446C4-A250-4119-8612-126342B4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SVRK</dc:creator>
  <cp:keywords/>
  <dc:description/>
  <cp:lastModifiedBy>SVRK</cp:lastModifiedBy>
  <cp:revision>2</cp:revision>
  <dcterms:created xsi:type="dcterms:W3CDTF">2022-11-29T09:16:00Z</dcterms:created>
  <dcterms:modified xsi:type="dcterms:W3CDTF">2022-11-29T09:16:00Z</dcterms:modified>
</cp:coreProperties>
</file>