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56" w:rsidRPr="00D2104A" w:rsidRDefault="008E6656" w:rsidP="008E6656">
      <w:pPr>
        <w:spacing w:after="0" w:line="276" w:lineRule="auto"/>
        <w:ind w:left="142"/>
        <w:jc w:val="both"/>
        <w:rPr>
          <w:rFonts w:ascii="Calibri" w:eastAsia="Calibri" w:hAnsi="Calibri" w:cs="Calibri"/>
          <w:b/>
          <w:lang w:eastAsia="sl-SI"/>
        </w:rPr>
      </w:pPr>
      <w:r w:rsidRPr="00D2104A">
        <w:rPr>
          <w:rFonts w:ascii="Calibri" w:eastAsia="Calibri" w:hAnsi="Calibri" w:cs="Calibri"/>
          <w:b/>
          <w:lang w:eastAsia="sl-SI"/>
        </w:rPr>
        <w:t>Priloga 6:   2.4. Predvidene vrste operacij – Sinergije in dopolnjevanje (člen 11 (2)(j)</w:t>
      </w:r>
    </w:p>
    <w:p w:rsidR="008E6656" w:rsidRDefault="008E6656" w:rsidP="008E6656">
      <w:pPr>
        <w:spacing w:after="0" w:line="276" w:lineRule="auto"/>
        <w:contextualSpacing/>
        <w:jc w:val="both"/>
        <w:rPr>
          <w:rFonts w:eastAsia="Times New Roman" w:cstheme="minorHAnsi"/>
        </w:rPr>
      </w:pPr>
    </w:p>
    <w:p w:rsidR="008E6656" w:rsidRPr="008E6656" w:rsidRDefault="008E6656" w:rsidP="008E6656">
      <w:pPr>
        <w:spacing w:after="0" w:line="276" w:lineRule="auto"/>
        <w:contextualSpacing/>
        <w:jc w:val="both"/>
        <w:rPr>
          <w:rFonts w:eastAsia="Times New Roman" w:cstheme="minorHAnsi"/>
        </w:rPr>
      </w:pPr>
      <w:r w:rsidRPr="008E6656">
        <w:rPr>
          <w:rFonts w:eastAsia="Times New Roman" w:cstheme="minorHAnsi"/>
        </w:rPr>
        <w:t>Sredstva Sklada za pravični prehod bodo komplementarna tistim, ki so Sloveniji na voljo v okviru Načrta za okrevanje in odpornost ter za izvajanje cilja „naložbe za delovna mesta in rast“ v EKP 2021-2027 in drugih razpoložljivih virov, pri naslednjih ukrepih:</w:t>
      </w:r>
    </w:p>
    <w:p w:rsidR="008E6656" w:rsidRPr="008E6656" w:rsidRDefault="008E6656" w:rsidP="008E6656">
      <w:pPr>
        <w:numPr>
          <w:ilvl w:val="0"/>
          <w:numId w:val="1"/>
        </w:numPr>
        <w:spacing w:before="120" w:after="0" w:line="276" w:lineRule="auto"/>
        <w:ind w:left="426"/>
        <w:contextualSpacing/>
        <w:jc w:val="both"/>
        <w:rPr>
          <w:rFonts w:eastAsia="Times New Roman" w:cstheme="minorHAnsi"/>
        </w:rPr>
      </w:pPr>
      <w:r w:rsidRPr="008E6656">
        <w:rPr>
          <w:rFonts w:eastAsia="Times New Roman" w:cstheme="minorHAnsi"/>
        </w:rPr>
        <w:t>Pravični energetski prehod:</w:t>
      </w:r>
    </w:p>
    <w:p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eastAsia="Times New Roman" w:cstheme="minorHAnsi"/>
        </w:rPr>
      </w:pPr>
      <w:r w:rsidRPr="008E6656">
        <w:rPr>
          <w:rFonts w:eastAsia="Times New Roman" w:cstheme="minorHAnsi"/>
          <w:b/>
        </w:rPr>
        <w:t>1.1. Preureditev sistema daljinskega ogrevanja</w:t>
      </w:r>
      <w:r w:rsidRPr="008E6656">
        <w:rPr>
          <w:rFonts w:eastAsia="Times New Roman" w:cstheme="minorHAnsi"/>
        </w:rPr>
        <w:t xml:space="preserve"> z ukrepom Programa EKP 21-27: »Spodbujanje novih daljinskih sistemov na OVE (ogrevanje in hlajenje)«(razmejitev: EKP 21-27: vzpostavitev novih sistemov, ukrep SPP: celovita preobrazba obstoječega sistema daljinskega ogrevanja) in ukrepom NOO »Spodbujanje prestrukturiranja daljinskih sistemov na OVE, ki vključujejo uporabo novih tehnologij« (razmejitev: NOO: prenova in širitev treh obstoječih sistemov daljinskega ogrevanja v skupni vrednosti 37 mio EUR).</w:t>
      </w:r>
    </w:p>
    <w:p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eastAsia="Times New Roman" w:cstheme="minorHAnsi"/>
        </w:rPr>
      </w:pPr>
      <w:r w:rsidRPr="008E6656">
        <w:rPr>
          <w:rFonts w:eastAsia="Times New Roman" w:cstheme="minorHAnsi"/>
          <w:b/>
        </w:rPr>
        <w:t>1.2. Ukrepi za izboljšanje energetske učinkovitosti v gospodarstvu</w:t>
      </w:r>
      <w:r w:rsidRPr="008E6656">
        <w:rPr>
          <w:rFonts w:eastAsia="Times New Roman" w:cstheme="minorHAnsi"/>
        </w:rPr>
        <w:t xml:space="preserve"> bodo podprti v okviru podpore produktivnim naložbam (Strateški cilj 4), v kombinacijami z aktivnostmi za razogljičenje, snovno učinkovitost, ustvarjanje delovnih mest ipd.</w:t>
      </w:r>
    </w:p>
    <w:p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eastAsia="Times New Roman" w:cstheme="minorHAnsi"/>
        </w:rPr>
      </w:pPr>
      <w:r w:rsidRPr="008E6656">
        <w:rPr>
          <w:rFonts w:eastAsia="Times New Roman" w:cstheme="minorHAnsi"/>
          <w:b/>
        </w:rPr>
        <w:t>1.3.1</w:t>
      </w:r>
      <w:r w:rsidRPr="008E6656">
        <w:rPr>
          <w:rFonts w:eastAsia="Times New Roman" w:cstheme="minorHAnsi"/>
          <w:b/>
        </w:rPr>
        <w:tab/>
        <w:t>Dvig proizvodnih zmogljivosti za zanesljivo proizvodnjo električne energije iz OVE</w:t>
      </w:r>
      <w:r w:rsidRPr="008E6656">
        <w:t xml:space="preserve"> zlasti na območju TEŠ in na degradiranih območjih </w:t>
      </w:r>
      <w:r w:rsidRPr="008E6656">
        <w:rPr>
          <w:rFonts w:eastAsia="Times New Roman" w:cstheme="minorHAnsi"/>
        </w:rPr>
        <w:t xml:space="preserve">z ukrepom Programa EKP 21-27: »Proizvodnja električne energije v sončnih elektrarnah« (razmejitev: SPP: prostorsko in </w:t>
      </w:r>
      <w:proofErr w:type="spellStart"/>
      <w:r w:rsidRPr="008E6656">
        <w:rPr>
          <w:rFonts w:eastAsia="Times New Roman" w:cstheme="minorHAnsi"/>
        </w:rPr>
        <w:t>okoljsko</w:t>
      </w:r>
      <w:proofErr w:type="spellEnd"/>
      <w:r w:rsidRPr="008E6656">
        <w:rPr>
          <w:rFonts w:eastAsia="Times New Roman" w:cstheme="minorHAnsi"/>
        </w:rPr>
        <w:t xml:space="preserve"> degradirana območja zaradi premogovništva) in ukrepom NOO: »nove zmogljivosti za proizvodnjo električne energije iz OVE (razmejitev: NOO geotermalna tehnologija in hidroelektrarne ter sončna tehnologija za javne stavbe) ter sredstva programa Obzorje Evropa (npr. </w:t>
      </w:r>
      <w:proofErr w:type="spellStart"/>
      <w:r w:rsidRPr="008E6656">
        <w:rPr>
          <w:rFonts w:eastAsia="Times New Roman" w:cstheme="minorHAnsi"/>
        </w:rPr>
        <w:t>Teaming</w:t>
      </w:r>
      <w:proofErr w:type="spellEnd"/>
      <w:r w:rsidRPr="008E6656">
        <w:rPr>
          <w:rFonts w:eastAsia="Times New Roman" w:cstheme="minorHAnsi"/>
        </w:rPr>
        <w:t>).</w:t>
      </w:r>
    </w:p>
    <w:p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eastAsia="Times New Roman" w:cstheme="minorHAnsi"/>
        </w:rPr>
      </w:pPr>
      <w:r w:rsidRPr="008E6656">
        <w:rPr>
          <w:rFonts w:eastAsia="Times New Roman" w:cstheme="minorHAnsi"/>
          <w:b/>
        </w:rPr>
        <w:t>1.3.</w:t>
      </w:r>
      <w:r w:rsidR="00411248">
        <w:rPr>
          <w:rFonts w:eastAsia="Times New Roman" w:cstheme="minorHAnsi"/>
          <w:b/>
        </w:rPr>
        <w:t>2</w:t>
      </w:r>
      <w:r w:rsidRPr="008E6656">
        <w:rPr>
          <w:rFonts w:eastAsia="Times New Roman" w:cstheme="minorHAnsi"/>
          <w:b/>
        </w:rPr>
        <w:t xml:space="preserve"> Proizvodnja energije iz OVE (vključno z naprednimi </w:t>
      </w:r>
      <w:proofErr w:type="spellStart"/>
      <w:r w:rsidRPr="008E6656">
        <w:rPr>
          <w:rFonts w:eastAsia="Times New Roman" w:cstheme="minorHAnsi"/>
          <w:b/>
        </w:rPr>
        <w:t>biogorivi</w:t>
      </w:r>
      <w:proofErr w:type="spellEnd"/>
      <w:r w:rsidRPr="008E6656">
        <w:rPr>
          <w:rFonts w:eastAsia="Times New Roman" w:cstheme="minorHAnsi"/>
          <w:b/>
        </w:rPr>
        <w:t xml:space="preserve"> po predhodni preučitvi drugih OVE)</w:t>
      </w:r>
      <w:r w:rsidRPr="008E6656">
        <w:rPr>
          <w:rFonts w:eastAsia="Times New Roman" w:cstheme="minorHAnsi"/>
        </w:rPr>
        <w:t>, zlasti na lokaciji TEŠ, za proizvodnjo vodika</w:t>
      </w:r>
      <w:bookmarkStart w:id="0" w:name="_GoBack"/>
      <w:bookmarkEnd w:id="0"/>
      <w:r w:rsidRPr="008E6656">
        <w:rPr>
          <w:rFonts w:eastAsia="Times New Roman" w:cstheme="minorHAnsi"/>
        </w:rPr>
        <w:t xml:space="preserve"> in uplinjanje odpadne biomase z ukrepom Programa EKP 21-27  »naložbe v pospešitev novih energetskih skupnosti, pretvorbo viškov električne energije iz OVE ter za povezovanje omrežij za potrebe shranjevanja energije«  (razmejitev: ukrep EKP</w:t>
      </w:r>
      <w:r w:rsidRPr="008E6656">
        <w:t xml:space="preserve"> </w:t>
      </w:r>
      <w:r w:rsidRPr="008E6656">
        <w:rPr>
          <w:rFonts w:eastAsia="Times New Roman" w:cstheme="minorHAnsi"/>
        </w:rPr>
        <w:t>ne podpira proizvodnje vodika in sintetičnega metana  za v omrežje in prodajo, pač pa le za lastno rabo v energetsko intenzivni industriji)  in ukrepom NOO: »krepitev distribucijskega omrežja električne energije«, ki predstavlja komplementarni ukrep.</w:t>
      </w:r>
    </w:p>
    <w:p w:rsidR="008E6656" w:rsidRPr="008E6656" w:rsidRDefault="008E6656" w:rsidP="008E6656">
      <w:pPr>
        <w:numPr>
          <w:ilvl w:val="0"/>
          <w:numId w:val="1"/>
        </w:numPr>
        <w:spacing w:before="120" w:after="0" w:line="276" w:lineRule="auto"/>
        <w:ind w:left="426"/>
        <w:contextualSpacing/>
        <w:jc w:val="both"/>
        <w:rPr>
          <w:rFonts w:eastAsia="Times New Roman" w:cstheme="minorHAnsi"/>
        </w:rPr>
      </w:pPr>
      <w:r w:rsidRPr="008E6656">
        <w:rPr>
          <w:rFonts w:eastAsia="Times New Roman" w:cstheme="minorHAnsi"/>
        </w:rPr>
        <w:t>Zaposlitve</w:t>
      </w:r>
      <w:r w:rsidRPr="008E6656">
        <w:t xml:space="preserve"> in veščine za vse</w:t>
      </w:r>
      <w:r w:rsidRPr="008E6656">
        <w:rPr>
          <w:rFonts w:eastAsia="Times New Roman" w:cstheme="minorHAnsi"/>
        </w:rPr>
        <w:t>:</w:t>
      </w:r>
    </w:p>
    <w:p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</w:pPr>
      <w:r w:rsidRPr="008E6656">
        <w:rPr>
          <w:rFonts w:cstheme="minorHAnsi"/>
          <w:b/>
        </w:rPr>
        <w:t xml:space="preserve">2.1. </w:t>
      </w:r>
      <w:r w:rsidRPr="008E6656">
        <w:rPr>
          <w:rFonts w:eastAsia="Times New Roman" w:cstheme="minorHAnsi"/>
          <w:b/>
        </w:rPr>
        <w:t>Obogateno</w:t>
      </w:r>
      <w:r w:rsidRPr="008E6656">
        <w:rPr>
          <w:rFonts w:cstheme="minorHAnsi"/>
          <w:b/>
        </w:rPr>
        <w:t xml:space="preserve"> izvajanje kakovostnega in dostopnega učenja</w:t>
      </w:r>
      <w:r w:rsidRPr="008E6656" w:rsidDel="00405900">
        <w:rPr>
          <w:rFonts w:cstheme="minorHAnsi"/>
          <w:b/>
        </w:rPr>
        <w:t xml:space="preserve"> </w:t>
      </w:r>
      <w:r w:rsidRPr="008E6656">
        <w:rPr>
          <w:rFonts w:cstheme="minorHAnsi"/>
        </w:rPr>
        <w:t>se bo v okviru NOO dopolnjeval z ukrepom »Izvedba eksperimentalnih in pilotnih projektov razvoja digitalnih kompetenc in temeljnega razvoja RIN« ter ukrepoma v okviru OP 21-27 »Razvijanje digitalnega izobraževanja« in »Krepitev ključnih kompetenc«. V eksperimentalnih in pilotnih projektih v okviru NOO bo izvedenih okvirno 7 projektov, ki bodo namenjeni  preizkušanju in testiranju celovitega razvoja digitalnih kompetenc, s poudarkom pri pouku. Rezultati projektov bodo učni scenariji, ki bodo prispevali k formalnemu spreminjanju in nadgradnji učnih načrtov v okviru reforme prenove. Projekti bodo vključevali mrežo po okvirno 20 vzgojno izobraževalnih zavodov. (razmejitev: SPP Vsebine se ne bodo prekrivale s predvidenimi ukrepi v NOO).</w:t>
      </w:r>
    </w:p>
    <w:p w:rsidR="008E6656" w:rsidRPr="008E6656" w:rsidRDefault="008E6656" w:rsidP="008E6656">
      <w:pPr>
        <w:spacing w:after="0" w:line="276" w:lineRule="auto"/>
        <w:ind w:left="851"/>
        <w:contextualSpacing/>
        <w:jc w:val="both"/>
        <w:rPr>
          <w:rFonts w:cstheme="minorHAnsi"/>
        </w:rPr>
      </w:pPr>
      <w:r w:rsidRPr="008E6656">
        <w:rPr>
          <w:rFonts w:cstheme="minorHAnsi"/>
        </w:rPr>
        <w:t xml:space="preserve">S projekti v okviru razvijanja digitalnega izobraževanja v okviru EKP 21-27 se bodo izvajali ukrepi navedeni v Akcijskem načrtu za digitalno izobraževanje 2021-2027. Poudarek bo na krepitvi in zagotavljanju trajnosti človeških virov.  Z ukrepi želimo nasloviti čim večje število vzgojno izobraževalnih zavodov (VIZ) ter zagotoviti večjo kompetentnost učečih in strokovnih </w:t>
      </w:r>
      <w:r w:rsidRPr="008E6656">
        <w:rPr>
          <w:rFonts w:cstheme="minorHAnsi"/>
        </w:rPr>
        <w:lastRenderedPageBreak/>
        <w:t xml:space="preserve">ter vodstvenih delavcev na področju digitalnega izobraževanja, vendar ne vseh. Z ukrepi ESS ne moremo zajeti v izvajanje ukrepov  vseh oddelkov na posameznem VIZ. V sklopu ukrepa SPP bomo zagotovili </w:t>
      </w:r>
      <w:proofErr w:type="spellStart"/>
      <w:r w:rsidRPr="008E6656">
        <w:rPr>
          <w:rFonts w:cstheme="minorHAnsi"/>
        </w:rPr>
        <w:t>vsešolski</w:t>
      </w:r>
      <w:proofErr w:type="spellEnd"/>
      <w:r w:rsidRPr="008E6656">
        <w:rPr>
          <w:rFonts w:cstheme="minorHAnsi"/>
        </w:rPr>
        <w:t xml:space="preserve"> pristop (zajeti vse oddelke na posameznem VIZ; obogateno izvajanje). Načrtujemo tudi medpredmetno sodelovanje in izvajanje ukrepov po vertikali in horizontalni ravni. </w:t>
      </w:r>
    </w:p>
    <w:p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cstheme="minorHAnsi"/>
        </w:rPr>
      </w:pPr>
      <w:r w:rsidRPr="008E6656">
        <w:rPr>
          <w:rFonts w:cstheme="minorHAnsi"/>
          <w:b/>
        </w:rPr>
        <w:t xml:space="preserve">2.2. </w:t>
      </w:r>
      <w:r w:rsidRPr="008E6656">
        <w:rPr>
          <w:rFonts w:eastAsia="Times New Roman" w:cstheme="minorHAnsi"/>
          <w:b/>
        </w:rPr>
        <w:t>Vseživljenjska</w:t>
      </w:r>
      <w:r w:rsidRPr="008E6656">
        <w:rPr>
          <w:rFonts w:cstheme="minorHAnsi"/>
          <w:b/>
        </w:rPr>
        <w:t xml:space="preserve"> karierna orientacija in usposabljanje brezposelnih ter iskalcev</w:t>
      </w:r>
      <w:r w:rsidRPr="008E6656">
        <w:rPr>
          <w:rFonts w:cstheme="minorHAnsi"/>
        </w:rPr>
        <w:t xml:space="preserve"> </w:t>
      </w:r>
      <w:r w:rsidRPr="008E6656">
        <w:rPr>
          <w:rFonts w:cstheme="minorHAnsi"/>
          <w:b/>
        </w:rPr>
        <w:t>zaposlitev</w:t>
      </w:r>
      <w:r w:rsidRPr="008E6656">
        <w:rPr>
          <w:rFonts w:cstheme="minorHAnsi"/>
        </w:rPr>
        <w:t xml:space="preserve"> bo s strani OP 21-27 dopolnjeval ukrep »Pisarna za delodajalce« in bodoča Platforma za napovedovanje kompetenc v okviru specifičnega cilja 6.2., ko bo pripravljena do ustrezne faze, da bodo rezultati uporabni za navedeni ukrep Vseživljenjske karierne orientacije in s strani NOO ukrep »Usposabljanje in izobraževanje zaposlenih«, ki predstavlja dopolnilni ukrep za drugo ciljno skupino-zaposlene  (razmejitev: v SPP</w:t>
      </w:r>
      <w:r w:rsidRPr="008E6656">
        <w:t xml:space="preserve"> </w:t>
      </w:r>
      <w:r w:rsidRPr="008E6656">
        <w:rPr>
          <w:rFonts w:cstheme="minorHAnsi"/>
        </w:rPr>
        <w:t>specifika glede na potrebe ciljnih skupin v premogovni regiji ).</w:t>
      </w:r>
    </w:p>
    <w:p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ascii="Calibri" w:eastAsia="Calibri" w:hAnsi="Calibri" w:cs="Calibri"/>
        </w:rPr>
      </w:pPr>
      <w:r w:rsidRPr="008E6656">
        <w:rPr>
          <w:rFonts w:ascii="Calibri" w:eastAsia="Calibri" w:hAnsi="Calibri" w:cs="Calibri"/>
          <w:b/>
        </w:rPr>
        <w:t xml:space="preserve">2.3. </w:t>
      </w:r>
      <w:r w:rsidRPr="008E6656">
        <w:rPr>
          <w:rFonts w:eastAsia="Times New Roman" w:cstheme="minorHAnsi"/>
          <w:b/>
        </w:rPr>
        <w:t>Uvajanje</w:t>
      </w:r>
      <w:r w:rsidRPr="008E6656">
        <w:rPr>
          <w:rFonts w:ascii="Calibri" w:eastAsia="Calibri" w:hAnsi="Calibri" w:cs="Calibri"/>
          <w:b/>
        </w:rPr>
        <w:t xml:space="preserve"> krožnih vsebin v vzgojno izobraževalne zavode </w:t>
      </w:r>
      <w:r w:rsidRPr="008E6656">
        <w:rPr>
          <w:rFonts w:ascii="Calibri" w:eastAsia="Calibri" w:hAnsi="Calibri" w:cs="Calibri"/>
        </w:rPr>
        <w:t>se bo v okviru NOO dopolnjeval  z ukrepom »Prenova izobraževalnih programov s prenovo ključnih programskih dokumentov (</w:t>
      </w:r>
      <w:proofErr w:type="spellStart"/>
      <w:r w:rsidRPr="008E6656">
        <w:rPr>
          <w:rFonts w:ascii="Calibri" w:eastAsia="Calibri" w:hAnsi="Calibri" w:cs="Calibri"/>
        </w:rPr>
        <w:t>kurikula</w:t>
      </w:r>
      <w:proofErr w:type="spellEnd"/>
      <w:r w:rsidRPr="008E6656">
        <w:rPr>
          <w:rFonts w:ascii="Calibri" w:eastAsia="Calibri" w:hAnsi="Calibri" w:cs="Calibri"/>
        </w:rPr>
        <w:t xml:space="preserve"> za vrtce, učnih načrtov ter katalogov znanj)« (razmejitev: SPP: specifičnost lokalnega okolja, vključitev večine vzgojno izobraževalnih zavodov iz lokalnega okolja, mreženje z okoljem) ter ukrepom v okviru OP 21-27 »Krepitev ključnih kompetenc« (razmejitev:  SPP: poudarek na specifičnosti lokalnega okolja, vključenosti večine vzgojno izobraževalnih zavodov iz okolja in </w:t>
      </w:r>
      <w:proofErr w:type="spellStart"/>
      <w:r w:rsidRPr="008E6656">
        <w:rPr>
          <w:rFonts w:ascii="Calibri" w:eastAsia="Calibri" w:hAnsi="Calibri" w:cs="Calibri"/>
        </w:rPr>
        <w:t>vsešolski</w:t>
      </w:r>
      <w:proofErr w:type="spellEnd"/>
      <w:r w:rsidRPr="008E6656">
        <w:rPr>
          <w:rFonts w:ascii="Calibri" w:eastAsia="Calibri" w:hAnsi="Calibri" w:cs="Calibri"/>
        </w:rPr>
        <w:t xml:space="preserve"> pristop).</w:t>
      </w:r>
    </w:p>
    <w:p w:rsidR="008E6656" w:rsidRPr="008E6656" w:rsidRDefault="008E6656" w:rsidP="008E6656">
      <w:pPr>
        <w:numPr>
          <w:ilvl w:val="0"/>
          <w:numId w:val="1"/>
        </w:numPr>
        <w:spacing w:before="120" w:after="0" w:line="276" w:lineRule="auto"/>
        <w:ind w:left="426"/>
        <w:contextualSpacing/>
        <w:jc w:val="both"/>
        <w:rPr>
          <w:rFonts w:eastAsia="Times New Roman" w:cstheme="minorHAnsi"/>
        </w:rPr>
      </w:pPr>
      <w:r w:rsidRPr="008E6656">
        <w:rPr>
          <w:rFonts w:eastAsia="Times New Roman" w:cstheme="minorHAnsi"/>
        </w:rPr>
        <w:t>Trajnostni, prožni in raznolik gospodarski razvoj:</w:t>
      </w:r>
    </w:p>
    <w:p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ascii="Calibri" w:hAnsi="Calibri" w:cs="Calibri"/>
        </w:rPr>
      </w:pPr>
      <w:r w:rsidRPr="008E6656">
        <w:rPr>
          <w:rFonts w:cstheme="minorHAnsi"/>
          <w:b/>
        </w:rPr>
        <w:t>3.1.1</w:t>
      </w:r>
      <w:r w:rsidRPr="008E6656">
        <w:rPr>
          <w:rFonts w:cstheme="minorHAnsi"/>
          <w:b/>
        </w:rPr>
        <w:tab/>
      </w:r>
      <w:r w:rsidRPr="008E6656">
        <w:rPr>
          <w:rFonts w:eastAsia="Times New Roman" w:cstheme="minorHAnsi"/>
          <w:b/>
        </w:rPr>
        <w:t>Naložbe</w:t>
      </w:r>
      <w:r w:rsidRPr="008E6656">
        <w:rPr>
          <w:rFonts w:ascii="Calibri" w:hAnsi="Calibri" w:cs="Calibri"/>
          <w:b/>
        </w:rPr>
        <w:t xml:space="preserve"> v RRI</w:t>
      </w:r>
      <w:r w:rsidRPr="008E6656">
        <w:rPr>
          <w:rFonts w:ascii="Calibri" w:hAnsi="Calibri" w:cs="Calibri"/>
        </w:rPr>
        <w:t xml:space="preserve"> ni predvidenih tovrstnih ukrepov Programa EKP 21-27 in NOO. </w:t>
      </w:r>
    </w:p>
    <w:p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ascii="Calibri" w:hAnsi="Calibri" w:cs="Calibri"/>
        </w:rPr>
      </w:pPr>
      <w:r w:rsidRPr="008E6656">
        <w:rPr>
          <w:rFonts w:cstheme="minorHAnsi"/>
          <w:b/>
        </w:rPr>
        <w:t>3.1.2</w:t>
      </w:r>
      <w:r w:rsidRPr="008E6656">
        <w:rPr>
          <w:rFonts w:cstheme="minorHAnsi"/>
          <w:b/>
        </w:rPr>
        <w:tab/>
      </w:r>
      <w:r w:rsidRPr="008E6656">
        <w:rPr>
          <w:rFonts w:eastAsia="Times New Roman" w:cstheme="minorHAnsi"/>
          <w:b/>
        </w:rPr>
        <w:t>Pilotni</w:t>
      </w:r>
      <w:r w:rsidRPr="008E6656">
        <w:rPr>
          <w:rFonts w:ascii="Calibri" w:hAnsi="Calibri" w:cs="Calibri"/>
          <w:b/>
        </w:rPr>
        <w:t xml:space="preserve"> in demonstracijski projekti</w:t>
      </w:r>
      <w:r w:rsidRPr="008E6656">
        <w:rPr>
          <w:rFonts w:ascii="Calibri" w:hAnsi="Calibri" w:cs="Calibri"/>
        </w:rPr>
        <w:t xml:space="preserve"> z ukrepom Programa EKP 21-27: »PN 1:Inovacijska družba znanja, Specifični cilj 1.1: Razvoj in izboljšanje raziskovalne in inovacijske zmogljivosti ter uvajanje naprednih tehnologij«, kjer bodo podprte aktivnosti demonstracijskih centrov, ki bodo spodbujali višje ravni tehnološke razvitosti (TRL 6-9) na prednostnih področjih S5 in NOO: »C3 K1: RRI – Raziskave, razvoj in inovacije - D: Sofinanciranje investicij v RRI demonstracijske in pilotne projekte«. V okviru NOO podpora projektom konzorcijev podjetij in raziskovalnih organizacij. (razmejitev: Ukrep SPP prilagojen na regijo in krepitev povezovanja z JRO v regiji);</w:t>
      </w:r>
    </w:p>
    <w:p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eastAsia="Times New Roman"/>
          <w:b/>
          <w:szCs w:val="24"/>
          <w:lang w:eastAsia="sl-SI"/>
        </w:rPr>
      </w:pPr>
      <w:r w:rsidRPr="008E6656">
        <w:rPr>
          <w:rFonts w:ascii="Calibri" w:hAnsi="Calibri" w:cs="Calibri"/>
          <w:b/>
        </w:rPr>
        <w:t>3.1.3</w:t>
      </w:r>
      <w:r w:rsidRPr="008E6656">
        <w:rPr>
          <w:rFonts w:ascii="Calibri" w:hAnsi="Calibri" w:cs="Calibri"/>
          <w:b/>
        </w:rPr>
        <w:tab/>
        <w:t xml:space="preserve">Podpora </w:t>
      </w:r>
      <w:r w:rsidRPr="008E6656">
        <w:rPr>
          <w:rFonts w:eastAsia="Times New Roman" w:cstheme="minorHAnsi"/>
          <w:b/>
        </w:rPr>
        <w:t>produktivnim</w:t>
      </w:r>
      <w:r w:rsidRPr="008E6656">
        <w:rPr>
          <w:rFonts w:ascii="Calibri" w:hAnsi="Calibri" w:cs="Calibri"/>
          <w:b/>
        </w:rPr>
        <w:t xml:space="preserve"> naložbam za diverzifikacijo</w:t>
      </w:r>
      <w:r w:rsidRPr="008E6656">
        <w:rPr>
          <w:rFonts w:ascii="Calibri" w:hAnsi="Calibri" w:cs="Calibri"/>
          <w:b/>
          <w:i/>
        </w:rPr>
        <w:t xml:space="preserve"> </w:t>
      </w:r>
      <w:r w:rsidRPr="008E6656">
        <w:rPr>
          <w:rFonts w:cstheme="minorHAnsi"/>
        </w:rPr>
        <w:t>z ukrepom</w:t>
      </w:r>
      <w:r w:rsidRPr="008E6656">
        <w:rPr>
          <w:rFonts w:cstheme="minorHAnsi"/>
          <w:b/>
        </w:rPr>
        <w:t xml:space="preserve"> </w:t>
      </w:r>
      <w:r w:rsidRPr="008E6656">
        <w:rPr>
          <w:rFonts w:cstheme="minorHAnsi"/>
        </w:rPr>
        <w:t xml:space="preserve">NOO: »C3 K2: Dvig produktivnosti, prijazno poslovno okolje za investitorje - C: Podpora za </w:t>
      </w:r>
      <w:proofErr w:type="spellStart"/>
      <w:r w:rsidRPr="008E6656">
        <w:rPr>
          <w:rFonts w:cstheme="minorHAnsi"/>
        </w:rPr>
        <w:t>dekarbonizacijo</w:t>
      </w:r>
      <w:proofErr w:type="spellEnd"/>
      <w:r w:rsidRPr="008E6656">
        <w:rPr>
          <w:rFonts w:cstheme="minorHAnsi"/>
        </w:rPr>
        <w:t>, produktivnost in konkurenčnost podjetij« (razmejitev: NOO spodbujanje večjih investicij za večjo produktivnost in konkurenčnost ter investicij v obmejnih problemskih območjih, ukrep SPP prilagojen na regijo - podpora MSP in velikih podjetij v regiji, ki bodo prešla na bolj trajnostno poslovanje in imela ključno vlogo pri nadomestitvi izgubljenih delovnih mest zaradi prestrukturiranja. V razpisu SPP bo določeno, da investicije, že podprte s sredstvi is razpisa NOO, ne morejo biti dvojno financirane še s sredstvi iz razpisa SPP).</w:t>
      </w:r>
    </w:p>
    <w:p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eastAsia="Times New Roman" w:cstheme="minorHAnsi"/>
        </w:rPr>
      </w:pPr>
      <w:r w:rsidRPr="008E6656">
        <w:rPr>
          <w:rFonts w:ascii="Calibri" w:hAnsi="Calibri" w:cs="Calibri"/>
          <w:b/>
        </w:rPr>
        <w:t>3.2.1</w:t>
      </w:r>
      <w:r w:rsidRPr="008E6656">
        <w:rPr>
          <w:rFonts w:cstheme="minorHAnsi"/>
          <w:b/>
        </w:rPr>
        <w:tab/>
      </w:r>
      <w:r w:rsidRPr="008E6656">
        <w:rPr>
          <w:rFonts w:eastAsia="Times New Roman" w:cstheme="minorHAnsi"/>
          <w:b/>
        </w:rPr>
        <w:t>Naložbe</w:t>
      </w:r>
      <w:r w:rsidRPr="008E6656">
        <w:rPr>
          <w:rFonts w:ascii="Calibri" w:hAnsi="Calibri" w:cs="Calibri"/>
          <w:b/>
        </w:rPr>
        <w:t xml:space="preserve"> v funkcionalni razvoj saniranih prostorsko in </w:t>
      </w:r>
      <w:proofErr w:type="spellStart"/>
      <w:r w:rsidRPr="008E6656">
        <w:rPr>
          <w:rFonts w:ascii="Calibri" w:hAnsi="Calibri" w:cs="Calibri"/>
          <w:b/>
        </w:rPr>
        <w:t>okoljsko</w:t>
      </w:r>
      <w:proofErr w:type="spellEnd"/>
      <w:r w:rsidRPr="008E6656">
        <w:rPr>
          <w:rFonts w:ascii="Calibri" w:hAnsi="Calibri" w:cs="Calibri"/>
          <w:b/>
        </w:rPr>
        <w:t xml:space="preserve"> degradiranih območij</w:t>
      </w:r>
      <w:r w:rsidRPr="008E6656">
        <w:t xml:space="preserve"> </w:t>
      </w:r>
      <w:r w:rsidRPr="008E6656">
        <w:rPr>
          <w:rFonts w:eastAsia="Times New Roman" w:cstheme="minorHAnsi"/>
          <w:lang w:eastAsia="sl-SI"/>
        </w:rPr>
        <w:t xml:space="preserve">z ukrepom NOO: »C3 K2: Dvig produktivnosti, prijazno poslovno okolje za investitorje - D: Zagotavljanje inovativnih ekosistemov ekonomsko-poslovne infrastrukture«(razmejitev: SPP degradirana območja zaradi premogovništva, NOO specializirane </w:t>
      </w:r>
      <w:r w:rsidRPr="008E6656">
        <w:rPr>
          <w:rFonts w:eastAsia="Times New Roman" w:cstheme="minorHAnsi"/>
        </w:rPr>
        <w:t>cone</w:t>
      </w:r>
      <w:r w:rsidRPr="008E6656">
        <w:rPr>
          <w:rFonts w:eastAsia="Times New Roman" w:cstheme="minorHAnsi"/>
          <w:lang w:eastAsia="sl-SI"/>
        </w:rPr>
        <w:t xml:space="preserve"> in cone z lažjim dostopom do avtocestnega omrežja);</w:t>
      </w:r>
    </w:p>
    <w:p w:rsidR="008E6656" w:rsidRPr="008E6656" w:rsidRDefault="008E6656" w:rsidP="008E6656">
      <w:pPr>
        <w:numPr>
          <w:ilvl w:val="0"/>
          <w:numId w:val="1"/>
        </w:numPr>
        <w:spacing w:before="120" w:after="0" w:line="276" w:lineRule="auto"/>
        <w:ind w:left="426"/>
        <w:contextualSpacing/>
        <w:jc w:val="both"/>
        <w:rPr>
          <w:rFonts w:eastAsia="Times New Roman" w:cstheme="minorHAnsi"/>
        </w:rPr>
      </w:pPr>
      <w:r w:rsidRPr="008E6656">
        <w:rPr>
          <w:rFonts w:eastAsia="Times New Roman" w:cstheme="minorHAnsi"/>
        </w:rPr>
        <w:t xml:space="preserve">Postopna sanacija in revitalizacija prostorsko in </w:t>
      </w:r>
      <w:proofErr w:type="spellStart"/>
      <w:r w:rsidRPr="008E6656">
        <w:rPr>
          <w:rFonts w:eastAsia="Times New Roman" w:cstheme="minorHAnsi"/>
        </w:rPr>
        <w:t>okoljsko</w:t>
      </w:r>
      <w:proofErr w:type="spellEnd"/>
      <w:r w:rsidRPr="008E6656">
        <w:rPr>
          <w:rFonts w:eastAsia="Times New Roman" w:cstheme="minorHAnsi"/>
        </w:rPr>
        <w:t xml:space="preserve"> degradiranih območij.</w:t>
      </w:r>
    </w:p>
    <w:p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eastAsia="Times New Roman" w:cstheme="minorHAnsi"/>
        </w:rPr>
      </w:pPr>
      <w:r w:rsidRPr="008E6656">
        <w:rPr>
          <w:rFonts w:eastAsia="Times New Roman" w:cstheme="minorHAnsi"/>
          <w:b/>
        </w:rPr>
        <w:t>4.1</w:t>
      </w:r>
      <w:r w:rsidRPr="008E6656">
        <w:rPr>
          <w:rFonts w:eastAsia="Times New Roman" w:cstheme="minorHAnsi"/>
          <w:b/>
        </w:rPr>
        <w:tab/>
        <w:t xml:space="preserve">Razgradnja in sprememba namena objektov, povezanih z rabo premoga, potrebna za izvedbo naložb v dvig proizvodnih zmogljivosti iz OVE (Stara elektrarna - Velenje, Blok 1-3 </w:t>
      </w:r>
      <w:r w:rsidRPr="008E6656">
        <w:rPr>
          <w:rFonts w:eastAsia="Times New Roman" w:cstheme="minorHAnsi"/>
          <w:b/>
        </w:rPr>
        <w:lastRenderedPageBreak/>
        <w:t>- Šoštanj, Blok 4 – Šoštanj, Hladilni stolp 4 - Šoštanj)</w:t>
      </w:r>
      <w:r w:rsidRPr="008E6656">
        <w:rPr>
          <w:rFonts w:eastAsia="Times New Roman" w:cstheme="minorHAnsi"/>
        </w:rPr>
        <w:t xml:space="preserve"> je komplementaren ukrepoma SPP »1.3.1 Dvig proizvodnih zmogljivosti za zanesljivo proizvodnjo električne energije iz OVE«  in »1.3.3 Proizvodnja energije iz OVE (vključno z naprednimi </w:t>
      </w:r>
      <w:proofErr w:type="spellStart"/>
      <w:r w:rsidRPr="008E6656">
        <w:rPr>
          <w:rFonts w:eastAsia="Times New Roman" w:cstheme="minorHAnsi"/>
        </w:rPr>
        <w:t>biogorivi</w:t>
      </w:r>
      <w:proofErr w:type="spellEnd"/>
      <w:r w:rsidRPr="008E6656">
        <w:rPr>
          <w:rFonts w:eastAsia="Times New Roman" w:cstheme="minorHAnsi"/>
        </w:rPr>
        <w:t xml:space="preserve"> po predhodni preučitvi drugih OVE), zlasti na lokaciji TEŠ, za proizvodnjo vodika, sintetičnih plinov in uplinjanje odpadne biomase«</w:t>
      </w:r>
    </w:p>
    <w:p w:rsidR="008E6656" w:rsidRPr="008E6656" w:rsidRDefault="008E6656" w:rsidP="008E66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</w:rPr>
      </w:pPr>
      <w:r w:rsidRPr="008E6656">
        <w:rPr>
          <w:rFonts w:cstheme="minorHAnsi"/>
        </w:rPr>
        <w:t>Nadalje bodo vzpostavljene tudi sinergije s spodbudami iz drugih virov, tako nacionalnih kot evropskih centraliziranih virov, pri čemer se načrtuje komplementarnost z ukrepi iz programa Obzorje EU zlasti na področju pospeševanja razvoja in vpeljave zelenih vodikovih tehnologij vodikovih dolin, še zlasti v sklopu prestrukturiranja obstoječe energetske lokacije z namenom povečanja deleža OVE.</w:t>
      </w:r>
    </w:p>
    <w:p w:rsidR="008E6656" w:rsidRPr="008E6656" w:rsidRDefault="008E6656" w:rsidP="008E66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</w:rPr>
      </w:pPr>
    </w:p>
    <w:p w:rsidR="008E6656" w:rsidRPr="008E6656" w:rsidRDefault="008E6656" w:rsidP="008E66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</w:rPr>
      </w:pPr>
      <w:r w:rsidRPr="008E6656">
        <w:rPr>
          <w:rFonts w:cstheme="minorHAnsi"/>
        </w:rPr>
        <w:t xml:space="preserve">Poleg nepovratnih sredstev Sklada za pravični prehod (prvi steber) je predvidena možnost financiranja iz drugega (namenska shema v okviru programa </w:t>
      </w:r>
      <w:proofErr w:type="spellStart"/>
      <w:r w:rsidRPr="008E6656">
        <w:rPr>
          <w:rFonts w:cstheme="minorHAnsi"/>
        </w:rPr>
        <w:t>InvestEU</w:t>
      </w:r>
      <w:proofErr w:type="spellEnd"/>
      <w:r w:rsidRPr="008E6656">
        <w:rPr>
          <w:rFonts w:cstheme="minorHAnsi"/>
        </w:rPr>
        <w:t xml:space="preserve"> za zasebne naložbe) in tretjega (instrument za kombinacijo posojil in nepovratnih sredstev za naložbe v javnem interesu) stebra Mehanizma za pravični prehod. Sredstva iz teh dveh stebrov bodo namenjena za financiranje ukrepov, ki prispevajo k reševanju vseh razvojnih potreb regije, (tudi tistih, ki jih finančno ne podpiramo s sredstvi SPP). </w:t>
      </w:r>
    </w:p>
    <w:p w:rsidR="008E6656" w:rsidRPr="008E6656" w:rsidRDefault="008E6656" w:rsidP="008E6656">
      <w:pPr>
        <w:numPr>
          <w:ilvl w:val="0"/>
          <w:numId w:val="1"/>
        </w:numPr>
        <w:spacing w:before="120" w:after="0" w:line="276" w:lineRule="auto"/>
        <w:ind w:left="426"/>
        <w:contextualSpacing/>
        <w:jc w:val="both"/>
        <w:rPr>
          <w:rFonts w:cstheme="minorHAnsi"/>
        </w:rPr>
      </w:pPr>
      <w:r w:rsidRPr="008E6656">
        <w:rPr>
          <w:rFonts w:cstheme="minorHAnsi"/>
        </w:rPr>
        <w:t xml:space="preserve">S </w:t>
      </w:r>
      <w:r w:rsidRPr="008E6656">
        <w:rPr>
          <w:rFonts w:eastAsia="Times New Roman" w:cstheme="minorHAnsi"/>
        </w:rPr>
        <w:t>sredstvi</w:t>
      </w:r>
      <w:r w:rsidRPr="008E6656">
        <w:rPr>
          <w:rFonts w:cstheme="minorHAnsi"/>
        </w:rPr>
        <w:t xml:space="preserve"> 2. stebra MPP bi lahko podprli predvsem, a ne izključno ukrepe, ki bodo prispevali k doseganju:</w:t>
      </w:r>
    </w:p>
    <w:p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cstheme="minorHAnsi"/>
        </w:rPr>
      </w:pPr>
      <w:r w:rsidRPr="008E6656">
        <w:rPr>
          <w:rFonts w:eastAsia="Times New Roman" w:cstheme="minorHAnsi"/>
        </w:rPr>
        <w:t>trajnostnega</w:t>
      </w:r>
      <w:r w:rsidRPr="008E6656">
        <w:rPr>
          <w:rFonts w:cstheme="minorHAnsi"/>
        </w:rPr>
        <w:t xml:space="preserve">, prožnega in raznolikega gospodarskega razvoja in sicer predvidoma v teh sektorjih/na teh področjih: uporaba/prehod na </w:t>
      </w:r>
      <w:proofErr w:type="spellStart"/>
      <w:r w:rsidRPr="008E6656">
        <w:rPr>
          <w:rFonts w:cstheme="minorHAnsi"/>
        </w:rPr>
        <w:t>nizkoogljične</w:t>
      </w:r>
      <w:proofErr w:type="spellEnd"/>
      <w:r w:rsidRPr="008E6656">
        <w:rPr>
          <w:rFonts w:cstheme="minorHAnsi"/>
        </w:rPr>
        <w:t xml:space="preserve"> tehnologije in gospodarsko diverzifikacijo; raziskovalne in inovacijske dejavnosti; pomoč pri ustanavljanju novih podjetij (MSP in zagonska) oziroma njihovi preobrazbi v smeri razogljičenja in krožnih poslovnih modelov; relevantna usposabljanja in izobraževanja; itd.</w:t>
      </w:r>
    </w:p>
    <w:p w:rsidR="008E6656" w:rsidRPr="008E6656" w:rsidRDefault="008E6656" w:rsidP="008E6656">
      <w:pPr>
        <w:numPr>
          <w:ilvl w:val="0"/>
          <w:numId w:val="1"/>
        </w:numPr>
        <w:spacing w:before="120" w:after="0" w:line="276" w:lineRule="auto"/>
        <w:ind w:left="426"/>
        <w:contextualSpacing/>
        <w:jc w:val="both"/>
        <w:rPr>
          <w:rFonts w:cstheme="minorHAnsi"/>
        </w:rPr>
      </w:pPr>
      <w:r w:rsidRPr="008E6656">
        <w:rPr>
          <w:rFonts w:cstheme="minorHAnsi"/>
        </w:rPr>
        <w:t xml:space="preserve">S sredstvi 3. stebra MPP bi lahko podprli predvsem, a ne izključno ukrepe, ki bodo prispevali k </w:t>
      </w:r>
      <w:r w:rsidRPr="008E6656">
        <w:rPr>
          <w:rFonts w:eastAsia="Times New Roman" w:cstheme="minorHAnsi"/>
        </w:rPr>
        <w:t>doseganju</w:t>
      </w:r>
      <w:r w:rsidRPr="008E6656">
        <w:rPr>
          <w:rFonts w:cstheme="minorHAnsi"/>
        </w:rPr>
        <w:t xml:space="preserve"> ciljev:</w:t>
      </w:r>
    </w:p>
    <w:p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cstheme="minorHAnsi"/>
        </w:rPr>
      </w:pPr>
      <w:r w:rsidRPr="008E6656">
        <w:rPr>
          <w:rFonts w:cstheme="minorHAnsi"/>
        </w:rPr>
        <w:t>sanaciji degradirane površine (pregrada) in razogljičenju regije in sicer predvidoma v teh sektorjih/na teh področjih: učinkovita raba energije v vseh sektorjih, obnovljivi viri energije; spodbujanje samozadostnih lokalnih skupnosti; izgradnjo kapacitet za shranjevanje viškov energije OVE (vključno z uporabo zelenega vodika); digitalizacije in vzpostavitve pametne energetske infrastrukture; relevantna usposabljanja in izobraževanja; itd.</w:t>
      </w:r>
    </w:p>
    <w:p w:rsidR="008E6656" w:rsidRPr="008E6656" w:rsidRDefault="008E6656" w:rsidP="008E6656">
      <w:pPr>
        <w:numPr>
          <w:ilvl w:val="1"/>
          <w:numId w:val="1"/>
        </w:numPr>
        <w:spacing w:before="120" w:after="0" w:line="276" w:lineRule="auto"/>
        <w:ind w:left="851"/>
        <w:contextualSpacing/>
        <w:jc w:val="both"/>
        <w:rPr>
          <w:rFonts w:cstheme="minorHAnsi"/>
        </w:rPr>
      </w:pPr>
      <w:r w:rsidRPr="008E6656">
        <w:rPr>
          <w:rFonts w:cstheme="minorHAnsi"/>
        </w:rPr>
        <w:t>dodatni regionalni povezljivosti in trajnostni mobilnosti in sicer predvsem v sektorjih/na področjih trajnostne lokalne mobilnosti s poudarkom na javnem potniškem prometu in spodbujanju mehkih ukrepov pa tudi park &amp; pelji se</w:t>
      </w:r>
      <w:r w:rsidRPr="008E6656">
        <w:rPr>
          <w:rFonts w:ascii="Calibri" w:eastAsia="Calibri" w:hAnsi="Calibri" w:cs="Calibri"/>
        </w:rPr>
        <w:t>; infrastrukture za trajnostno mobilnost; aktivne mobilnosti; itd.</w:t>
      </w:r>
    </w:p>
    <w:p w:rsidR="008E6656" w:rsidRDefault="008E6656"/>
    <w:sectPr w:rsidR="008E6656" w:rsidSect="00EF3B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D2D9C"/>
    <w:multiLevelType w:val="hybridMultilevel"/>
    <w:tmpl w:val="DFA8C81A"/>
    <w:lvl w:ilvl="0" w:tplc="A55C446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56"/>
    <w:rsid w:val="001970AB"/>
    <w:rsid w:val="003B2FA7"/>
    <w:rsid w:val="00411248"/>
    <w:rsid w:val="00744541"/>
    <w:rsid w:val="008E6656"/>
    <w:rsid w:val="00924221"/>
    <w:rsid w:val="009F465B"/>
    <w:rsid w:val="00AB2AA0"/>
    <w:rsid w:val="00E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6BAE"/>
  <w15:chartTrackingRefBased/>
  <w15:docId w15:val="{A8216F1F-408A-49C4-897E-918190E5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SVRK</dc:creator>
  <cp:keywords/>
  <dc:description/>
  <cp:lastModifiedBy>SVRK</cp:lastModifiedBy>
  <cp:revision>2</cp:revision>
  <dcterms:created xsi:type="dcterms:W3CDTF">2022-10-28T05:05:00Z</dcterms:created>
  <dcterms:modified xsi:type="dcterms:W3CDTF">2022-10-28T05:05:00Z</dcterms:modified>
</cp:coreProperties>
</file>