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AFF152" w14:textId="77777777" w:rsidR="00DE4AD3" w:rsidRDefault="00DE4AD3" w:rsidP="004C76C6">
      <w:pPr>
        <w:spacing w:after="0" w:line="240" w:lineRule="auto"/>
        <w:rPr>
          <w:rFonts w:ascii="Arial" w:hAnsi="Arial" w:cs="Arial"/>
          <w:b/>
          <w:sz w:val="20"/>
          <w:szCs w:val="20"/>
        </w:rPr>
      </w:pPr>
      <w:r>
        <w:rPr>
          <w:rFonts w:ascii="Arial" w:hAnsi="Arial" w:cs="Arial"/>
          <w:b/>
          <w:noProof/>
          <w:sz w:val="20"/>
          <w:szCs w:val="20"/>
          <w:lang w:eastAsia="sl-SI"/>
        </w:rPr>
        <w:drawing>
          <wp:anchor distT="0" distB="0" distL="114300" distR="114300" simplePos="0" relativeHeight="251658240" behindDoc="1" locked="0" layoutInCell="1" allowOverlap="1" wp14:anchorId="3DDFD7C4" wp14:editId="4F653E76">
            <wp:simplePos x="0" y="0"/>
            <wp:positionH relativeFrom="column">
              <wp:posOffset>3805555</wp:posOffset>
            </wp:positionH>
            <wp:positionV relativeFrom="paragraph">
              <wp:posOffset>-185420</wp:posOffset>
            </wp:positionV>
            <wp:extent cx="1739900" cy="841375"/>
            <wp:effectExtent l="0" t="0" r="0" b="0"/>
            <wp:wrapNone/>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9900" cy="841375"/>
                    </a:xfrm>
                    <a:prstGeom prst="rect">
                      <a:avLst/>
                    </a:prstGeom>
                    <a:noFill/>
                  </pic:spPr>
                </pic:pic>
              </a:graphicData>
            </a:graphic>
          </wp:anchor>
        </w:drawing>
      </w:r>
      <w:r>
        <w:rPr>
          <w:rFonts w:ascii="Arial" w:hAnsi="Arial" w:cs="Arial"/>
          <w:b/>
          <w:noProof/>
          <w:sz w:val="20"/>
          <w:szCs w:val="20"/>
          <w:lang w:eastAsia="sl-SI"/>
        </w:rPr>
        <w:drawing>
          <wp:inline distT="0" distB="0" distL="0" distR="0" wp14:anchorId="7A1A20E9" wp14:editId="576D8800">
            <wp:extent cx="3310255" cy="463550"/>
            <wp:effectExtent l="0" t="0" r="444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10255" cy="463550"/>
                    </a:xfrm>
                    <a:prstGeom prst="rect">
                      <a:avLst/>
                    </a:prstGeom>
                    <a:noFill/>
                  </pic:spPr>
                </pic:pic>
              </a:graphicData>
            </a:graphic>
          </wp:inline>
        </w:drawing>
      </w:r>
      <w:r>
        <w:rPr>
          <w:rFonts w:ascii="Arial" w:hAnsi="Arial" w:cs="Arial"/>
          <w:b/>
          <w:sz w:val="20"/>
          <w:szCs w:val="20"/>
        </w:rPr>
        <w:t xml:space="preserve">   </w:t>
      </w:r>
    </w:p>
    <w:p w14:paraId="40C9B50D" w14:textId="77777777" w:rsidR="00DE4AD3" w:rsidRDefault="00DE4AD3" w:rsidP="004C76C6">
      <w:pPr>
        <w:spacing w:after="0" w:line="240" w:lineRule="auto"/>
        <w:rPr>
          <w:rFonts w:ascii="Arial" w:hAnsi="Arial" w:cs="Arial"/>
          <w:b/>
          <w:sz w:val="20"/>
          <w:szCs w:val="20"/>
        </w:rPr>
      </w:pPr>
    </w:p>
    <w:p w14:paraId="15337A88" w14:textId="77777777" w:rsidR="00DE4AD3" w:rsidRDefault="00DE4AD3" w:rsidP="004C76C6">
      <w:pPr>
        <w:spacing w:after="0" w:line="240" w:lineRule="auto"/>
        <w:rPr>
          <w:rFonts w:ascii="Arial" w:hAnsi="Arial" w:cs="Arial"/>
          <w:b/>
          <w:sz w:val="20"/>
          <w:szCs w:val="20"/>
        </w:rPr>
      </w:pPr>
    </w:p>
    <w:p w14:paraId="72F07FD5" w14:textId="77777777" w:rsidR="00DE4AD3" w:rsidRDefault="00DE4AD3" w:rsidP="002D50A1">
      <w:pPr>
        <w:spacing w:after="0" w:line="360" w:lineRule="auto"/>
        <w:rPr>
          <w:rFonts w:ascii="Arial" w:hAnsi="Arial" w:cs="Arial"/>
          <w:b/>
          <w:sz w:val="20"/>
          <w:szCs w:val="20"/>
        </w:rPr>
      </w:pPr>
    </w:p>
    <w:p w14:paraId="0F64F2B6" w14:textId="77777777" w:rsidR="00DE4AD3" w:rsidRDefault="00DE4AD3" w:rsidP="002D50A1">
      <w:pPr>
        <w:spacing w:after="0" w:line="360" w:lineRule="auto"/>
        <w:rPr>
          <w:rFonts w:ascii="Arial" w:hAnsi="Arial" w:cs="Arial"/>
          <w:b/>
          <w:sz w:val="20"/>
          <w:szCs w:val="20"/>
        </w:rPr>
      </w:pPr>
    </w:p>
    <w:p w14:paraId="2EBFEBFC" w14:textId="77777777" w:rsidR="00DE4AD3" w:rsidRDefault="00DE4AD3" w:rsidP="002D50A1">
      <w:pPr>
        <w:spacing w:after="0" w:line="360" w:lineRule="auto"/>
        <w:jc w:val="both"/>
        <w:rPr>
          <w:rFonts w:ascii="Arial" w:hAnsi="Arial" w:cs="Arial"/>
          <w:b/>
          <w:sz w:val="20"/>
          <w:szCs w:val="20"/>
        </w:rPr>
      </w:pPr>
    </w:p>
    <w:p w14:paraId="13CD0169" w14:textId="77777777" w:rsidR="00DE4AD3" w:rsidRDefault="00DE4AD3" w:rsidP="002D50A1">
      <w:pPr>
        <w:spacing w:after="0" w:line="360" w:lineRule="auto"/>
        <w:jc w:val="both"/>
        <w:rPr>
          <w:rFonts w:ascii="Arial" w:hAnsi="Arial" w:cs="Arial"/>
          <w:b/>
          <w:sz w:val="20"/>
          <w:szCs w:val="20"/>
        </w:rPr>
      </w:pPr>
    </w:p>
    <w:p w14:paraId="3ABBCAF9" w14:textId="77777777" w:rsidR="00DE4AD3" w:rsidRDefault="00DE4AD3" w:rsidP="002D50A1">
      <w:pPr>
        <w:spacing w:after="0" w:line="360" w:lineRule="auto"/>
        <w:jc w:val="both"/>
        <w:rPr>
          <w:rFonts w:ascii="Arial" w:hAnsi="Arial" w:cs="Arial"/>
          <w:b/>
          <w:sz w:val="20"/>
          <w:szCs w:val="20"/>
        </w:rPr>
      </w:pPr>
    </w:p>
    <w:p w14:paraId="51668447" w14:textId="77777777" w:rsidR="00DE4AD3" w:rsidRDefault="00DE4AD3" w:rsidP="002D50A1">
      <w:pPr>
        <w:spacing w:after="0" w:line="360" w:lineRule="auto"/>
        <w:jc w:val="both"/>
        <w:rPr>
          <w:rFonts w:ascii="Arial" w:hAnsi="Arial" w:cs="Arial"/>
          <w:b/>
          <w:sz w:val="20"/>
          <w:szCs w:val="20"/>
        </w:rPr>
      </w:pPr>
    </w:p>
    <w:p w14:paraId="64ED7F1E" w14:textId="77777777" w:rsidR="00DE4AD3" w:rsidRDefault="00DE4AD3" w:rsidP="002D50A1">
      <w:pPr>
        <w:spacing w:after="0" w:line="360" w:lineRule="auto"/>
        <w:jc w:val="both"/>
        <w:rPr>
          <w:rFonts w:ascii="Arial" w:hAnsi="Arial" w:cs="Arial"/>
          <w:b/>
          <w:sz w:val="20"/>
          <w:szCs w:val="20"/>
        </w:rPr>
      </w:pPr>
    </w:p>
    <w:p w14:paraId="06328E40" w14:textId="77777777" w:rsidR="00DE4AD3" w:rsidRDefault="00DE4AD3" w:rsidP="002D50A1">
      <w:pPr>
        <w:spacing w:after="0" w:line="360" w:lineRule="auto"/>
        <w:jc w:val="both"/>
        <w:rPr>
          <w:rFonts w:ascii="Arial" w:hAnsi="Arial" w:cs="Arial"/>
          <w:b/>
          <w:sz w:val="20"/>
          <w:szCs w:val="20"/>
        </w:rPr>
      </w:pPr>
    </w:p>
    <w:p w14:paraId="5C87D363" w14:textId="77777777" w:rsidR="00DE4AD3" w:rsidRDefault="00DE4AD3" w:rsidP="002D50A1">
      <w:pPr>
        <w:spacing w:after="0" w:line="360" w:lineRule="auto"/>
        <w:jc w:val="both"/>
        <w:rPr>
          <w:rFonts w:ascii="Arial" w:hAnsi="Arial" w:cs="Arial"/>
          <w:b/>
          <w:sz w:val="20"/>
          <w:szCs w:val="20"/>
        </w:rPr>
      </w:pPr>
    </w:p>
    <w:p w14:paraId="61C56843" w14:textId="77777777" w:rsidR="00DE4AD3" w:rsidRDefault="00DE4AD3" w:rsidP="002D50A1">
      <w:pPr>
        <w:spacing w:after="0" w:line="360" w:lineRule="auto"/>
        <w:jc w:val="both"/>
        <w:rPr>
          <w:rFonts w:ascii="Arial" w:hAnsi="Arial" w:cs="Arial"/>
          <w:b/>
          <w:sz w:val="20"/>
          <w:szCs w:val="20"/>
        </w:rPr>
      </w:pPr>
    </w:p>
    <w:p w14:paraId="6D3DB05F" w14:textId="77777777" w:rsidR="00DE4AD3" w:rsidRDefault="00DE4AD3" w:rsidP="002D50A1">
      <w:pPr>
        <w:spacing w:after="0" w:line="360" w:lineRule="auto"/>
        <w:jc w:val="both"/>
        <w:rPr>
          <w:rFonts w:ascii="Arial" w:hAnsi="Arial" w:cs="Arial"/>
          <w:b/>
          <w:sz w:val="20"/>
          <w:szCs w:val="20"/>
        </w:rPr>
      </w:pPr>
    </w:p>
    <w:p w14:paraId="72A42B23" w14:textId="77777777" w:rsidR="00DE4AD3" w:rsidRDefault="00DE4AD3" w:rsidP="002D50A1">
      <w:pPr>
        <w:spacing w:after="0" w:line="360" w:lineRule="auto"/>
        <w:jc w:val="both"/>
        <w:rPr>
          <w:rFonts w:ascii="Arial" w:hAnsi="Arial" w:cs="Arial"/>
          <w:b/>
          <w:sz w:val="20"/>
          <w:szCs w:val="20"/>
        </w:rPr>
      </w:pPr>
    </w:p>
    <w:p w14:paraId="1F17DD05" w14:textId="77777777" w:rsidR="00DE4AD3" w:rsidRDefault="00DE4AD3" w:rsidP="002D50A1">
      <w:pPr>
        <w:spacing w:after="0" w:line="360" w:lineRule="auto"/>
        <w:jc w:val="center"/>
        <w:rPr>
          <w:rFonts w:ascii="Arial" w:hAnsi="Arial" w:cs="Arial"/>
          <w:b/>
          <w:sz w:val="20"/>
          <w:szCs w:val="20"/>
        </w:rPr>
      </w:pPr>
    </w:p>
    <w:p w14:paraId="7186D3AB" w14:textId="77777777" w:rsidR="004C76C6" w:rsidRDefault="004C76C6" w:rsidP="002D50A1">
      <w:pPr>
        <w:spacing w:after="0" w:line="360" w:lineRule="auto"/>
        <w:jc w:val="center"/>
        <w:rPr>
          <w:rFonts w:ascii="Arial" w:hAnsi="Arial" w:cs="Arial"/>
          <w:b/>
          <w:sz w:val="28"/>
          <w:szCs w:val="28"/>
        </w:rPr>
      </w:pPr>
      <w:r w:rsidRPr="00DE4AD3">
        <w:rPr>
          <w:rFonts w:ascii="Arial" w:hAnsi="Arial" w:cs="Arial"/>
          <w:b/>
          <w:sz w:val="28"/>
          <w:szCs w:val="28"/>
        </w:rPr>
        <w:t>PREDLOG ZA SPREMEMBO OPERATIVNEGA PROGRAMA ZA IZVAJANJE KOHEZIJSKE POLITIKE V PROGRAMSKEM OBDOBJU 2014-2020</w:t>
      </w:r>
    </w:p>
    <w:p w14:paraId="5C733291" w14:textId="77777777" w:rsidR="00DE4AD3" w:rsidRDefault="00DE4AD3" w:rsidP="002D50A1">
      <w:pPr>
        <w:spacing w:after="0" w:line="360" w:lineRule="auto"/>
        <w:jc w:val="center"/>
        <w:rPr>
          <w:rFonts w:ascii="Arial" w:hAnsi="Arial" w:cs="Arial"/>
          <w:b/>
          <w:sz w:val="28"/>
          <w:szCs w:val="28"/>
        </w:rPr>
      </w:pPr>
      <w:r>
        <w:rPr>
          <w:rFonts w:ascii="Arial" w:hAnsi="Arial" w:cs="Arial"/>
          <w:b/>
          <w:sz w:val="28"/>
          <w:szCs w:val="28"/>
        </w:rPr>
        <w:t>Različica 8.0</w:t>
      </w:r>
    </w:p>
    <w:p w14:paraId="4A67D0CC" w14:textId="77777777" w:rsidR="00DE4AD3" w:rsidRDefault="00DE4AD3" w:rsidP="002D50A1">
      <w:pPr>
        <w:spacing w:after="0" w:line="360" w:lineRule="auto"/>
        <w:jc w:val="both"/>
        <w:rPr>
          <w:rFonts w:ascii="Arial" w:hAnsi="Arial" w:cs="Arial"/>
          <w:b/>
          <w:sz w:val="28"/>
          <w:szCs w:val="28"/>
        </w:rPr>
      </w:pPr>
    </w:p>
    <w:p w14:paraId="0BC20013" w14:textId="77777777" w:rsidR="00DE4AD3" w:rsidRDefault="00DE4AD3" w:rsidP="002D50A1">
      <w:pPr>
        <w:spacing w:after="0" w:line="360" w:lineRule="auto"/>
        <w:jc w:val="both"/>
        <w:rPr>
          <w:rFonts w:ascii="Arial" w:hAnsi="Arial" w:cs="Arial"/>
          <w:b/>
          <w:sz w:val="28"/>
          <w:szCs w:val="28"/>
        </w:rPr>
      </w:pPr>
    </w:p>
    <w:p w14:paraId="2C8983D6" w14:textId="77777777" w:rsidR="00DE4AD3" w:rsidRDefault="00DE4AD3" w:rsidP="002D50A1">
      <w:pPr>
        <w:spacing w:after="0" w:line="360" w:lineRule="auto"/>
        <w:jc w:val="both"/>
        <w:rPr>
          <w:rFonts w:ascii="Arial" w:hAnsi="Arial" w:cs="Arial"/>
          <w:b/>
          <w:sz w:val="28"/>
          <w:szCs w:val="28"/>
        </w:rPr>
      </w:pPr>
    </w:p>
    <w:p w14:paraId="329385A8" w14:textId="77777777" w:rsidR="00DE4AD3" w:rsidRDefault="00DE4AD3" w:rsidP="002D50A1">
      <w:pPr>
        <w:spacing w:after="0" w:line="360" w:lineRule="auto"/>
        <w:jc w:val="both"/>
        <w:rPr>
          <w:rFonts w:ascii="Arial" w:hAnsi="Arial" w:cs="Arial"/>
          <w:b/>
          <w:sz w:val="28"/>
          <w:szCs w:val="28"/>
        </w:rPr>
      </w:pPr>
    </w:p>
    <w:p w14:paraId="607B3A7F" w14:textId="77777777" w:rsidR="00DE4AD3" w:rsidRDefault="00DE4AD3" w:rsidP="002D50A1">
      <w:pPr>
        <w:spacing w:after="0" w:line="360" w:lineRule="auto"/>
        <w:jc w:val="both"/>
        <w:rPr>
          <w:rFonts w:ascii="Arial" w:hAnsi="Arial" w:cs="Arial"/>
          <w:b/>
          <w:sz w:val="28"/>
          <w:szCs w:val="28"/>
        </w:rPr>
      </w:pPr>
    </w:p>
    <w:p w14:paraId="72800A60" w14:textId="77777777" w:rsidR="00DE4AD3" w:rsidRDefault="00DE4AD3" w:rsidP="002D50A1">
      <w:pPr>
        <w:spacing w:after="0" w:line="360" w:lineRule="auto"/>
        <w:jc w:val="both"/>
        <w:rPr>
          <w:rFonts w:ascii="Arial" w:hAnsi="Arial" w:cs="Arial"/>
          <w:b/>
          <w:sz w:val="28"/>
          <w:szCs w:val="28"/>
        </w:rPr>
      </w:pPr>
    </w:p>
    <w:p w14:paraId="351B08D3" w14:textId="77777777" w:rsidR="00DE4AD3" w:rsidRDefault="00DE4AD3" w:rsidP="002D50A1">
      <w:pPr>
        <w:spacing w:after="0" w:line="360" w:lineRule="auto"/>
        <w:jc w:val="both"/>
        <w:rPr>
          <w:rFonts w:ascii="Arial" w:hAnsi="Arial" w:cs="Arial"/>
          <w:b/>
          <w:sz w:val="28"/>
          <w:szCs w:val="28"/>
        </w:rPr>
      </w:pPr>
    </w:p>
    <w:p w14:paraId="692E5B8B" w14:textId="77777777" w:rsidR="00DE4AD3" w:rsidRDefault="00DE4AD3" w:rsidP="002D50A1">
      <w:pPr>
        <w:spacing w:after="0" w:line="360" w:lineRule="auto"/>
        <w:jc w:val="both"/>
        <w:rPr>
          <w:rFonts w:ascii="Arial" w:hAnsi="Arial" w:cs="Arial"/>
          <w:b/>
          <w:sz w:val="28"/>
          <w:szCs w:val="28"/>
        </w:rPr>
      </w:pPr>
    </w:p>
    <w:p w14:paraId="327ADBFB" w14:textId="77777777" w:rsidR="00DE4AD3" w:rsidRDefault="00DE4AD3" w:rsidP="002D50A1">
      <w:pPr>
        <w:spacing w:after="0" w:line="360" w:lineRule="auto"/>
        <w:jc w:val="both"/>
        <w:rPr>
          <w:rFonts w:ascii="Arial" w:hAnsi="Arial" w:cs="Arial"/>
          <w:b/>
          <w:sz w:val="28"/>
          <w:szCs w:val="28"/>
        </w:rPr>
      </w:pPr>
    </w:p>
    <w:p w14:paraId="2E560905" w14:textId="77777777" w:rsidR="00DE4AD3" w:rsidRDefault="00DE4AD3" w:rsidP="002D50A1">
      <w:pPr>
        <w:spacing w:after="0" w:line="360" w:lineRule="auto"/>
        <w:jc w:val="both"/>
        <w:rPr>
          <w:rFonts w:ascii="Arial" w:hAnsi="Arial" w:cs="Arial"/>
          <w:b/>
          <w:sz w:val="28"/>
          <w:szCs w:val="28"/>
        </w:rPr>
      </w:pPr>
    </w:p>
    <w:p w14:paraId="35A4E0AE" w14:textId="77777777" w:rsidR="00DE4AD3" w:rsidRDefault="00DE4AD3" w:rsidP="002D50A1">
      <w:pPr>
        <w:spacing w:after="0" w:line="360" w:lineRule="auto"/>
        <w:jc w:val="both"/>
        <w:rPr>
          <w:rFonts w:ascii="Arial" w:hAnsi="Arial" w:cs="Arial"/>
          <w:b/>
          <w:sz w:val="28"/>
          <w:szCs w:val="28"/>
        </w:rPr>
      </w:pPr>
    </w:p>
    <w:p w14:paraId="114C4137" w14:textId="5E8A00E5" w:rsidR="00DE4AD3" w:rsidRPr="00DE4AD3" w:rsidRDefault="002A7E48" w:rsidP="002D50A1">
      <w:pPr>
        <w:spacing w:after="0" w:line="360" w:lineRule="auto"/>
        <w:jc w:val="center"/>
        <w:rPr>
          <w:rFonts w:ascii="Arial" w:hAnsi="Arial" w:cs="Arial"/>
          <w:b/>
          <w:sz w:val="24"/>
          <w:szCs w:val="24"/>
        </w:rPr>
      </w:pPr>
      <w:r>
        <w:rPr>
          <w:rFonts w:ascii="Arial" w:hAnsi="Arial" w:cs="Arial"/>
          <w:b/>
          <w:sz w:val="24"/>
          <w:szCs w:val="24"/>
        </w:rPr>
        <w:t>Junij</w:t>
      </w:r>
      <w:r w:rsidR="0055217B">
        <w:rPr>
          <w:rFonts w:ascii="Arial" w:hAnsi="Arial" w:cs="Arial"/>
          <w:b/>
          <w:sz w:val="24"/>
          <w:szCs w:val="24"/>
        </w:rPr>
        <w:t>,</w:t>
      </w:r>
      <w:r w:rsidR="00DE4AD3" w:rsidRPr="00DE4AD3">
        <w:rPr>
          <w:rFonts w:ascii="Arial" w:hAnsi="Arial" w:cs="Arial"/>
          <w:b/>
          <w:sz w:val="24"/>
          <w:szCs w:val="24"/>
        </w:rPr>
        <w:t xml:space="preserve"> 2023</w:t>
      </w:r>
    </w:p>
    <w:p w14:paraId="356E91D4" w14:textId="77777777" w:rsidR="004C76C6" w:rsidRDefault="004C76C6" w:rsidP="002D50A1">
      <w:pPr>
        <w:spacing w:line="360" w:lineRule="auto"/>
        <w:jc w:val="both"/>
        <w:rPr>
          <w:rFonts w:ascii="Arial" w:hAnsi="Arial" w:cs="Arial"/>
          <w:b/>
          <w:sz w:val="20"/>
          <w:szCs w:val="20"/>
        </w:rPr>
      </w:pPr>
      <w:r>
        <w:rPr>
          <w:rFonts w:ascii="Arial" w:hAnsi="Arial" w:cs="Arial"/>
          <w:b/>
          <w:sz w:val="20"/>
          <w:szCs w:val="20"/>
        </w:rPr>
        <w:br w:type="page"/>
      </w:r>
    </w:p>
    <w:p w14:paraId="6DDD4A5B" w14:textId="77777777" w:rsidR="005414FF" w:rsidRPr="00FF56BC" w:rsidRDefault="002D50A1" w:rsidP="002D50A1">
      <w:pPr>
        <w:pStyle w:val="Naslov1"/>
        <w:rPr>
          <w:rFonts w:eastAsia="Times New Roman"/>
        </w:rPr>
      </w:pPr>
      <w:r>
        <w:rPr>
          <w:rFonts w:eastAsia="Times New Roman"/>
        </w:rPr>
        <w:lastRenderedPageBreak/>
        <w:t>U</w:t>
      </w:r>
      <w:r w:rsidR="005414FF" w:rsidRPr="00FF56BC">
        <w:rPr>
          <w:rFonts w:eastAsia="Times New Roman"/>
        </w:rPr>
        <w:t>VOD</w:t>
      </w:r>
    </w:p>
    <w:p w14:paraId="5D7A64D1" w14:textId="77777777" w:rsidR="00FF56BC" w:rsidRPr="005414FF" w:rsidRDefault="00FF56BC" w:rsidP="002D50A1">
      <w:pPr>
        <w:spacing w:after="0" w:line="360" w:lineRule="auto"/>
        <w:jc w:val="both"/>
        <w:rPr>
          <w:rFonts w:ascii="Arial" w:eastAsia="Times New Roman" w:hAnsi="Arial" w:cs="Arial"/>
          <w:b/>
          <w:sz w:val="20"/>
          <w:szCs w:val="20"/>
        </w:rPr>
      </w:pPr>
    </w:p>
    <w:p w14:paraId="3B7A8529" w14:textId="0709720B" w:rsidR="00FF56BC" w:rsidRDefault="0004205C" w:rsidP="002D50A1">
      <w:pPr>
        <w:spacing w:after="0" w:line="360" w:lineRule="auto"/>
        <w:jc w:val="both"/>
        <w:rPr>
          <w:rFonts w:ascii="Arial" w:eastAsia="Times New Roman" w:hAnsi="Arial" w:cs="Arial"/>
          <w:sz w:val="20"/>
          <w:szCs w:val="20"/>
        </w:rPr>
      </w:pPr>
      <w:r>
        <w:rPr>
          <w:rFonts w:ascii="Arial" w:eastAsia="Times New Roman" w:hAnsi="Arial" w:cs="Arial"/>
          <w:sz w:val="20"/>
          <w:szCs w:val="20"/>
        </w:rPr>
        <w:t>Ministrstvo za kohezijo in regionalni razvoj</w:t>
      </w:r>
      <w:r w:rsidR="005414FF" w:rsidRPr="005414FF">
        <w:rPr>
          <w:rFonts w:ascii="Arial" w:eastAsia="Times New Roman" w:hAnsi="Arial" w:cs="Arial"/>
          <w:sz w:val="20"/>
          <w:szCs w:val="20"/>
        </w:rPr>
        <w:t xml:space="preserve"> v vlogi organa upravljanja, v skladu s pristojnostmi, ki izhajajo iz 125. člena Uredbe EU 1303/2013, predlaga izhodišča za spremembo Operativnega programa za izvajanje evropske kohezijske politike za programsko obdobje 2014-2020, različico 8.0 (v nadaljevanju: OP). </w:t>
      </w:r>
      <w:r w:rsidR="00FF56BC">
        <w:rPr>
          <w:rFonts w:ascii="Arial" w:eastAsia="Times New Roman" w:hAnsi="Arial" w:cs="Arial"/>
          <w:sz w:val="20"/>
          <w:szCs w:val="20"/>
        </w:rPr>
        <w:t xml:space="preserve">V 30. členu Uredbe EU št. 1303/2013 je navedeno, da država članica lahko predloži predloge za spremembo programa in jih ustrezno utemelji ter </w:t>
      </w:r>
      <w:r w:rsidR="00794508">
        <w:rPr>
          <w:rFonts w:ascii="Arial" w:eastAsia="Times New Roman" w:hAnsi="Arial" w:cs="Arial"/>
          <w:sz w:val="20"/>
          <w:szCs w:val="20"/>
        </w:rPr>
        <w:t xml:space="preserve">med drugim </w:t>
      </w:r>
      <w:r w:rsidR="00FF56BC">
        <w:rPr>
          <w:rFonts w:ascii="Arial" w:eastAsia="Times New Roman" w:hAnsi="Arial" w:cs="Arial"/>
          <w:sz w:val="20"/>
          <w:szCs w:val="20"/>
        </w:rPr>
        <w:t xml:space="preserve">navede </w:t>
      </w:r>
      <w:r w:rsidR="00794508">
        <w:rPr>
          <w:rFonts w:ascii="Arial" w:eastAsia="Times New Roman" w:hAnsi="Arial" w:cs="Arial"/>
          <w:sz w:val="20"/>
          <w:szCs w:val="20"/>
        </w:rPr>
        <w:t>tudi</w:t>
      </w:r>
      <w:r w:rsidR="00794508" w:rsidRPr="00794508">
        <w:rPr>
          <w:rFonts w:ascii="Arial" w:eastAsia="Times New Roman" w:hAnsi="Arial" w:cs="Arial"/>
          <w:sz w:val="20"/>
          <w:szCs w:val="20"/>
        </w:rPr>
        <w:t xml:space="preserve"> predvideni vpliv sprememb programa na doseganje ciljev </w:t>
      </w:r>
      <w:r w:rsidR="00794508">
        <w:rPr>
          <w:rFonts w:ascii="Arial" w:eastAsia="Times New Roman" w:hAnsi="Arial" w:cs="Arial"/>
          <w:sz w:val="20"/>
          <w:szCs w:val="20"/>
        </w:rPr>
        <w:t>programa.</w:t>
      </w:r>
    </w:p>
    <w:p w14:paraId="66534A90" w14:textId="77777777" w:rsidR="005414FF" w:rsidRDefault="005414FF" w:rsidP="002D50A1">
      <w:pPr>
        <w:spacing w:after="0" w:line="360" w:lineRule="auto"/>
        <w:jc w:val="both"/>
        <w:rPr>
          <w:rFonts w:ascii="Arial" w:eastAsia="Times New Roman" w:hAnsi="Arial" w:cs="Arial"/>
          <w:sz w:val="20"/>
          <w:szCs w:val="20"/>
        </w:rPr>
      </w:pPr>
    </w:p>
    <w:p w14:paraId="246059E5" w14:textId="77777777" w:rsidR="005414FF" w:rsidRDefault="005414FF" w:rsidP="002D50A1">
      <w:pPr>
        <w:spacing w:after="0" w:line="360" w:lineRule="auto"/>
        <w:jc w:val="both"/>
        <w:rPr>
          <w:rFonts w:ascii="Arial" w:eastAsia="Times New Roman" w:hAnsi="Arial" w:cs="Arial"/>
          <w:sz w:val="20"/>
          <w:szCs w:val="20"/>
        </w:rPr>
      </w:pPr>
      <w:r w:rsidRPr="005414FF">
        <w:rPr>
          <w:rFonts w:ascii="Arial" w:eastAsia="Times New Roman" w:hAnsi="Arial" w:cs="Arial"/>
          <w:sz w:val="20"/>
          <w:szCs w:val="20"/>
        </w:rPr>
        <w:t>Spremembo OP narekujejo predvsem naslednji razlogi:</w:t>
      </w:r>
    </w:p>
    <w:p w14:paraId="1F656908" w14:textId="77777777" w:rsidR="005414FF" w:rsidRDefault="00794508" w:rsidP="002D50A1">
      <w:pPr>
        <w:pStyle w:val="Odstavekseznama"/>
        <w:numPr>
          <w:ilvl w:val="0"/>
          <w:numId w:val="3"/>
        </w:numPr>
        <w:spacing w:after="0" w:line="360" w:lineRule="auto"/>
        <w:jc w:val="both"/>
        <w:rPr>
          <w:rFonts w:ascii="Arial" w:hAnsi="Arial" w:cs="Arial"/>
          <w:sz w:val="20"/>
          <w:szCs w:val="20"/>
        </w:rPr>
      </w:pPr>
      <w:r>
        <w:rPr>
          <w:rFonts w:ascii="Arial" w:hAnsi="Arial" w:cs="Arial"/>
          <w:sz w:val="20"/>
          <w:szCs w:val="20"/>
        </w:rPr>
        <w:t>d</w:t>
      </w:r>
      <w:r w:rsidRPr="00794508">
        <w:rPr>
          <w:rFonts w:ascii="Arial" w:hAnsi="Arial" w:cs="Arial"/>
          <w:sz w:val="20"/>
          <w:szCs w:val="20"/>
        </w:rPr>
        <w:t xml:space="preserve">o konca leta 2022 je bilo v okviru izvajanja EKP 14-20 skupaj za 2,77 mrd izplačil, kar je 83 % pravic porabe. </w:t>
      </w:r>
      <w:r>
        <w:rPr>
          <w:rFonts w:ascii="Arial" w:hAnsi="Arial" w:cs="Arial"/>
          <w:sz w:val="20"/>
          <w:szCs w:val="20"/>
        </w:rPr>
        <w:t>Z namenom 100 % črpanja sredstev do konca finančne perspektive 2014 – 2020 so potrebne določene prilagoditve programa;</w:t>
      </w:r>
    </w:p>
    <w:p w14:paraId="107B0C49" w14:textId="77777777" w:rsidR="004815FD" w:rsidRDefault="004815FD" w:rsidP="002D50A1">
      <w:pPr>
        <w:pStyle w:val="Odstavekseznama"/>
        <w:numPr>
          <w:ilvl w:val="0"/>
          <w:numId w:val="3"/>
        </w:numPr>
        <w:spacing w:after="0" w:line="360" w:lineRule="auto"/>
        <w:jc w:val="both"/>
        <w:rPr>
          <w:rFonts w:ascii="Arial" w:hAnsi="Arial" w:cs="Arial"/>
          <w:sz w:val="20"/>
          <w:szCs w:val="20"/>
        </w:rPr>
      </w:pPr>
      <w:r>
        <w:rPr>
          <w:rFonts w:ascii="Arial" w:hAnsi="Arial" w:cs="Arial"/>
          <w:sz w:val="20"/>
          <w:szCs w:val="20"/>
        </w:rPr>
        <w:t xml:space="preserve">sprememba OP 6.0 s katero so se vključila sredstva pobude React EU je bila potrjena v juliju 2021. Ta sredstva so bila zelo dobrodošla in zelo pomemba za reševanje težav, ki so se izkazale po izbruhu epidemije koronavirusa. Vendar se je tekom poznega začetka izvajanja projektov izkazalo, da nekateri projekti zaradi kratke časovnice ne bodo izvedljivi, zato so v delu sredstev React EU potrebne nekatere spremembe;  </w:t>
      </w:r>
    </w:p>
    <w:p w14:paraId="6AD2C6F2" w14:textId="2EED8BBC" w:rsidR="004C76C6" w:rsidRDefault="00794508" w:rsidP="0004205C">
      <w:pPr>
        <w:pStyle w:val="Odstavekseznama"/>
        <w:numPr>
          <w:ilvl w:val="0"/>
          <w:numId w:val="3"/>
        </w:numPr>
        <w:spacing w:after="0" w:line="360" w:lineRule="auto"/>
        <w:jc w:val="both"/>
        <w:rPr>
          <w:rFonts w:ascii="Arial" w:hAnsi="Arial" w:cs="Arial"/>
          <w:sz w:val="20"/>
          <w:szCs w:val="20"/>
        </w:rPr>
      </w:pPr>
      <w:r w:rsidRPr="0004205C">
        <w:rPr>
          <w:rFonts w:ascii="Arial" w:hAnsi="Arial" w:cs="Arial"/>
          <w:sz w:val="20"/>
          <w:szCs w:val="20"/>
        </w:rPr>
        <w:t>prilagoditev na razmere, ki so se vzpostavile v letu 2022 (</w:t>
      </w:r>
      <w:r w:rsidR="002124C2" w:rsidRPr="0004205C">
        <w:rPr>
          <w:rFonts w:ascii="Arial" w:hAnsi="Arial" w:cs="Arial"/>
          <w:sz w:val="20"/>
          <w:szCs w:val="20"/>
        </w:rPr>
        <w:t>posledice vojne v Ukrajini</w:t>
      </w:r>
      <w:r w:rsidR="004815FD" w:rsidRPr="0004205C">
        <w:rPr>
          <w:rFonts w:ascii="Arial" w:hAnsi="Arial" w:cs="Arial"/>
          <w:sz w:val="20"/>
          <w:szCs w:val="20"/>
        </w:rPr>
        <w:t xml:space="preserve">, </w:t>
      </w:r>
      <w:r w:rsidR="006870AD" w:rsidRPr="0004205C">
        <w:rPr>
          <w:rFonts w:ascii="Arial" w:hAnsi="Arial" w:cs="Arial"/>
          <w:sz w:val="20"/>
          <w:szCs w:val="20"/>
        </w:rPr>
        <w:t>dvi</w:t>
      </w:r>
      <w:r w:rsidR="002124C2" w:rsidRPr="0004205C">
        <w:rPr>
          <w:rFonts w:ascii="Arial" w:hAnsi="Arial" w:cs="Arial"/>
          <w:sz w:val="20"/>
          <w:szCs w:val="20"/>
        </w:rPr>
        <w:t>g</w:t>
      </w:r>
      <w:r w:rsidR="006870AD" w:rsidRPr="0004205C">
        <w:rPr>
          <w:rFonts w:ascii="Arial" w:hAnsi="Arial" w:cs="Arial"/>
          <w:sz w:val="20"/>
          <w:szCs w:val="20"/>
        </w:rPr>
        <w:t xml:space="preserve"> cen energije in surovin</w:t>
      </w:r>
      <w:r w:rsidR="002124C2" w:rsidRPr="0004205C">
        <w:rPr>
          <w:rFonts w:ascii="Arial" w:hAnsi="Arial" w:cs="Arial"/>
          <w:sz w:val="20"/>
          <w:szCs w:val="20"/>
        </w:rPr>
        <w:t>, kar vpliva na povišanje vrednosti projektov, zamude pri dobavi blaga</w:t>
      </w:r>
      <w:r w:rsidR="004815FD" w:rsidRPr="0004205C">
        <w:rPr>
          <w:rFonts w:ascii="Arial" w:hAnsi="Arial" w:cs="Arial"/>
          <w:sz w:val="20"/>
          <w:szCs w:val="20"/>
        </w:rPr>
        <w:t xml:space="preserve">, </w:t>
      </w:r>
      <w:r w:rsidR="00A7477D" w:rsidRPr="0004205C">
        <w:rPr>
          <w:rFonts w:ascii="Arial" w:hAnsi="Arial" w:cs="Arial"/>
          <w:sz w:val="20"/>
          <w:szCs w:val="20"/>
        </w:rPr>
        <w:t xml:space="preserve">globalne epidemične razmere, </w:t>
      </w:r>
      <w:r w:rsidR="0004205C" w:rsidRPr="0004205C">
        <w:rPr>
          <w:rFonts w:ascii="Arial" w:hAnsi="Arial" w:cs="Arial"/>
          <w:sz w:val="20"/>
          <w:szCs w:val="20"/>
        </w:rPr>
        <w:t>…). I</w:t>
      </w:r>
      <w:r w:rsidR="004C4A60" w:rsidRPr="0004205C">
        <w:rPr>
          <w:rFonts w:ascii="Arial" w:hAnsi="Arial" w:cs="Arial"/>
          <w:sz w:val="20"/>
          <w:szCs w:val="20"/>
        </w:rPr>
        <w:t>zvedba posameznih operacij zaradi različnih vzrokov (težave v gradbeništvu, višanje cen</w:t>
      </w:r>
      <w:r w:rsidR="009E7941" w:rsidRPr="0004205C">
        <w:rPr>
          <w:rFonts w:ascii="Arial" w:hAnsi="Arial" w:cs="Arial"/>
          <w:sz w:val="20"/>
          <w:szCs w:val="20"/>
        </w:rPr>
        <w:t>, ponavljanje javnih naročil</w:t>
      </w:r>
      <w:r w:rsidR="004C4A60" w:rsidRPr="0004205C">
        <w:rPr>
          <w:rFonts w:ascii="Arial" w:hAnsi="Arial" w:cs="Arial"/>
          <w:sz w:val="20"/>
          <w:szCs w:val="20"/>
        </w:rPr>
        <w:t xml:space="preserve"> itd.) poteka bistveno počasneje, zato se upravičenci srečujejo s težavami pri zaključevanju projektov</w:t>
      </w:r>
      <w:r w:rsidR="0004205C" w:rsidRPr="0004205C">
        <w:rPr>
          <w:rFonts w:ascii="Arial" w:hAnsi="Arial" w:cs="Arial"/>
          <w:sz w:val="20"/>
          <w:szCs w:val="20"/>
        </w:rPr>
        <w:t xml:space="preserve"> </w:t>
      </w:r>
      <w:r w:rsidR="004C4A60" w:rsidRPr="0004205C">
        <w:rPr>
          <w:rFonts w:ascii="Arial" w:hAnsi="Arial" w:cs="Arial"/>
          <w:sz w:val="20"/>
          <w:szCs w:val="20"/>
        </w:rPr>
        <w:t>do 31. 12. 2023.</w:t>
      </w:r>
    </w:p>
    <w:p w14:paraId="6A166789" w14:textId="77777777" w:rsidR="0004205C" w:rsidRPr="0004205C" w:rsidRDefault="0004205C" w:rsidP="0004205C">
      <w:pPr>
        <w:pStyle w:val="Odstavekseznama"/>
        <w:spacing w:after="0" w:line="360" w:lineRule="auto"/>
        <w:jc w:val="both"/>
        <w:rPr>
          <w:rFonts w:ascii="Arial" w:hAnsi="Arial" w:cs="Arial"/>
          <w:sz w:val="20"/>
          <w:szCs w:val="20"/>
        </w:rPr>
      </w:pPr>
    </w:p>
    <w:p w14:paraId="33272022" w14:textId="66C5119E" w:rsidR="004C76C6" w:rsidRPr="002D50A1" w:rsidRDefault="004815FD" w:rsidP="002D50A1">
      <w:pPr>
        <w:spacing w:after="0" w:line="360" w:lineRule="auto"/>
        <w:jc w:val="both"/>
        <w:rPr>
          <w:rFonts w:ascii="Arial" w:hAnsi="Arial" w:cs="Arial"/>
          <w:sz w:val="20"/>
          <w:szCs w:val="20"/>
        </w:rPr>
      </w:pPr>
      <w:r w:rsidRPr="002D50A1">
        <w:rPr>
          <w:rFonts w:ascii="Arial" w:hAnsi="Arial" w:cs="Arial"/>
          <w:sz w:val="20"/>
          <w:szCs w:val="20"/>
        </w:rPr>
        <w:t>Sprememba OP</w:t>
      </w:r>
      <w:r w:rsidR="002D50A1">
        <w:rPr>
          <w:rFonts w:ascii="Arial" w:hAnsi="Arial" w:cs="Arial"/>
          <w:sz w:val="20"/>
          <w:szCs w:val="20"/>
        </w:rPr>
        <w:t xml:space="preserve"> je razdeljena na </w:t>
      </w:r>
      <w:r w:rsidR="00EE03B0">
        <w:rPr>
          <w:rFonts w:ascii="Arial" w:hAnsi="Arial" w:cs="Arial"/>
          <w:sz w:val="20"/>
          <w:szCs w:val="20"/>
        </w:rPr>
        <w:t>dve</w:t>
      </w:r>
      <w:r w:rsidR="002D50A1">
        <w:rPr>
          <w:rFonts w:ascii="Arial" w:hAnsi="Arial" w:cs="Arial"/>
          <w:sz w:val="20"/>
          <w:szCs w:val="20"/>
        </w:rPr>
        <w:t xml:space="preserve"> področj</w:t>
      </w:r>
      <w:r w:rsidR="00EE03B0">
        <w:rPr>
          <w:rFonts w:ascii="Arial" w:hAnsi="Arial" w:cs="Arial"/>
          <w:sz w:val="20"/>
          <w:szCs w:val="20"/>
        </w:rPr>
        <w:t>i</w:t>
      </w:r>
      <w:r w:rsidR="002D50A1">
        <w:rPr>
          <w:rFonts w:ascii="Arial" w:hAnsi="Arial" w:cs="Arial"/>
          <w:sz w:val="20"/>
          <w:szCs w:val="20"/>
        </w:rPr>
        <w:t xml:space="preserve"> in sicer </w:t>
      </w:r>
      <w:r w:rsidR="00EE03B0">
        <w:rPr>
          <w:rFonts w:ascii="Arial" w:hAnsi="Arial" w:cs="Arial"/>
          <w:sz w:val="20"/>
          <w:szCs w:val="20"/>
        </w:rPr>
        <w:t>pregled izvajanja OP 14 – 20 ter</w:t>
      </w:r>
      <w:r w:rsidR="00F55477">
        <w:rPr>
          <w:rFonts w:ascii="Arial" w:hAnsi="Arial" w:cs="Arial"/>
          <w:sz w:val="20"/>
          <w:szCs w:val="20"/>
        </w:rPr>
        <w:t xml:space="preserve"> </w:t>
      </w:r>
      <w:r w:rsidR="00EE03B0">
        <w:rPr>
          <w:rFonts w:ascii="Arial" w:hAnsi="Arial" w:cs="Arial"/>
          <w:sz w:val="20"/>
          <w:szCs w:val="20"/>
        </w:rPr>
        <w:t xml:space="preserve">predlogi vsebinskih in finančnih prerazporeditev, </w:t>
      </w:r>
      <w:r w:rsidR="002D50A1">
        <w:rPr>
          <w:rFonts w:ascii="Arial" w:hAnsi="Arial" w:cs="Arial"/>
          <w:sz w:val="20"/>
          <w:szCs w:val="20"/>
        </w:rPr>
        <w:t>v katerem so podani predlogi za spremembe, ki se nanašajo na prilagoditev vsebine oziroma kazalnikov ter finančni del, ki vključuje predloge prenosa sredstev med prednostnimi osmi z namenom zagotavljanja 100 % črpanja sredstev do konca finančne perspektive 2014 – 2020.</w:t>
      </w:r>
    </w:p>
    <w:p w14:paraId="7F0899AE" w14:textId="77777777" w:rsidR="004C76C6" w:rsidRPr="005414FF" w:rsidRDefault="004C76C6" w:rsidP="002D50A1">
      <w:pPr>
        <w:spacing w:after="0" w:line="360" w:lineRule="auto"/>
        <w:jc w:val="both"/>
        <w:rPr>
          <w:rFonts w:ascii="Arial" w:hAnsi="Arial" w:cs="Arial"/>
          <w:b/>
          <w:sz w:val="20"/>
          <w:szCs w:val="20"/>
        </w:rPr>
      </w:pPr>
    </w:p>
    <w:p w14:paraId="07FCA68B" w14:textId="77777777" w:rsidR="000452DF" w:rsidRPr="005414FF" w:rsidRDefault="000452DF" w:rsidP="002D50A1">
      <w:pPr>
        <w:spacing w:after="0" w:line="360" w:lineRule="auto"/>
        <w:jc w:val="both"/>
        <w:rPr>
          <w:rFonts w:ascii="Arial" w:hAnsi="Arial" w:cs="Arial"/>
          <w:b/>
          <w:sz w:val="20"/>
          <w:szCs w:val="20"/>
        </w:rPr>
      </w:pPr>
    </w:p>
    <w:p w14:paraId="028DDF91" w14:textId="77777777" w:rsidR="000452DF" w:rsidRPr="005414FF" w:rsidRDefault="000452DF" w:rsidP="002D50A1">
      <w:pPr>
        <w:spacing w:after="0" w:line="360" w:lineRule="auto"/>
        <w:jc w:val="both"/>
        <w:rPr>
          <w:rFonts w:ascii="Arial" w:hAnsi="Arial" w:cs="Arial"/>
          <w:b/>
          <w:sz w:val="20"/>
          <w:szCs w:val="20"/>
        </w:rPr>
      </w:pPr>
    </w:p>
    <w:p w14:paraId="65E55C8C" w14:textId="77777777" w:rsidR="00DE7971" w:rsidRDefault="002D50A1" w:rsidP="002D50A1">
      <w:pPr>
        <w:pStyle w:val="Naslov1"/>
      </w:pPr>
      <w:r>
        <w:br w:type="page"/>
      </w:r>
    </w:p>
    <w:p w14:paraId="7757F446" w14:textId="62B33428" w:rsidR="00DE7971" w:rsidRPr="009E7941" w:rsidRDefault="00DE7971" w:rsidP="000A1BF2">
      <w:pPr>
        <w:pStyle w:val="Naslov1"/>
        <w:spacing w:line="240" w:lineRule="auto"/>
      </w:pPr>
      <w:r w:rsidRPr="009E7941">
        <w:lastRenderedPageBreak/>
        <w:t>1. Pr</w:t>
      </w:r>
      <w:r w:rsidR="002A7E48">
        <w:t>egled izvajanja OP 14 – 20 do 30</w:t>
      </w:r>
      <w:r w:rsidRPr="009E7941">
        <w:t xml:space="preserve">. </w:t>
      </w:r>
      <w:r w:rsidR="002A7E48">
        <w:t>4</w:t>
      </w:r>
      <w:r w:rsidRPr="009E7941">
        <w:t>. 202</w:t>
      </w:r>
      <w:r w:rsidR="008259C1">
        <w:t>3</w:t>
      </w:r>
    </w:p>
    <w:p w14:paraId="78975BA0" w14:textId="61A307AD" w:rsidR="00DE7971" w:rsidRPr="00181385" w:rsidRDefault="00DE7971" w:rsidP="000A1BF2">
      <w:pPr>
        <w:spacing w:after="0" w:line="240" w:lineRule="auto"/>
        <w:rPr>
          <w:rFonts w:cs="Arial"/>
          <w:sz w:val="20"/>
          <w:szCs w:val="20"/>
        </w:rPr>
      </w:pPr>
    </w:p>
    <w:p w14:paraId="685017BD" w14:textId="77777777" w:rsidR="002A7E48" w:rsidRPr="002A7E48" w:rsidRDefault="002A7E48" w:rsidP="002A7E48">
      <w:pPr>
        <w:spacing w:after="0" w:line="240" w:lineRule="auto"/>
        <w:rPr>
          <w:rFonts w:ascii="Calibri" w:eastAsia="Calibri" w:hAnsi="Calibri" w:cs="Arial"/>
          <w:sz w:val="20"/>
          <w:szCs w:val="20"/>
        </w:rPr>
      </w:pPr>
    </w:p>
    <w:p w14:paraId="63ABAD1C"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 xml:space="preserve">V okviru izvajanja EKP je bilo od januarja 2014 do 30. 4. 2023 izdanih odločitev o finančni podpori za projekte, programe oz. javne razpise v vrednosti 3,8 milijarde evrov, kar je 113 % razpoložljivih sredstev. Znesek potrjenih operacij je bil v skupni vrednosti 3.561.362.616 EUR, kar predstavlja 107 % razpoložljivih sredstev. Izplačila iz državnega proračuna so bila izvedena v skupni vrednosti 2.907.158.240 EUR, kar predstavlja 87 % razpoložljivih sredstev. </w:t>
      </w:r>
    </w:p>
    <w:p w14:paraId="4C1D0A40" w14:textId="77777777" w:rsidR="002A7E48" w:rsidRPr="002A7E48" w:rsidRDefault="002A7E48" w:rsidP="002A7E48">
      <w:pPr>
        <w:spacing w:after="0" w:line="240" w:lineRule="auto"/>
        <w:jc w:val="both"/>
        <w:rPr>
          <w:rFonts w:ascii="Calibri" w:eastAsia="Calibri" w:hAnsi="Calibri" w:cs="Arial"/>
          <w:sz w:val="20"/>
          <w:szCs w:val="20"/>
        </w:rPr>
      </w:pPr>
    </w:p>
    <w:p w14:paraId="111F157D" w14:textId="77777777" w:rsidR="002A7E48" w:rsidRPr="002A7E48" w:rsidRDefault="002A7E48" w:rsidP="002A7E48">
      <w:pPr>
        <w:spacing w:after="0" w:line="240" w:lineRule="auto"/>
        <w:rPr>
          <w:rFonts w:ascii="Arial" w:eastAsia="Calibri" w:hAnsi="Arial" w:cs="Arial"/>
          <w:b/>
          <w:sz w:val="20"/>
          <w:szCs w:val="20"/>
        </w:rPr>
      </w:pPr>
      <w:r w:rsidRPr="002A7E48">
        <w:rPr>
          <w:rFonts w:ascii="Arial" w:eastAsia="Calibri" w:hAnsi="Arial" w:cs="Arial"/>
          <w:b/>
          <w:sz w:val="20"/>
          <w:szCs w:val="20"/>
        </w:rPr>
        <w:t>Tabela 1: Stanje izvajanja po prednostnih oseh</w:t>
      </w:r>
    </w:p>
    <w:tbl>
      <w:tblPr>
        <w:tblW w:w="9326" w:type="dxa"/>
        <w:tblCellMar>
          <w:left w:w="70" w:type="dxa"/>
          <w:right w:w="70" w:type="dxa"/>
        </w:tblCellMar>
        <w:tblLook w:val="04A0" w:firstRow="1" w:lastRow="0" w:firstColumn="1" w:lastColumn="0" w:noHBand="0" w:noVBand="1"/>
      </w:tblPr>
      <w:tblGrid>
        <w:gridCol w:w="372"/>
        <w:gridCol w:w="585"/>
        <w:gridCol w:w="980"/>
        <w:gridCol w:w="1297"/>
        <w:gridCol w:w="1183"/>
        <w:gridCol w:w="856"/>
        <w:gridCol w:w="1183"/>
        <w:gridCol w:w="866"/>
        <w:gridCol w:w="1183"/>
        <w:gridCol w:w="866"/>
      </w:tblGrid>
      <w:tr w:rsidR="002A7E48" w:rsidRPr="002A7E48" w14:paraId="7A3EEA9F" w14:textId="77777777" w:rsidTr="0042240D">
        <w:trPr>
          <w:trHeight w:val="220"/>
        </w:trPr>
        <w:tc>
          <w:tcPr>
            <w:tcW w:w="355" w:type="dxa"/>
            <w:vMerge w:val="restart"/>
            <w:tcBorders>
              <w:top w:val="single" w:sz="8" w:space="0" w:color="auto"/>
              <w:left w:val="single" w:sz="8" w:space="0" w:color="auto"/>
              <w:bottom w:val="single" w:sz="8" w:space="0" w:color="000000"/>
              <w:right w:val="nil"/>
            </w:tcBorders>
            <w:shd w:val="clear" w:color="000000" w:fill="DDEBF7"/>
            <w:vAlign w:val="center"/>
            <w:hideMark/>
          </w:tcPr>
          <w:p w14:paraId="708826E3" w14:textId="77777777" w:rsidR="002A7E48" w:rsidRPr="002A7E48" w:rsidRDefault="002A7E48" w:rsidP="002A7E48">
            <w:pPr>
              <w:spacing w:after="0" w:line="240" w:lineRule="auto"/>
              <w:jc w:val="center"/>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PO</w:t>
            </w:r>
          </w:p>
        </w:tc>
        <w:tc>
          <w:tcPr>
            <w:tcW w:w="557" w:type="dxa"/>
            <w:vMerge w:val="restart"/>
            <w:tcBorders>
              <w:top w:val="single" w:sz="8" w:space="0" w:color="auto"/>
              <w:left w:val="single" w:sz="4" w:space="0" w:color="auto"/>
              <w:bottom w:val="single" w:sz="8" w:space="0" w:color="000000"/>
              <w:right w:val="single" w:sz="4" w:space="0" w:color="auto"/>
            </w:tcBorders>
            <w:shd w:val="clear" w:color="000000" w:fill="DDEBF7"/>
            <w:vAlign w:val="center"/>
            <w:hideMark/>
          </w:tcPr>
          <w:p w14:paraId="3248C16F" w14:textId="77777777" w:rsidR="002A7E48" w:rsidRPr="002A7E48" w:rsidRDefault="002A7E48" w:rsidP="002A7E48">
            <w:pPr>
              <w:spacing w:after="0" w:line="240" w:lineRule="auto"/>
              <w:jc w:val="center"/>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Sklad</w:t>
            </w:r>
          </w:p>
        </w:tc>
        <w:tc>
          <w:tcPr>
            <w:tcW w:w="980" w:type="dxa"/>
            <w:vMerge w:val="restart"/>
            <w:tcBorders>
              <w:top w:val="single" w:sz="8" w:space="0" w:color="auto"/>
              <w:left w:val="single" w:sz="4" w:space="0" w:color="auto"/>
              <w:bottom w:val="single" w:sz="8" w:space="0" w:color="000000"/>
              <w:right w:val="single" w:sz="8" w:space="0" w:color="auto"/>
            </w:tcBorders>
            <w:shd w:val="clear" w:color="000000" w:fill="DDEBF7"/>
            <w:vAlign w:val="center"/>
            <w:hideMark/>
          </w:tcPr>
          <w:p w14:paraId="2C31999D" w14:textId="77777777" w:rsidR="002A7E48" w:rsidRPr="002A7E48" w:rsidRDefault="002A7E48" w:rsidP="002A7E48">
            <w:pPr>
              <w:spacing w:after="0" w:line="240" w:lineRule="auto"/>
              <w:jc w:val="center"/>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Regija</w:t>
            </w:r>
          </w:p>
        </w:tc>
        <w:tc>
          <w:tcPr>
            <w:tcW w:w="1297" w:type="dxa"/>
            <w:vMerge w:val="restart"/>
            <w:tcBorders>
              <w:top w:val="single" w:sz="8" w:space="0" w:color="auto"/>
              <w:left w:val="single" w:sz="8" w:space="0" w:color="auto"/>
              <w:bottom w:val="single" w:sz="8" w:space="0" w:color="000000"/>
              <w:right w:val="single" w:sz="8" w:space="0" w:color="auto"/>
            </w:tcBorders>
            <w:shd w:val="clear" w:color="000000" w:fill="DDEBF7"/>
            <w:vAlign w:val="center"/>
            <w:hideMark/>
          </w:tcPr>
          <w:p w14:paraId="05DEF128" w14:textId="77777777" w:rsidR="002A7E48" w:rsidRPr="002A7E48" w:rsidRDefault="002A7E48" w:rsidP="002A7E48">
            <w:pPr>
              <w:spacing w:after="0" w:line="240" w:lineRule="auto"/>
              <w:jc w:val="center"/>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 xml:space="preserve">Pravice porabe </w:t>
            </w:r>
          </w:p>
        </w:tc>
        <w:tc>
          <w:tcPr>
            <w:tcW w:w="1183" w:type="dxa"/>
            <w:vMerge w:val="restart"/>
            <w:tcBorders>
              <w:top w:val="single" w:sz="8" w:space="0" w:color="auto"/>
              <w:left w:val="single" w:sz="8" w:space="0" w:color="auto"/>
              <w:bottom w:val="single" w:sz="8" w:space="0" w:color="000000"/>
              <w:right w:val="nil"/>
            </w:tcBorders>
            <w:shd w:val="clear" w:color="000000" w:fill="DDEBF7"/>
            <w:vAlign w:val="center"/>
            <w:hideMark/>
          </w:tcPr>
          <w:p w14:paraId="54D64C32" w14:textId="77777777" w:rsidR="002A7E48" w:rsidRPr="002A7E48" w:rsidRDefault="002A7E48" w:rsidP="002A7E48">
            <w:pPr>
              <w:spacing w:after="0" w:line="240" w:lineRule="auto"/>
              <w:jc w:val="center"/>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Odločitve o podpori 30.4.2023</w:t>
            </w:r>
          </w:p>
        </w:tc>
        <w:tc>
          <w:tcPr>
            <w:tcW w:w="856" w:type="dxa"/>
            <w:vMerge w:val="restart"/>
            <w:tcBorders>
              <w:top w:val="single" w:sz="8" w:space="0" w:color="auto"/>
              <w:left w:val="single" w:sz="4" w:space="0" w:color="auto"/>
              <w:bottom w:val="single" w:sz="8" w:space="0" w:color="000000"/>
              <w:right w:val="single" w:sz="8" w:space="0" w:color="auto"/>
            </w:tcBorders>
            <w:shd w:val="clear" w:color="000000" w:fill="DDEBF7"/>
            <w:vAlign w:val="center"/>
            <w:hideMark/>
          </w:tcPr>
          <w:p w14:paraId="3C35EAA3" w14:textId="77777777" w:rsidR="002A7E48" w:rsidRPr="002A7E48" w:rsidRDefault="002A7E48" w:rsidP="002A7E48">
            <w:pPr>
              <w:spacing w:after="0" w:line="240" w:lineRule="auto"/>
              <w:jc w:val="center"/>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 glede na pravice porabe</w:t>
            </w:r>
          </w:p>
        </w:tc>
        <w:tc>
          <w:tcPr>
            <w:tcW w:w="1183" w:type="dxa"/>
            <w:vMerge w:val="restart"/>
            <w:tcBorders>
              <w:top w:val="single" w:sz="8" w:space="0" w:color="auto"/>
              <w:left w:val="single" w:sz="8" w:space="0" w:color="auto"/>
              <w:bottom w:val="single" w:sz="8" w:space="0" w:color="000000"/>
              <w:right w:val="nil"/>
            </w:tcBorders>
            <w:shd w:val="clear" w:color="000000" w:fill="DDEBF7"/>
            <w:vAlign w:val="center"/>
            <w:hideMark/>
          </w:tcPr>
          <w:p w14:paraId="7B774C33" w14:textId="77777777" w:rsidR="002A7E48" w:rsidRPr="002A7E48" w:rsidRDefault="002A7E48" w:rsidP="002A7E48">
            <w:pPr>
              <w:spacing w:after="0" w:line="240" w:lineRule="auto"/>
              <w:jc w:val="center"/>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Potrjene operacije 30.4.2023</w:t>
            </w:r>
          </w:p>
        </w:tc>
        <w:tc>
          <w:tcPr>
            <w:tcW w:w="866" w:type="dxa"/>
            <w:vMerge w:val="restart"/>
            <w:tcBorders>
              <w:top w:val="single" w:sz="8" w:space="0" w:color="auto"/>
              <w:left w:val="single" w:sz="4" w:space="0" w:color="auto"/>
              <w:bottom w:val="single" w:sz="8" w:space="0" w:color="000000"/>
              <w:right w:val="single" w:sz="8" w:space="0" w:color="auto"/>
            </w:tcBorders>
            <w:shd w:val="clear" w:color="000000" w:fill="DDEBF7"/>
            <w:vAlign w:val="center"/>
            <w:hideMark/>
          </w:tcPr>
          <w:p w14:paraId="2AB32A54" w14:textId="77777777" w:rsidR="002A7E48" w:rsidRPr="002A7E48" w:rsidRDefault="002A7E48" w:rsidP="002A7E48">
            <w:pPr>
              <w:spacing w:after="0" w:line="240" w:lineRule="auto"/>
              <w:jc w:val="center"/>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 glede na pravice porabe</w:t>
            </w:r>
          </w:p>
        </w:tc>
        <w:tc>
          <w:tcPr>
            <w:tcW w:w="1183" w:type="dxa"/>
            <w:vMerge w:val="restart"/>
            <w:tcBorders>
              <w:top w:val="single" w:sz="8" w:space="0" w:color="auto"/>
              <w:left w:val="single" w:sz="8" w:space="0" w:color="auto"/>
              <w:bottom w:val="single" w:sz="8" w:space="0" w:color="000000"/>
              <w:right w:val="nil"/>
            </w:tcBorders>
            <w:shd w:val="clear" w:color="000000" w:fill="DDEBF7"/>
            <w:vAlign w:val="center"/>
            <w:hideMark/>
          </w:tcPr>
          <w:p w14:paraId="366B9E46" w14:textId="77777777" w:rsidR="002A7E48" w:rsidRPr="002A7E48" w:rsidRDefault="002A7E48" w:rsidP="002A7E48">
            <w:pPr>
              <w:spacing w:after="0" w:line="240" w:lineRule="auto"/>
              <w:jc w:val="center"/>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 xml:space="preserve">Izplačila iz DP 30.4.2023 </w:t>
            </w:r>
          </w:p>
        </w:tc>
        <w:tc>
          <w:tcPr>
            <w:tcW w:w="866" w:type="dxa"/>
            <w:vMerge w:val="restart"/>
            <w:tcBorders>
              <w:top w:val="single" w:sz="8" w:space="0" w:color="auto"/>
              <w:left w:val="single" w:sz="4" w:space="0" w:color="auto"/>
              <w:bottom w:val="single" w:sz="8" w:space="0" w:color="000000"/>
              <w:right w:val="single" w:sz="8" w:space="0" w:color="auto"/>
            </w:tcBorders>
            <w:shd w:val="clear" w:color="000000" w:fill="DDEBF7"/>
            <w:vAlign w:val="center"/>
            <w:hideMark/>
          </w:tcPr>
          <w:p w14:paraId="59A3C163" w14:textId="77777777" w:rsidR="002A7E48" w:rsidRPr="002A7E48" w:rsidRDefault="002A7E48" w:rsidP="002A7E48">
            <w:pPr>
              <w:spacing w:after="0" w:line="240" w:lineRule="auto"/>
              <w:jc w:val="center"/>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 glede na pravice porabe</w:t>
            </w:r>
          </w:p>
        </w:tc>
      </w:tr>
      <w:tr w:rsidR="002A7E48" w:rsidRPr="002A7E48" w14:paraId="58C81D3E" w14:textId="77777777" w:rsidTr="0042240D">
        <w:trPr>
          <w:trHeight w:val="482"/>
        </w:trPr>
        <w:tc>
          <w:tcPr>
            <w:tcW w:w="355" w:type="dxa"/>
            <w:vMerge/>
            <w:tcBorders>
              <w:top w:val="single" w:sz="8" w:space="0" w:color="auto"/>
              <w:left w:val="single" w:sz="8" w:space="0" w:color="auto"/>
              <w:bottom w:val="single" w:sz="8" w:space="0" w:color="000000"/>
              <w:right w:val="nil"/>
            </w:tcBorders>
            <w:vAlign w:val="center"/>
            <w:hideMark/>
          </w:tcPr>
          <w:p w14:paraId="5ABBD909" w14:textId="77777777" w:rsidR="002A7E48" w:rsidRPr="002A7E48" w:rsidRDefault="002A7E48" w:rsidP="002A7E48">
            <w:pPr>
              <w:spacing w:after="0" w:line="240" w:lineRule="auto"/>
              <w:rPr>
                <w:rFonts w:ascii="Arial" w:eastAsia="Times New Roman" w:hAnsi="Arial" w:cs="Arial"/>
                <w:b/>
                <w:bCs/>
                <w:color w:val="000000"/>
                <w:sz w:val="16"/>
                <w:szCs w:val="16"/>
                <w:lang w:eastAsia="sl-SI"/>
              </w:rPr>
            </w:pPr>
          </w:p>
        </w:tc>
        <w:tc>
          <w:tcPr>
            <w:tcW w:w="557" w:type="dxa"/>
            <w:vMerge/>
            <w:tcBorders>
              <w:top w:val="single" w:sz="8" w:space="0" w:color="auto"/>
              <w:left w:val="single" w:sz="4" w:space="0" w:color="auto"/>
              <w:bottom w:val="single" w:sz="8" w:space="0" w:color="000000"/>
              <w:right w:val="single" w:sz="4" w:space="0" w:color="auto"/>
            </w:tcBorders>
            <w:vAlign w:val="center"/>
            <w:hideMark/>
          </w:tcPr>
          <w:p w14:paraId="73821119" w14:textId="77777777" w:rsidR="002A7E48" w:rsidRPr="002A7E48" w:rsidRDefault="002A7E48" w:rsidP="002A7E48">
            <w:pPr>
              <w:spacing w:after="0" w:line="240" w:lineRule="auto"/>
              <w:rPr>
                <w:rFonts w:ascii="Arial" w:eastAsia="Times New Roman" w:hAnsi="Arial" w:cs="Arial"/>
                <w:b/>
                <w:bCs/>
                <w:color w:val="000000"/>
                <w:sz w:val="16"/>
                <w:szCs w:val="16"/>
                <w:lang w:eastAsia="sl-SI"/>
              </w:rPr>
            </w:pPr>
          </w:p>
        </w:tc>
        <w:tc>
          <w:tcPr>
            <w:tcW w:w="980" w:type="dxa"/>
            <w:vMerge/>
            <w:tcBorders>
              <w:top w:val="single" w:sz="8" w:space="0" w:color="auto"/>
              <w:left w:val="single" w:sz="4" w:space="0" w:color="auto"/>
              <w:bottom w:val="single" w:sz="8" w:space="0" w:color="000000"/>
              <w:right w:val="single" w:sz="8" w:space="0" w:color="auto"/>
            </w:tcBorders>
            <w:vAlign w:val="center"/>
            <w:hideMark/>
          </w:tcPr>
          <w:p w14:paraId="5FD6DC53" w14:textId="77777777" w:rsidR="002A7E48" w:rsidRPr="002A7E48" w:rsidRDefault="002A7E48" w:rsidP="002A7E48">
            <w:pPr>
              <w:spacing w:after="0" w:line="240" w:lineRule="auto"/>
              <w:rPr>
                <w:rFonts w:ascii="Arial" w:eastAsia="Times New Roman" w:hAnsi="Arial" w:cs="Arial"/>
                <w:b/>
                <w:bCs/>
                <w:color w:val="000000"/>
                <w:sz w:val="16"/>
                <w:szCs w:val="16"/>
                <w:lang w:eastAsia="sl-SI"/>
              </w:rPr>
            </w:pPr>
          </w:p>
        </w:tc>
        <w:tc>
          <w:tcPr>
            <w:tcW w:w="1297" w:type="dxa"/>
            <w:vMerge/>
            <w:tcBorders>
              <w:top w:val="single" w:sz="8" w:space="0" w:color="auto"/>
              <w:left w:val="single" w:sz="8" w:space="0" w:color="auto"/>
              <w:bottom w:val="single" w:sz="8" w:space="0" w:color="000000"/>
              <w:right w:val="single" w:sz="8" w:space="0" w:color="auto"/>
            </w:tcBorders>
            <w:vAlign w:val="center"/>
            <w:hideMark/>
          </w:tcPr>
          <w:p w14:paraId="50CF39E3" w14:textId="77777777" w:rsidR="002A7E48" w:rsidRPr="002A7E48" w:rsidRDefault="002A7E48" w:rsidP="002A7E48">
            <w:pPr>
              <w:spacing w:after="0" w:line="240" w:lineRule="auto"/>
              <w:rPr>
                <w:rFonts w:ascii="Arial" w:eastAsia="Times New Roman" w:hAnsi="Arial" w:cs="Arial"/>
                <w:b/>
                <w:bCs/>
                <w:color w:val="000000"/>
                <w:sz w:val="16"/>
                <w:szCs w:val="16"/>
                <w:lang w:eastAsia="sl-SI"/>
              </w:rPr>
            </w:pPr>
          </w:p>
        </w:tc>
        <w:tc>
          <w:tcPr>
            <w:tcW w:w="1183" w:type="dxa"/>
            <w:vMerge/>
            <w:tcBorders>
              <w:top w:val="single" w:sz="8" w:space="0" w:color="auto"/>
              <w:left w:val="single" w:sz="8" w:space="0" w:color="auto"/>
              <w:bottom w:val="single" w:sz="8" w:space="0" w:color="000000"/>
              <w:right w:val="nil"/>
            </w:tcBorders>
            <w:vAlign w:val="center"/>
            <w:hideMark/>
          </w:tcPr>
          <w:p w14:paraId="38EC9C39" w14:textId="77777777" w:rsidR="002A7E48" w:rsidRPr="002A7E48" w:rsidRDefault="002A7E48" w:rsidP="002A7E48">
            <w:pPr>
              <w:spacing w:after="0" w:line="240" w:lineRule="auto"/>
              <w:rPr>
                <w:rFonts w:ascii="Arial" w:eastAsia="Times New Roman" w:hAnsi="Arial" w:cs="Arial"/>
                <w:b/>
                <w:bCs/>
                <w:color w:val="000000"/>
                <w:sz w:val="16"/>
                <w:szCs w:val="16"/>
                <w:lang w:eastAsia="sl-SI"/>
              </w:rPr>
            </w:pPr>
          </w:p>
        </w:tc>
        <w:tc>
          <w:tcPr>
            <w:tcW w:w="856" w:type="dxa"/>
            <w:vMerge/>
            <w:tcBorders>
              <w:top w:val="single" w:sz="8" w:space="0" w:color="auto"/>
              <w:left w:val="single" w:sz="4" w:space="0" w:color="auto"/>
              <w:bottom w:val="single" w:sz="8" w:space="0" w:color="000000"/>
              <w:right w:val="single" w:sz="8" w:space="0" w:color="auto"/>
            </w:tcBorders>
            <w:vAlign w:val="center"/>
            <w:hideMark/>
          </w:tcPr>
          <w:p w14:paraId="6831F99E" w14:textId="77777777" w:rsidR="002A7E48" w:rsidRPr="002A7E48" w:rsidRDefault="002A7E48" w:rsidP="002A7E48">
            <w:pPr>
              <w:spacing w:after="0" w:line="240" w:lineRule="auto"/>
              <w:rPr>
                <w:rFonts w:ascii="Arial" w:eastAsia="Times New Roman" w:hAnsi="Arial" w:cs="Arial"/>
                <w:b/>
                <w:bCs/>
                <w:color w:val="000000"/>
                <w:sz w:val="16"/>
                <w:szCs w:val="16"/>
                <w:lang w:eastAsia="sl-SI"/>
              </w:rPr>
            </w:pPr>
          </w:p>
        </w:tc>
        <w:tc>
          <w:tcPr>
            <w:tcW w:w="1183" w:type="dxa"/>
            <w:vMerge/>
            <w:tcBorders>
              <w:top w:val="single" w:sz="8" w:space="0" w:color="auto"/>
              <w:left w:val="single" w:sz="8" w:space="0" w:color="auto"/>
              <w:bottom w:val="single" w:sz="8" w:space="0" w:color="000000"/>
              <w:right w:val="nil"/>
            </w:tcBorders>
            <w:vAlign w:val="center"/>
            <w:hideMark/>
          </w:tcPr>
          <w:p w14:paraId="6042041A" w14:textId="77777777" w:rsidR="002A7E48" w:rsidRPr="002A7E48" w:rsidRDefault="002A7E48" w:rsidP="002A7E48">
            <w:pPr>
              <w:spacing w:after="0" w:line="240" w:lineRule="auto"/>
              <w:rPr>
                <w:rFonts w:ascii="Arial" w:eastAsia="Times New Roman" w:hAnsi="Arial" w:cs="Arial"/>
                <w:b/>
                <w:bCs/>
                <w:color w:val="000000"/>
                <w:sz w:val="16"/>
                <w:szCs w:val="16"/>
                <w:lang w:eastAsia="sl-SI"/>
              </w:rPr>
            </w:pPr>
          </w:p>
        </w:tc>
        <w:tc>
          <w:tcPr>
            <w:tcW w:w="866" w:type="dxa"/>
            <w:vMerge/>
            <w:tcBorders>
              <w:top w:val="single" w:sz="8" w:space="0" w:color="auto"/>
              <w:left w:val="single" w:sz="4" w:space="0" w:color="auto"/>
              <w:bottom w:val="single" w:sz="8" w:space="0" w:color="000000"/>
              <w:right w:val="single" w:sz="8" w:space="0" w:color="auto"/>
            </w:tcBorders>
            <w:vAlign w:val="center"/>
            <w:hideMark/>
          </w:tcPr>
          <w:p w14:paraId="5FA45440" w14:textId="77777777" w:rsidR="002A7E48" w:rsidRPr="002A7E48" w:rsidRDefault="002A7E48" w:rsidP="002A7E48">
            <w:pPr>
              <w:spacing w:after="0" w:line="240" w:lineRule="auto"/>
              <w:rPr>
                <w:rFonts w:ascii="Arial" w:eastAsia="Times New Roman" w:hAnsi="Arial" w:cs="Arial"/>
                <w:b/>
                <w:bCs/>
                <w:color w:val="000000"/>
                <w:sz w:val="16"/>
                <w:szCs w:val="16"/>
                <w:lang w:eastAsia="sl-SI"/>
              </w:rPr>
            </w:pPr>
          </w:p>
        </w:tc>
        <w:tc>
          <w:tcPr>
            <w:tcW w:w="1183" w:type="dxa"/>
            <w:vMerge/>
            <w:tcBorders>
              <w:top w:val="single" w:sz="8" w:space="0" w:color="auto"/>
              <w:left w:val="single" w:sz="8" w:space="0" w:color="auto"/>
              <w:bottom w:val="single" w:sz="8" w:space="0" w:color="000000"/>
              <w:right w:val="nil"/>
            </w:tcBorders>
            <w:vAlign w:val="center"/>
            <w:hideMark/>
          </w:tcPr>
          <w:p w14:paraId="3E41104A" w14:textId="77777777" w:rsidR="002A7E48" w:rsidRPr="002A7E48" w:rsidRDefault="002A7E48" w:rsidP="002A7E48">
            <w:pPr>
              <w:spacing w:after="0" w:line="240" w:lineRule="auto"/>
              <w:rPr>
                <w:rFonts w:ascii="Arial" w:eastAsia="Times New Roman" w:hAnsi="Arial" w:cs="Arial"/>
                <w:b/>
                <w:bCs/>
                <w:color w:val="000000"/>
                <w:sz w:val="16"/>
                <w:szCs w:val="16"/>
                <w:lang w:eastAsia="sl-SI"/>
              </w:rPr>
            </w:pPr>
          </w:p>
        </w:tc>
        <w:tc>
          <w:tcPr>
            <w:tcW w:w="866" w:type="dxa"/>
            <w:vMerge/>
            <w:tcBorders>
              <w:top w:val="single" w:sz="8" w:space="0" w:color="auto"/>
              <w:left w:val="single" w:sz="4" w:space="0" w:color="auto"/>
              <w:bottom w:val="single" w:sz="8" w:space="0" w:color="000000"/>
              <w:right w:val="single" w:sz="8" w:space="0" w:color="auto"/>
            </w:tcBorders>
            <w:vAlign w:val="center"/>
            <w:hideMark/>
          </w:tcPr>
          <w:p w14:paraId="611AB615" w14:textId="77777777" w:rsidR="002A7E48" w:rsidRPr="002A7E48" w:rsidRDefault="002A7E48" w:rsidP="002A7E48">
            <w:pPr>
              <w:spacing w:after="0" w:line="240" w:lineRule="auto"/>
              <w:rPr>
                <w:rFonts w:ascii="Arial" w:eastAsia="Times New Roman" w:hAnsi="Arial" w:cs="Arial"/>
                <w:b/>
                <w:bCs/>
                <w:color w:val="000000"/>
                <w:sz w:val="16"/>
                <w:szCs w:val="16"/>
                <w:lang w:eastAsia="sl-SI"/>
              </w:rPr>
            </w:pPr>
          </w:p>
        </w:tc>
      </w:tr>
      <w:tr w:rsidR="002A7E48" w:rsidRPr="002A7E48" w14:paraId="552983D6" w14:textId="77777777" w:rsidTr="0042240D">
        <w:trPr>
          <w:trHeight w:val="209"/>
        </w:trPr>
        <w:tc>
          <w:tcPr>
            <w:tcW w:w="355" w:type="dxa"/>
            <w:vMerge w:val="restart"/>
            <w:tcBorders>
              <w:top w:val="nil"/>
              <w:left w:val="single" w:sz="8" w:space="0" w:color="auto"/>
              <w:bottom w:val="single" w:sz="8" w:space="0" w:color="000000"/>
              <w:right w:val="single" w:sz="4" w:space="0" w:color="auto"/>
            </w:tcBorders>
            <w:shd w:val="clear" w:color="auto" w:fill="auto"/>
            <w:noWrap/>
            <w:vAlign w:val="bottom"/>
            <w:hideMark/>
          </w:tcPr>
          <w:p w14:paraId="1016B6A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w:t>
            </w:r>
          </w:p>
        </w:tc>
        <w:tc>
          <w:tcPr>
            <w:tcW w:w="557" w:type="dxa"/>
            <w:tcBorders>
              <w:top w:val="nil"/>
              <w:left w:val="nil"/>
              <w:bottom w:val="single" w:sz="4" w:space="0" w:color="auto"/>
              <w:right w:val="single" w:sz="4" w:space="0" w:color="auto"/>
            </w:tcBorders>
            <w:shd w:val="clear" w:color="auto" w:fill="auto"/>
            <w:noWrap/>
            <w:vAlign w:val="bottom"/>
            <w:hideMark/>
          </w:tcPr>
          <w:p w14:paraId="526A0A6B"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ESRR</w:t>
            </w:r>
          </w:p>
        </w:tc>
        <w:tc>
          <w:tcPr>
            <w:tcW w:w="980" w:type="dxa"/>
            <w:tcBorders>
              <w:top w:val="nil"/>
              <w:left w:val="nil"/>
              <w:bottom w:val="single" w:sz="4" w:space="0" w:color="auto"/>
              <w:right w:val="nil"/>
            </w:tcBorders>
            <w:shd w:val="clear" w:color="auto" w:fill="auto"/>
            <w:noWrap/>
            <w:vAlign w:val="bottom"/>
            <w:hideMark/>
          </w:tcPr>
          <w:p w14:paraId="491E9E56"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Vzhod</w:t>
            </w:r>
          </w:p>
        </w:tc>
        <w:tc>
          <w:tcPr>
            <w:tcW w:w="1297" w:type="dxa"/>
            <w:tcBorders>
              <w:top w:val="nil"/>
              <w:left w:val="single" w:sz="8" w:space="0" w:color="auto"/>
              <w:bottom w:val="single" w:sz="4" w:space="0" w:color="auto"/>
              <w:right w:val="nil"/>
            </w:tcBorders>
            <w:shd w:val="clear" w:color="auto" w:fill="auto"/>
            <w:noWrap/>
            <w:vAlign w:val="bottom"/>
            <w:hideMark/>
          </w:tcPr>
          <w:p w14:paraId="36AD1F8F"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283.678.684</w:t>
            </w:r>
          </w:p>
        </w:tc>
        <w:tc>
          <w:tcPr>
            <w:tcW w:w="1183" w:type="dxa"/>
            <w:tcBorders>
              <w:top w:val="nil"/>
              <w:left w:val="single" w:sz="8" w:space="0" w:color="auto"/>
              <w:bottom w:val="single" w:sz="4" w:space="0" w:color="auto"/>
              <w:right w:val="single" w:sz="4" w:space="0" w:color="auto"/>
            </w:tcBorders>
            <w:shd w:val="clear" w:color="auto" w:fill="auto"/>
            <w:noWrap/>
            <w:vAlign w:val="bottom"/>
            <w:hideMark/>
          </w:tcPr>
          <w:p w14:paraId="2AA09461"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273.591.402</w:t>
            </w:r>
          </w:p>
        </w:tc>
        <w:tc>
          <w:tcPr>
            <w:tcW w:w="856" w:type="dxa"/>
            <w:tcBorders>
              <w:top w:val="nil"/>
              <w:left w:val="nil"/>
              <w:bottom w:val="single" w:sz="4" w:space="0" w:color="auto"/>
              <w:right w:val="single" w:sz="8" w:space="0" w:color="auto"/>
            </w:tcBorders>
            <w:shd w:val="clear" w:color="auto" w:fill="auto"/>
            <w:noWrap/>
            <w:vAlign w:val="bottom"/>
            <w:hideMark/>
          </w:tcPr>
          <w:p w14:paraId="6D692880"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96%</w:t>
            </w:r>
          </w:p>
        </w:tc>
        <w:tc>
          <w:tcPr>
            <w:tcW w:w="1183" w:type="dxa"/>
            <w:tcBorders>
              <w:top w:val="nil"/>
              <w:left w:val="nil"/>
              <w:bottom w:val="single" w:sz="4" w:space="0" w:color="auto"/>
              <w:right w:val="single" w:sz="4" w:space="0" w:color="auto"/>
            </w:tcBorders>
            <w:shd w:val="clear" w:color="auto" w:fill="auto"/>
            <w:noWrap/>
            <w:vAlign w:val="bottom"/>
            <w:hideMark/>
          </w:tcPr>
          <w:p w14:paraId="7643997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267.876.245</w:t>
            </w:r>
          </w:p>
        </w:tc>
        <w:tc>
          <w:tcPr>
            <w:tcW w:w="866" w:type="dxa"/>
            <w:tcBorders>
              <w:top w:val="nil"/>
              <w:left w:val="nil"/>
              <w:bottom w:val="single" w:sz="4" w:space="0" w:color="auto"/>
              <w:right w:val="single" w:sz="8" w:space="0" w:color="auto"/>
            </w:tcBorders>
            <w:shd w:val="clear" w:color="auto" w:fill="auto"/>
            <w:noWrap/>
            <w:vAlign w:val="bottom"/>
            <w:hideMark/>
          </w:tcPr>
          <w:p w14:paraId="1A63DB94"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94%</w:t>
            </w:r>
          </w:p>
        </w:tc>
        <w:tc>
          <w:tcPr>
            <w:tcW w:w="1183" w:type="dxa"/>
            <w:tcBorders>
              <w:top w:val="nil"/>
              <w:left w:val="nil"/>
              <w:bottom w:val="single" w:sz="4" w:space="0" w:color="auto"/>
              <w:right w:val="nil"/>
            </w:tcBorders>
            <w:shd w:val="clear" w:color="auto" w:fill="auto"/>
            <w:noWrap/>
            <w:vAlign w:val="bottom"/>
            <w:hideMark/>
          </w:tcPr>
          <w:p w14:paraId="03EB72CB"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237.870.175</w:t>
            </w:r>
          </w:p>
        </w:tc>
        <w:tc>
          <w:tcPr>
            <w:tcW w:w="866" w:type="dxa"/>
            <w:tcBorders>
              <w:top w:val="nil"/>
              <w:left w:val="single" w:sz="4" w:space="0" w:color="auto"/>
              <w:bottom w:val="single" w:sz="4" w:space="0" w:color="auto"/>
              <w:right w:val="single" w:sz="8" w:space="0" w:color="auto"/>
            </w:tcBorders>
            <w:shd w:val="clear" w:color="auto" w:fill="auto"/>
            <w:noWrap/>
            <w:vAlign w:val="bottom"/>
            <w:hideMark/>
          </w:tcPr>
          <w:p w14:paraId="7A9F87CC"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84%</w:t>
            </w:r>
          </w:p>
        </w:tc>
      </w:tr>
      <w:tr w:rsidR="002A7E48" w:rsidRPr="002A7E48" w14:paraId="149185DA" w14:textId="77777777" w:rsidTr="0042240D">
        <w:trPr>
          <w:trHeight w:val="220"/>
        </w:trPr>
        <w:tc>
          <w:tcPr>
            <w:tcW w:w="355" w:type="dxa"/>
            <w:vMerge/>
            <w:tcBorders>
              <w:top w:val="nil"/>
              <w:left w:val="single" w:sz="8" w:space="0" w:color="auto"/>
              <w:bottom w:val="single" w:sz="8" w:space="0" w:color="000000"/>
              <w:right w:val="single" w:sz="4" w:space="0" w:color="auto"/>
            </w:tcBorders>
            <w:vAlign w:val="center"/>
            <w:hideMark/>
          </w:tcPr>
          <w:p w14:paraId="34B383C8" w14:textId="77777777" w:rsidR="002A7E48" w:rsidRPr="002A7E48" w:rsidRDefault="002A7E48" w:rsidP="002A7E48">
            <w:pPr>
              <w:spacing w:after="0" w:line="240" w:lineRule="auto"/>
              <w:rPr>
                <w:rFonts w:ascii="Arial" w:eastAsia="Times New Roman" w:hAnsi="Arial" w:cs="Arial"/>
                <w:color w:val="000000"/>
                <w:sz w:val="16"/>
                <w:szCs w:val="16"/>
                <w:lang w:eastAsia="sl-SI"/>
              </w:rPr>
            </w:pPr>
          </w:p>
        </w:tc>
        <w:tc>
          <w:tcPr>
            <w:tcW w:w="557" w:type="dxa"/>
            <w:tcBorders>
              <w:top w:val="nil"/>
              <w:left w:val="nil"/>
              <w:bottom w:val="single" w:sz="8" w:space="0" w:color="auto"/>
              <w:right w:val="single" w:sz="4" w:space="0" w:color="auto"/>
            </w:tcBorders>
            <w:shd w:val="clear" w:color="auto" w:fill="auto"/>
            <w:noWrap/>
            <w:vAlign w:val="bottom"/>
            <w:hideMark/>
          </w:tcPr>
          <w:p w14:paraId="65D35DBB"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ESRR</w:t>
            </w:r>
          </w:p>
        </w:tc>
        <w:tc>
          <w:tcPr>
            <w:tcW w:w="980" w:type="dxa"/>
            <w:tcBorders>
              <w:top w:val="nil"/>
              <w:left w:val="nil"/>
              <w:bottom w:val="single" w:sz="8" w:space="0" w:color="auto"/>
              <w:right w:val="nil"/>
            </w:tcBorders>
            <w:shd w:val="clear" w:color="auto" w:fill="auto"/>
            <w:noWrap/>
            <w:vAlign w:val="bottom"/>
            <w:hideMark/>
          </w:tcPr>
          <w:p w14:paraId="78BFB31C"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Zahod</w:t>
            </w:r>
          </w:p>
        </w:tc>
        <w:tc>
          <w:tcPr>
            <w:tcW w:w="1297" w:type="dxa"/>
            <w:tcBorders>
              <w:top w:val="nil"/>
              <w:left w:val="single" w:sz="8" w:space="0" w:color="auto"/>
              <w:bottom w:val="single" w:sz="8" w:space="0" w:color="auto"/>
              <w:right w:val="nil"/>
            </w:tcBorders>
            <w:shd w:val="clear" w:color="auto" w:fill="auto"/>
            <w:noWrap/>
            <w:vAlign w:val="bottom"/>
            <w:hideMark/>
          </w:tcPr>
          <w:p w14:paraId="6D4733C1"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214.608.166</w:t>
            </w:r>
          </w:p>
        </w:tc>
        <w:tc>
          <w:tcPr>
            <w:tcW w:w="1183" w:type="dxa"/>
            <w:tcBorders>
              <w:top w:val="nil"/>
              <w:left w:val="single" w:sz="8" w:space="0" w:color="auto"/>
              <w:bottom w:val="single" w:sz="8" w:space="0" w:color="auto"/>
              <w:right w:val="single" w:sz="4" w:space="0" w:color="auto"/>
            </w:tcBorders>
            <w:shd w:val="clear" w:color="auto" w:fill="auto"/>
            <w:noWrap/>
            <w:vAlign w:val="bottom"/>
            <w:hideMark/>
          </w:tcPr>
          <w:p w14:paraId="5F99533F"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226.981.839</w:t>
            </w:r>
          </w:p>
        </w:tc>
        <w:tc>
          <w:tcPr>
            <w:tcW w:w="856" w:type="dxa"/>
            <w:tcBorders>
              <w:top w:val="nil"/>
              <w:left w:val="nil"/>
              <w:bottom w:val="single" w:sz="8" w:space="0" w:color="auto"/>
              <w:right w:val="single" w:sz="8" w:space="0" w:color="auto"/>
            </w:tcBorders>
            <w:shd w:val="clear" w:color="auto" w:fill="auto"/>
            <w:noWrap/>
            <w:vAlign w:val="bottom"/>
            <w:hideMark/>
          </w:tcPr>
          <w:p w14:paraId="181B7387"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106%</w:t>
            </w:r>
          </w:p>
        </w:tc>
        <w:tc>
          <w:tcPr>
            <w:tcW w:w="1183" w:type="dxa"/>
            <w:tcBorders>
              <w:top w:val="nil"/>
              <w:left w:val="nil"/>
              <w:bottom w:val="single" w:sz="8" w:space="0" w:color="auto"/>
              <w:right w:val="single" w:sz="4" w:space="0" w:color="auto"/>
            </w:tcBorders>
            <w:shd w:val="clear" w:color="auto" w:fill="auto"/>
            <w:noWrap/>
            <w:vAlign w:val="bottom"/>
            <w:hideMark/>
          </w:tcPr>
          <w:p w14:paraId="702BBB23"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232.976.691</w:t>
            </w:r>
          </w:p>
        </w:tc>
        <w:tc>
          <w:tcPr>
            <w:tcW w:w="866" w:type="dxa"/>
            <w:tcBorders>
              <w:top w:val="nil"/>
              <w:left w:val="nil"/>
              <w:bottom w:val="single" w:sz="8" w:space="0" w:color="auto"/>
              <w:right w:val="single" w:sz="8" w:space="0" w:color="auto"/>
            </w:tcBorders>
            <w:shd w:val="clear" w:color="auto" w:fill="auto"/>
            <w:noWrap/>
            <w:vAlign w:val="bottom"/>
            <w:hideMark/>
          </w:tcPr>
          <w:p w14:paraId="58B7174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109%</w:t>
            </w:r>
          </w:p>
        </w:tc>
        <w:tc>
          <w:tcPr>
            <w:tcW w:w="1183" w:type="dxa"/>
            <w:tcBorders>
              <w:top w:val="nil"/>
              <w:left w:val="nil"/>
              <w:bottom w:val="single" w:sz="8" w:space="0" w:color="auto"/>
              <w:right w:val="nil"/>
            </w:tcBorders>
            <w:shd w:val="clear" w:color="auto" w:fill="auto"/>
            <w:noWrap/>
            <w:vAlign w:val="bottom"/>
            <w:hideMark/>
          </w:tcPr>
          <w:p w14:paraId="0305492E"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208.412.101</w:t>
            </w:r>
          </w:p>
        </w:tc>
        <w:tc>
          <w:tcPr>
            <w:tcW w:w="866" w:type="dxa"/>
            <w:tcBorders>
              <w:top w:val="nil"/>
              <w:left w:val="single" w:sz="4" w:space="0" w:color="auto"/>
              <w:bottom w:val="single" w:sz="8" w:space="0" w:color="auto"/>
              <w:right w:val="single" w:sz="8" w:space="0" w:color="auto"/>
            </w:tcBorders>
            <w:shd w:val="clear" w:color="auto" w:fill="auto"/>
            <w:noWrap/>
            <w:vAlign w:val="bottom"/>
            <w:hideMark/>
          </w:tcPr>
          <w:p w14:paraId="7CD50E4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97%</w:t>
            </w:r>
          </w:p>
        </w:tc>
      </w:tr>
      <w:tr w:rsidR="002A7E48" w:rsidRPr="002A7E48" w14:paraId="23375A46" w14:textId="77777777" w:rsidTr="0042240D">
        <w:trPr>
          <w:trHeight w:val="220"/>
        </w:trPr>
        <w:tc>
          <w:tcPr>
            <w:tcW w:w="355" w:type="dxa"/>
            <w:vMerge w:val="restart"/>
            <w:tcBorders>
              <w:top w:val="nil"/>
              <w:left w:val="single" w:sz="8" w:space="0" w:color="auto"/>
              <w:bottom w:val="single" w:sz="8" w:space="0" w:color="000000"/>
              <w:right w:val="single" w:sz="4" w:space="0" w:color="auto"/>
            </w:tcBorders>
            <w:shd w:val="clear" w:color="auto" w:fill="auto"/>
            <w:noWrap/>
            <w:vAlign w:val="bottom"/>
            <w:hideMark/>
          </w:tcPr>
          <w:p w14:paraId="2DC8AE53"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w:t>
            </w:r>
          </w:p>
        </w:tc>
        <w:tc>
          <w:tcPr>
            <w:tcW w:w="557" w:type="dxa"/>
            <w:tcBorders>
              <w:top w:val="nil"/>
              <w:left w:val="nil"/>
              <w:bottom w:val="single" w:sz="4" w:space="0" w:color="auto"/>
              <w:right w:val="single" w:sz="4" w:space="0" w:color="auto"/>
            </w:tcBorders>
            <w:shd w:val="clear" w:color="auto" w:fill="auto"/>
            <w:noWrap/>
            <w:vAlign w:val="bottom"/>
            <w:hideMark/>
          </w:tcPr>
          <w:p w14:paraId="06D46D7D"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ESRR</w:t>
            </w:r>
          </w:p>
        </w:tc>
        <w:tc>
          <w:tcPr>
            <w:tcW w:w="980" w:type="dxa"/>
            <w:tcBorders>
              <w:top w:val="nil"/>
              <w:left w:val="nil"/>
              <w:bottom w:val="single" w:sz="4" w:space="0" w:color="auto"/>
              <w:right w:val="nil"/>
            </w:tcBorders>
            <w:shd w:val="clear" w:color="auto" w:fill="auto"/>
            <w:noWrap/>
            <w:vAlign w:val="bottom"/>
            <w:hideMark/>
          </w:tcPr>
          <w:p w14:paraId="1E7904E4"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Vzhod</w:t>
            </w:r>
          </w:p>
        </w:tc>
        <w:tc>
          <w:tcPr>
            <w:tcW w:w="1297" w:type="dxa"/>
            <w:tcBorders>
              <w:top w:val="nil"/>
              <w:left w:val="single" w:sz="8" w:space="0" w:color="auto"/>
              <w:bottom w:val="single" w:sz="4" w:space="0" w:color="auto"/>
              <w:right w:val="nil"/>
            </w:tcBorders>
            <w:shd w:val="clear" w:color="auto" w:fill="auto"/>
            <w:noWrap/>
            <w:vAlign w:val="bottom"/>
            <w:hideMark/>
          </w:tcPr>
          <w:p w14:paraId="23BD6650"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25.371.237</w:t>
            </w:r>
          </w:p>
        </w:tc>
        <w:tc>
          <w:tcPr>
            <w:tcW w:w="1183" w:type="dxa"/>
            <w:tcBorders>
              <w:top w:val="nil"/>
              <w:left w:val="single" w:sz="8" w:space="0" w:color="auto"/>
              <w:bottom w:val="single" w:sz="4" w:space="0" w:color="auto"/>
              <w:right w:val="single" w:sz="4" w:space="0" w:color="auto"/>
            </w:tcBorders>
            <w:shd w:val="clear" w:color="auto" w:fill="auto"/>
            <w:noWrap/>
            <w:vAlign w:val="bottom"/>
            <w:hideMark/>
          </w:tcPr>
          <w:p w14:paraId="340AC97B"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24.732.392</w:t>
            </w:r>
          </w:p>
        </w:tc>
        <w:tc>
          <w:tcPr>
            <w:tcW w:w="856" w:type="dxa"/>
            <w:tcBorders>
              <w:top w:val="nil"/>
              <w:left w:val="nil"/>
              <w:bottom w:val="single" w:sz="4" w:space="0" w:color="auto"/>
              <w:right w:val="single" w:sz="8" w:space="0" w:color="auto"/>
            </w:tcBorders>
            <w:shd w:val="clear" w:color="auto" w:fill="auto"/>
            <w:noWrap/>
            <w:vAlign w:val="bottom"/>
            <w:hideMark/>
          </w:tcPr>
          <w:p w14:paraId="1CE032E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97%</w:t>
            </w:r>
          </w:p>
        </w:tc>
        <w:tc>
          <w:tcPr>
            <w:tcW w:w="1183" w:type="dxa"/>
            <w:tcBorders>
              <w:top w:val="nil"/>
              <w:left w:val="nil"/>
              <w:bottom w:val="single" w:sz="4" w:space="0" w:color="auto"/>
              <w:right w:val="single" w:sz="4" w:space="0" w:color="auto"/>
            </w:tcBorders>
            <w:shd w:val="clear" w:color="auto" w:fill="auto"/>
            <w:noWrap/>
            <w:vAlign w:val="bottom"/>
            <w:hideMark/>
          </w:tcPr>
          <w:p w14:paraId="600E6D43"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25.059.821</w:t>
            </w:r>
          </w:p>
        </w:tc>
        <w:tc>
          <w:tcPr>
            <w:tcW w:w="866" w:type="dxa"/>
            <w:tcBorders>
              <w:top w:val="nil"/>
              <w:left w:val="nil"/>
              <w:bottom w:val="single" w:sz="4" w:space="0" w:color="auto"/>
              <w:right w:val="single" w:sz="8" w:space="0" w:color="auto"/>
            </w:tcBorders>
            <w:shd w:val="clear" w:color="auto" w:fill="auto"/>
            <w:noWrap/>
            <w:vAlign w:val="bottom"/>
            <w:hideMark/>
          </w:tcPr>
          <w:p w14:paraId="248281E7"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99%</w:t>
            </w:r>
          </w:p>
        </w:tc>
        <w:tc>
          <w:tcPr>
            <w:tcW w:w="1183" w:type="dxa"/>
            <w:tcBorders>
              <w:top w:val="nil"/>
              <w:left w:val="nil"/>
              <w:bottom w:val="single" w:sz="4" w:space="0" w:color="auto"/>
              <w:right w:val="nil"/>
            </w:tcBorders>
            <w:shd w:val="clear" w:color="auto" w:fill="auto"/>
            <w:noWrap/>
            <w:vAlign w:val="bottom"/>
            <w:hideMark/>
          </w:tcPr>
          <w:p w14:paraId="3DBE373C"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14.178.327</w:t>
            </w:r>
          </w:p>
        </w:tc>
        <w:tc>
          <w:tcPr>
            <w:tcW w:w="866" w:type="dxa"/>
            <w:tcBorders>
              <w:top w:val="nil"/>
              <w:left w:val="single" w:sz="4" w:space="0" w:color="auto"/>
              <w:bottom w:val="single" w:sz="4" w:space="0" w:color="auto"/>
              <w:right w:val="single" w:sz="8" w:space="0" w:color="auto"/>
            </w:tcBorders>
            <w:shd w:val="clear" w:color="auto" w:fill="auto"/>
            <w:noWrap/>
            <w:vAlign w:val="bottom"/>
            <w:hideMark/>
          </w:tcPr>
          <w:p w14:paraId="4559DB1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56%</w:t>
            </w:r>
          </w:p>
        </w:tc>
      </w:tr>
      <w:tr w:rsidR="002A7E48" w:rsidRPr="002A7E48" w14:paraId="4BA0D1BD" w14:textId="77777777" w:rsidTr="0042240D">
        <w:trPr>
          <w:trHeight w:val="220"/>
        </w:trPr>
        <w:tc>
          <w:tcPr>
            <w:tcW w:w="355" w:type="dxa"/>
            <w:vMerge/>
            <w:tcBorders>
              <w:top w:val="nil"/>
              <w:left w:val="single" w:sz="8" w:space="0" w:color="auto"/>
              <w:bottom w:val="single" w:sz="8" w:space="0" w:color="000000"/>
              <w:right w:val="single" w:sz="4" w:space="0" w:color="auto"/>
            </w:tcBorders>
            <w:vAlign w:val="center"/>
            <w:hideMark/>
          </w:tcPr>
          <w:p w14:paraId="1D8F0380" w14:textId="77777777" w:rsidR="002A7E48" w:rsidRPr="002A7E48" w:rsidRDefault="002A7E48" w:rsidP="002A7E48">
            <w:pPr>
              <w:spacing w:after="0" w:line="240" w:lineRule="auto"/>
              <w:rPr>
                <w:rFonts w:ascii="Arial" w:eastAsia="Times New Roman" w:hAnsi="Arial" w:cs="Arial"/>
                <w:color w:val="000000"/>
                <w:sz w:val="16"/>
                <w:szCs w:val="16"/>
                <w:lang w:eastAsia="sl-SI"/>
              </w:rPr>
            </w:pPr>
          </w:p>
        </w:tc>
        <w:tc>
          <w:tcPr>
            <w:tcW w:w="557" w:type="dxa"/>
            <w:tcBorders>
              <w:top w:val="nil"/>
              <w:left w:val="nil"/>
              <w:bottom w:val="single" w:sz="8" w:space="0" w:color="auto"/>
              <w:right w:val="single" w:sz="4" w:space="0" w:color="auto"/>
            </w:tcBorders>
            <w:shd w:val="clear" w:color="auto" w:fill="auto"/>
            <w:noWrap/>
            <w:vAlign w:val="bottom"/>
            <w:hideMark/>
          </w:tcPr>
          <w:p w14:paraId="128617B3"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ESRR</w:t>
            </w:r>
          </w:p>
        </w:tc>
        <w:tc>
          <w:tcPr>
            <w:tcW w:w="980" w:type="dxa"/>
            <w:tcBorders>
              <w:top w:val="nil"/>
              <w:left w:val="nil"/>
              <w:bottom w:val="single" w:sz="8" w:space="0" w:color="auto"/>
              <w:right w:val="nil"/>
            </w:tcBorders>
            <w:shd w:val="clear" w:color="auto" w:fill="auto"/>
            <w:noWrap/>
            <w:vAlign w:val="bottom"/>
            <w:hideMark/>
          </w:tcPr>
          <w:p w14:paraId="3D47EB78"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Zahod</w:t>
            </w:r>
          </w:p>
        </w:tc>
        <w:tc>
          <w:tcPr>
            <w:tcW w:w="1297" w:type="dxa"/>
            <w:tcBorders>
              <w:top w:val="nil"/>
              <w:left w:val="single" w:sz="8" w:space="0" w:color="auto"/>
              <w:bottom w:val="nil"/>
              <w:right w:val="nil"/>
            </w:tcBorders>
            <w:shd w:val="clear" w:color="auto" w:fill="auto"/>
            <w:noWrap/>
            <w:vAlign w:val="bottom"/>
            <w:hideMark/>
          </w:tcPr>
          <w:p w14:paraId="0B213257"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17.617.745</w:t>
            </w:r>
          </w:p>
        </w:tc>
        <w:tc>
          <w:tcPr>
            <w:tcW w:w="1183" w:type="dxa"/>
            <w:tcBorders>
              <w:top w:val="nil"/>
              <w:left w:val="single" w:sz="8" w:space="0" w:color="auto"/>
              <w:bottom w:val="nil"/>
              <w:right w:val="single" w:sz="4" w:space="0" w:color="auto"/>
            </w:tcBorders>
            <w:shd w:val="clear" w:color="auto" w:fill="auto"/>
            <w:noWrap/>
            <w:vAlign w:val="bottom"/>
            <w:hideMark/>
          </w:tcPr>
          <w:p w14:paraId="1394DB9F"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18.842.190</w:t>
            </w:r>
          </w:p>
        </w:tc>
        <w:tc>
          <w:tcPr>
            <w:tcW w:w="856" w:type="dxa"/>
            <w:tcBorders>
              <w:top w:val="nil"/>
              <w:left w:val="nil"/>
              <w:bottom w:val="nil"/>
              <w:right w:val="single" w:sz="8" w:space="0" w:color="auto"/>
            </w:tcBorders>
            <w:shd w:val="clear" w:color="auto" w:fill="auto"/>
            <w:noWrap/>
            <w:vAlign w:val="bottom"/>
            <w:hideMark/>
          </w:tcPr>
          <w:p w14:paraId="50BA161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107%</w:t>
            </w:r>
          </w:p>
        </w:tc>
        <w:tc>
          <w:tcPr>
            <w:tcW w:w="1183" w:type="dxa"/>
            <w:tcBorders>
              <w:top w:val="nil"/>
              <w:left w:val="nil"/>
              <w:bottom w:val="nil"/>
              <w:right w:val="single" w:sz="4" w:space="0" w:color="auto"/>
            </w:tcBorders>
            <w:shd w:val="clear" w:color="auto" w:fill="auto"/>
            <w:noWrap/>
            <w:vAlign w:val="bottom"/>
            <w:hideMark/>
          </w:tcPr>
          <w:p w14:paraId="0DEE341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18.275.419</w:t>
            </w:r>
          </w:p>
        </w:tc>
        <w:tc>
          <w:tcPr>
            <w:tcW w:w="866" w:type="dxa"/>
            <w:tcBorders>
              <w:top w:val="nil"/>
              <w:left w:val="nil"/>
              <w:bottom w:val="nil"/>
              <w:right w:val="single" w:sz="8" w:space="0" w:color="auto"/>
            </w:tcBorders>
            <w:shd w:val="clear" w:color="auto" w:fill="auto"/>
            <w:noWrap/>
            <w:vAlign w:val="bottom"/>
            <w:hideMark/>
          </w:tcPr>
          <w:p w14:paraId="065137FE"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104%</w:t>
            </w:r>
          </w:p>
        </w:tc>
        <w:tc>
          <w:tcPr>
            <w:tcW w:w="1183" w:type="dxa"/>
            <w:tcBorders>
              <w:top w:val="nil"/>
              <w:left w:val="nil"/>
              <w:bottom w:val="single" w:sz="8" w:space="0" w:color="auto"/>
              <w:right w:val="nil"/>
            </w:tcBorders>
            <w:shd w:val="clear" w:color="auto" w:fill="auto"/>
            <w:noWrap/>
            <w:vAlign w:val="bottom"/>
            <w:hideMark/>
          </w:tcPr>
          <w:p w14:paraId="74DDB262"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11.962.803</w:t>
            </w:r>
          </w:p>
        </w:tc>
        <w:tc>
          <w:tcPr>
            <w:tcW w:w="866" w:type="dxa"/>
            <w:tcBorders>
              <w:top w:val="nil"/>
              <w:left w:val="single" w:sz="4" w:space="0" w:color="auto"/>
              <w:bottom w:val="single" w:sz="8" w:space="0" w:color="auto"/>
              <w:right w:val="single" w:sz="8" w:space="0" w:color="auto"/>
            </w:tcBorders>
            <w:shd w:val="clear" w:color="auto" w:fill="auto"/>
            <w:noWrap/>
            <w:vAlign w:val="bottom"/>
            <w:hideMark/>
          </w:tcPr>
          <w:p w14:paraId="781152C2"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68%</w:t>
            </w:r>
          </w:p>
        </w:tc>
      </w:tr>
      <w:tr w:rsidR="002A7E48" w:rsidRPr="002A7E48" w14:paraId="46233B2F" w14:textId="77777777" w:rsidTr="0042240D">
        <w:trPr>
          <w:trHeight w:val="220"/>
        </w:trPr>
        <w:tc>
          <w:tcPr>
            <w:tcW w:w="355" w:type="dxa"/>
            <w:vMerge w:val="restart"/>
            <w:tcBorders>
              <w:top w:val="nil"/>
              <w:left w:val="single" w:sz="8" w:space="0" w:color="auto"/>
              <w:bottom w:val="single" w:sz="8" w:space="0" w:color="000000"/>
              <w:right w:val="single" w:sz="4" w:space="0" w:color="auto"/>
            </w:tcBorders>
            <w:shd w:val="clear" w:color="auto" w:fill="auto"/>
            <w:noWrap/>
            <w:vAlign w:val="bottom"/>
            <w:hideMark/>
          </w:tcPr>
          <w:p w14:paraId="739B23D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w:t>
            </w:r>
          </w:p>
        </w:tc>
        <w:tc>
          <w:tcPr>
            <w:tcW w:w="557" w:type="dxa"/>
            <w:tcBorders>
              <w:top w:val="nil"/>
              <w:left w:val="nil"/>
              <w:bottom w:val="single" w:sz="4" w:space="0" w:color="auto"/>
              <w:right w:val="single" w:sz="4" w:space="0" w:color="auto"/>
            </w:tcBorders>
            <w:shd w:val="clear" w:color="auto" w:fill="auto"/>
            <w:noWrap/>
            <w:vAlign w:val="bottom"/>
            <w:hideMark/>
          </w:tcPr>
          <w:p w14:paraId="21BAC354"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ESRR</w:t>
            </w:r>
          </w:p>
        </w:tc>
        <w:tc>
          <w:tcPr>
            <w:tcW w:w="980" w:type="dxa"/>
            <w:tcBorders>
              <w:top w:val="nil"/>
              <w:left w:val="nil"/>
              <w:bottom w:val="single" w:sz="4" w:space="0" w:color="auto"/>
              <w:right w:val="nil"/>
            </w:tcBorders>
            <w:shd w:val="clear" w:color="auto" w:fill="auto"/>
            <w:noWrap/>
            <w:vAlign w:val="bottom"/>
            <w:hideMark/>
          </w:tcPr>
          <w:p w14:paraId="14E4274A"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Vzhod</w:t>
            </w:r>
          </w:p>
        </w:tc>
        <w:tc>
          <w:tcPr>
            <w:tcW w:w="1297" w:type="dxa"/>
            <w:tcBorders>
              <w:top w:val="single" w:sz="8" w:space="0" w:color="auto"/>
              <w:left w:val="single" w:sz="8" w:space="0" w:color="auto"/>
              <w:bottom w:val="single" w:sz="4" w:space="0" w:color="auto"/>
              <w:right w:val="nil"/>
            </w:tcBorders>
            <w:shd w:val="clear" w:color="auto" w:fill="auto"/>
            <w:noWrap/>
            <w:vAlign w:val="bottom"/>
            <w:hideMark/>
          </w:tcPr>
          <w:p w14:paraId="0FC3F71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263.228.743</w:t>
            </w:r>
          </w:p>
        </w:tc>
        <w:tc>
          <w:tcPr>
            <w:tcW w:w="1183"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6BEAB91E"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352.472.057</w:t>
            </w:r>
          </w:p>
        </w:tc>
        <w:tc>
          <w:tcPr>
            <w:tcW w:w="856" w:type="dxa"/>
            <w:tcBorders>
              <w:top w:val="single" w:sz="8" w:space="0" w:color="auto"/>
              <w:left w:val="nil"/>
              <w:bottom w:val="single" w:sz="4" w:space="0" w:color="auto"/>
              <w:right w:val="single" w:sz="8" w:space="0" w:color="auto"/>
            </w:tcBorders>
            <w:shd w:val="clear" w:color="auto" w:fill="auto"/>
            <w:noWrap/>
            <w:vAlign w:val="bottom"/>
            <w:hideMark/>
          </w:tcPr>
          <w:p w14:paraId="26CCA19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134%</w:t>
            </w:r>
          </w:p>
        </w:tc>
        <w:tc>
          <w:tcPr>
            <w:tcW w:w="1183" w:type="dxa"/>
            <w:tcBorders>
              <w:top w:val="single" w:sz="8" w:space="0" w:color="auto"/>
              <w:left w:val="nil"/>
              <w:bottom w:val="single" w:sz="4" w:space="0" w:color="auto"/>
              <w:right w:val="single" w:sz="4" w:space="0" w:color="auto"/>
            </w:tcBorders>
            <w:shd w:val="clear" w:color="auto" w:fill="auto"/>
            <w:noWrap/>
            <w:vAlign w:val="bottom"/>
            <w:hideMark/>
          </w:tcPr>
          <w:p w14:paraId="13601B10"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325.650.325</w:t>
            </w:r>
          </w:p>
        </w:tc>
        <w:tc>
          <w:tcPr>
            <w:tcW w:w="866" w:type="dxa"/>
            <w:tcBorders>
              <w:top w:val="single" w:sz="8" w:space="0" w:color="auto"/>
              <w:left w:val="nil"/>
              <w:bottom w:val="single" w:sz="4" w:space="0" w:color="auto"/>
              <w:right w:val="single" w:sz="8" w:space="0" w:color="auto"/>
            </w:tcBorders>
            <w:shd w:val="clear" w:color="auto" w:fill="auto"/>
            <w:noWrap/>
            <w:vAlign w:val="bottom"/>
            <w:hideMark/>
          </w:tcPr>
          <w:p w14:paraId="68FAFC4B"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124%</w:t>
            </w:r>
          </w:p>
        </w:tc>
        <w:tc>
          <w:tcPr>
            <w:tcW w:w="1183" w:type="dxa"/>
            <w:tcBorders>
              <w:top w:val="nil"/>
              <w:left w:val="nil"/>
              <w:bottom w:val="single" w:sz="4" w:space="0" w:color="auto"/>
              <w:right w:val="nil"/>
            </w:tcBorders>
            <w:shd w:val="clear" w:color="auto" w:fill="auto"/>
            <w:noWrap/>
            <w:vAlign w:val="bottom"/>
            <w:hideMark/>
          </w:tcPr>
          <w:p w14:paraId="7FADAE05"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299.479.547</w:t>
            </w:r>
          </w:p>
        </w:tc>
        <w:tc>
          <w:tcPr>
            <w:tcW w:w="866" w:type="dxa"/>
            <w:tcBorders>
              <w:top w:val="nil"/>
              <w:left w:val="single" w:sz="4" w:space="0" w:color="auto"/>
              <w:bottom w:val="single" w:sz="4" w:space="0" w:color="auto"/>
              <w:right w:val="single" w:sz="8" w:space="0" w:color="auto"/>
            </w:tcBorders>
            <w:shd w:val="clear" w:color="auto" w:fill="auto"/>
            <w:noWrap/>
            <w:vAlign w:val="bottom"/>
            <w:hideMark/>
          </w:tcPr>
          <w:p w14:paraId="44FA01C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114%</w:t>
            </w:r>
          </w:p>
        </w:tc>
      </w:tr>
      <w:tr w:rsidR="002A7E48" w:rsidRPr="002A7E48" w14:paraId="43777AF1" w14:textId="77777777" w:rsidTr="0042240D">
        <w:trPr>
          <w:trHeight w:val="220"/>
        </w:trPr>
        <w:tc>
          <w:tcPr>
            <w:tcW w:w="355" w:type="dxa"/>
            <w:vMerge/>
            <w:tcBorders>
              <w:top w:val="nil"/>
              <w:left w:val="single" w:sz="8" w:space="0" w:color="auto"/>
              <w:bottom w:val="single" w:sz="8" w:space="0" w:color="000000"/>
              <w:right w:val="single" w:sz="4" w:space="0" w:color="auto"/>
            </w:tcBorders>
            <w:vAlign w:val="center"/>
            <w:hideMark/>
          </w:tcPr>
          <w:p w14:paraId="50A258A2" w14:textId="77777777" w:rsidR="002A7E48" w:rsidRPr="002A7E48" w:rsidRDefault="002A7E48" w:rsidP="002A7E48">
            <w:pPr>
              <w:spacing w:after="0" w:line="240" w:lineRule="auto"/>
              <w:rPr>
                <w:rFonts w:ascii="Arial" w:eastAsia="Times New Roman" w:hAnsi="Arial" w:cs="Arial"/>
                <w:color w:val="000000"/>
                <w:sz w:val="16"/>
                <w:szCs w:val="16"/>
                <w:lang w:eastAsia="sl-SI"/>
              </w:rPr>
            </w:pPr>
          </w:p>
        </w:tc>
        <w:tc>
          <w:tcPr>
            <w:tcW w:w="557" w:type="dxa"/>
            <w:tcBorders>
              <w:top w:val="nil"/>
              <w:left w:val="nil"/>
              <w:bottom w:val="single" w:sz="8" w:space="0" w:color="auto"/>
              <w:right w:val="single" w:sz="4" w:space="0" w:color="auto"/>
            </w:tcBorders>
            <w:shd w:val="clear" w:color="auto" w:fill="auto"/>
            <w:noWrap/>
            <w:vAlign w:val="bottom"/>
            <w:hideMark/>
          </w:tcPr>
          <w:p w14:paraId="7F2F2187"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ESRR</w:t>
            </w:r>
          </w:p>
        </w:tc>
        <w:tc>
          <w:tcPr>
            <w:tcW w:w="980" w:type="dxa"/>
            <w:tcBorders>
              <w:top w:val="nil"/>
              <w:left w:val="nil"/>
              <w:bottom w:val="single" w:sz="8" w:space="0" w:color="auto"/>
              <w:right w:val="nil"/>
            </w:tcBorders>
            <w:shd w:val="clear" w:color="auto" w:fill="auto"/>
            <w:noWrap/>
            <w:vAlign w:val="bottom"/>
            <w:hideMark/>
          </w:tcPr>
          <w:p w14:paraId="4E2640B6"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Zahod</w:t>
            </w:r>
          </w:p>
        </w:tc>
        <w:tc>
          <w:tcPr>
            <w:tcW w:w="1297" w:type="dxa"/>
            <w:tcBorders>
              <w:top w:val="nil"/>
              <w:left w:val="single" w:sz="8" w:space="0" w:color="auto"/>
              <w:bottom w:val="single" w:sz="8" w:space="0" w:color="auto"/>
              <w:right w:val="nil"/>
            </w:tcBorders>
            <w:shd w:val="clear" w:color="auto" w:fill="auto"/>
            <w:noWrap/>
            <w:vAlign w:val="bottom"/>
            <w:hideMark/>
          </w:tcPr>
          <w:p w14:paraId="2C8D6BF2"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164.157.114</w:t>
            </w:r>
          </w:p>
        </w:tc>
        <w:tc>
          <w:tcPr>
            <w:tcW w:w="1183" w:type="dxa"/>
            <w:tcBorders>
              <w:top w:val="nil"/>
              <w:left w:val="single" w:sz="8" w:space="0" w:color="auto"/>
              <w:bottom w:val="single" w:sz="8" w:space="0" w:color="auto"/>
              <w:right w:val="single" w:sz="4" w:space="0" w:color="auto"/>
            </w:tcBorders>
            <w:shd w:val="clear" w:color="auto" w:fill="auto"/>
            <w:noWrap/>
            <w:vAlign w:val="bottom"/>
            <w:hideMark/>
          </w:tcPr>
          <w:p w14:paraId="4872F6FC"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247.775.689</w:t>
            </w:r>
          </w:p>
        </w:tc>
        <w:tc>
          <w:tcPr>
            <w:tcW w:w="856" w:type="dxa"/>
            <w:tcBorders>
              <w:top w:val="nil"/>
              <w:left w:val="nil"/>
              <w:bottom w:val="single" w:sz="8" w:space="0" w:color="auto"/>
              <w:right w:val="single" w:sz="8" w:space="0" w:color="auto"/>
            </w:tcBorders>
            <w:shd w:val="clear" w:color="auto" w:fill="auto"/>
            <w:noWrap/>
            <w:vAlign w:val="bottom"/>
            <w:hideMark/>
          </w:tcPr>
          <w:p w14:paraId="7D79F3B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151%</w:t>
            </w:r>
          </w:p>
        </w:tc>
        <w:tc>
          <w:tcPr>
            <w:tcW w:w="1183" w:type="dxa"/>
            <w:tcBorders>
              <w:top w:val="nil"/>
              <w:left w:val="nil"/>
              <w:bottom w:val="single" w:sz="8" w:space="0" w:color="auto"/>
              <w:right w:val="single" w:sz="4" w:space="0" w:color="auto"/>
            </w:tcBorders>
            <w:shd w:val="clear" w:color="auto" w:fill="auto"/>
            <w:noWrap/>
            <w:vAlign w:val="bottom"/>
            <w:hideMark/>
          </w:tcPr>
          <w:p w14:paraId="4A88A3D4"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236.785.834</w:t>
            </w:r>
          </w:p>
        </w:tc>
        <w:tc>
          <w:tcPr>
            <w:tcW w:w="866" w:type="dxa"/>
            <w:tcBorders>
              <w:top w:val="nil"/>
              <w:left w:val="nil"/>
              <w:bottom w:val="single" w:sz="8" w:space="0" w:color="auto"/>
              <w:right w:val="single" w:sz="8" w:space="0" w:color="auto"/>
            </w:tcBorders>
            <w:shd w:val="clear" w:color="auto" w:fill="auto"/>
            <w:noWrap/>
            <w:vAlign w:val="bottom"/>
            <w:hideMark/>
          </w:tcPr>
          <w:p w14:paraId="7701D3C1"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144%</w:t>
            </w:r>
          </w:p>
        </w:tc>
        <w:tc>
          <w:tcPr>
            <w:tcW w:w="1183" w:type="dxa"/>
            <w:tcBorders>
              <w:top w:val="nil"/>
              <w:left w:val="nil"/>
              <w:bottom w:val="single" w:sz="8" w:space="0" w:color="auto"/>
              <w:right w:val="nil"/>
            </w:tcBorders>
            <w:shd w:val="clear" w:color="auto" w:fill="auto"/>
            <w:noWrap/>
            <w:vAlign w:val="bottom"/>
            <w:hideMark/>
          </w:tcPr>
          <w:p w14:paraId="1C2587DB"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222.688.010</w:t>
            </w:r>
          </w:p>
        </w:tc>
        <w:tc>
          <w:tcPr>
            <w:tcW w:w="866" w:type="dxa"/>
            <w:tcBorders>
              <w:top w:val="nil"/>
              <w:left w:val="single" w:sz="4" w:space="0" w:color="auto"/>
              <w:bottom w:val="single" w:sz="8" w:space="0" w:color="auto"/>
              <w:right w:val="single" w:sz="8" w:space="0" w:color="auto"/>
            </w:tcBorders>
            <w:shd w:val="clear" w:color="auto" w:fill="auto"/>
            <w:noWrap/>
            <w:vAlign w:val="bottom"/>
            <w:hideMark/>
          </w:tcPr>
          <w:p w14:paraId="66D9900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136%</w:t>
            </w:r>
          </w:p>
        </w:tc>
      </w:tr>
      <w:tr w:rsidR="002A7E48" w:rsidRPr="002A7E48" w14:paraId="40D156A2" w14:textId="77777777" w:rsidTr="0042240D">
        <w:trPr>
          <w:trHeight w:val="220"/>
        </w:trPr>
        <w:tc>
          <w:tcPr>
            <w:tcW w:w="355" w:type="dxa"/>
            <w:vMerge w:val="restart"/>
            <w:tcBorders>
              <w:top w:val="nil"/>
              <w:left w:val="single" w:sz="8" w:space="0" w:color="auto"/>
              <w:bottom w:val="single" w:sz="8" w:space="0" w:color="000000"/>
              <w:right w:val="single" w:sz="4" w:space="0" w:color="auto"/>
            </w:tcBorders>
            <w:shd w:val="clear" w:color="auto" w:fill="auto"/>
            <w:noWrap/>
            <w:vAlign w:val="bottom"/>
            <w:hideMark/>
          </w:tcPr>
          <w:p w14:paraId="59B448F0"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4</w:t>
            </w:r>
          </w:p>
        </w:tc>
        <w:tc>
          <w:tcPr>
            <w:tcW w:w="557" w:type="dxa"/>
            <w:tcBorders>
              <w:top w:val="nil"/>
              <w:left w:val="nil"/>
              <w:bottom w:val="single" w:sz="4" w:space="0" w:color="auto"/>
              <w:right w:val="single" w:sz="4" w:space="0" w:color="auto"/>
            </w:tcBorders>
            <w:shd w:val="clear" w:color="auto" w:fill="auto"/>
            <w:noWrap/>
            <w:vAlign w:val="bottom"/>
            <w:hideMark/>
          </w:tcPr>
          <w:p w14:paraId="745F13C6"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KS</w:t>
            </w:r>
          </w:p>
        </w:tc>
        <w:tc>
          <w:tcPr>
            <w:tcW w:w="980" w:type="dxa"/>
            <w:tcBorders>
              <w:top w:val="nil"/>
              <w:left w:val="nil"/>
              <w:bottom w:val="single" w:sz="4" w:space="0" w:color="auto"/>
              <w:right w:val="nil"/>
            </w:tcBorders>
            <w:shd w:val="clear" w:color="auto" w:fill="auto"/>
            <w:noWrap/>
            <w:vAlign w:val="bottom"/>
            <w:hideMark/>
          </w:tcPr>
          <w:p w14:paraId="7E86850B"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Celotna SI</w:t>
            </w:r>
          </w:p>
        </w:tc>
        <w:tc>
          <w:tcPr>
            <w:tcW w:w="1297" w:type="dxa"/>
            <w:tcBorders>
              <w:top w:val="nil"/>
              <w:left w:val="single" w:sz="8" w:space="0" w:color="auto"/>
              <w:bottom w:val="single" w:sz="4" w:space="0" w:color="auto"/>
              <w:right w:val="nil"/>
            </w:tcBorders>
            <w:shd w:val="clear" w:color="auto" w:fill="auto"/>
            <w:noWrap/>
            <w:vAlign w:val="bottom"/>
            <w:hideMark/>
          </w:tcPr>
          <w:p w14:paraId="09AAE96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238.015.650</w:t>
            </w:r>
          </w:p>
        </w:tc>
        <w:tc>
          <w:tcPr>
            <w:tcW w:w="1183" w:type="dxa"/>
            <w:tcBorders>
              <w:top w:val="nil"/>
              <w:left w:val="single" w:sz="8" w:space="0" w:color="auto"/>
              <w:bottom w:val="single" w:sz="4" w:space="0" w:color="auto"/>
              <w:right w:val="single" w:sz="4" w:space="0" w:color="auto"/>
            </w:tcBorders>
            <w:shd w:val="clear" w:color="auto" w:fill="auto"/>
            <w:noWrap/>
            <w:vAlign w:val="bottom"/>
            <w:hideMark/>
          </w:tcPr>
          <w:p w14:paraId="7CC94911"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276.024.833</w:t>
            </w:r>
          </w:p>
        </w:tc>
        <w:tc>
          <w:tcPr>
            <w:tcW w:w="856" w:type="dxa"/>
            <w:tcBorders>
              <w:top w:val="nil"/>
              <w:left w:val="nil"/>
              <w:bottom w:val="single" w:sz="4" w:space="0" w:color="auto"/>
              <w:right w:val="single" w:sz="8" w:space="0" w:color="auto"/>
            </w:tcBorders>
            <w:shd w:val="clear" w:color="auto" w:fill="auto"/>
            <w:noWrap/>
            <w:vAlign w:val="bottom"/>
            <w:hideMark/>
          </w:tcPr>
          <w:p w14:paraId="51050EE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116%</w:t>
            </w:r>
          </w:p>
        </w:tc>
        <w:tc>
          <w:tcPr>
            <w:tcW w:w="1183" w:type="dxa"/>
            <w:tcBorders>
              <w:top w:val="nil"/>
              <w:left w:val="nil"/>
              <w:bottom w:val="single" w:sz="4" w:space="0" w:color="auto"/>
              <w:right w:val="single" w:sz="4" w:space="0" w:color="auto"/>
            </w:tcBorders>
            <w:shd w:val="clear" w:color="auto" w:fill="auto"/>
            <w:noWrap/>
            <w:vAlign w:val="bottom"/>
            <w:hideMark/>
          </w:tcPr>
          <w:p w14:paraId="4A19AC54"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192.959.213</w:t>
            </w:r>
          </w:p>
        </w:tc>
        <w:tc>
          <w:tcPr>
            <w:tcW w:w="866" w:type="dxa"/>
            <w:tcBorders>
              <w:top w:val="nil"/>
              <w:left w:val="nil"/>
              <w:bottom w:val="single" w:sz="4" w:space="0" w:color="auto"/>
              <w:right w:val="single" w:sz="8" w:space="0" w:color="auto"/>
            </w:tcBorders>
            <w:shd w:val="clear" w:color="auto" w:fill="auto"/>
            <w:noWrap/>
            <w:vAlign w:val="bottom"/>
            <w:hideMark/>
          </w:tcPr>
          <w:p w14:paraId="55F4E862"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81%</w:t>
            </w:r>
          </w:p>
        </w:tc>
        <w:tc>
          <w:tcPr>
            <w:tcW w:w="1183" w:type="dxa"/>
            <w:tcBorders>
              <w:top w:val="nil"/>
              <w:left w:val="nil"/>
              <w:bottom w:val="single" w:sz="4" w:space="0" w:color="auto"/>
              <w:right w:val="nil"/>
            </w:tcBorders>
            <w:shd w:val="clear" w:color="auto" w:fill="auto"/>
            <w:noWrap/>
            <w:vAlign w:val="bottom"/>
            <w:hideMark/>
          </w:tcPr>
          <w:p w14:paraId="2F83D79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135.208.982</w:t>
            </w:r>
          </w:p>
        </w:tc>
        <w:tc>
          <w:tcPr>
            <w:tcW w:w="866" w:type="dxa"/>
            <w:tcBorders>
              <w:top w:val="nil"/>
              <w:left w:val="single" w:sz="4" w:space="0" w:color="auto"/>
              <w:bottom w:val="single" w:sz="4" w:space="0" w:color="auto"/>
              <w:right w:val="single" w:sz="8" w:space="0" w:color="auto"/>
            </w:tcBorders>
            <w:shd w:val="clear" w:color="auto" w:fill="auto"/>
            <w:noWrap/>
            <w:vAlign w:val="bottom"/>
            <w:hideMark/>
          </w:tcPr>
          <w:p w14:paraId="6FF2631E"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57%</w:t>
            </w:r>
          </w:p>
        </w:tc>
      </w:tr>
      <w:tr w:rsidR="002A7E48" w:rsidRPr="002A7E48" w14:paraId="17EB02BC" w14:textId="77777777" w:rsidTr="0042240D">
        <w:trPr>
          <w:trHeight w:val="220"/>
        </w:trPr>
        <w:tc>
          <w:tcPr>
            <w:tcW w:w="355" w:type="dxa"/>
            <w:vMerge/>
            <w:tcBorders>
              <w:top w:val="nil"/>
              <w:left w:val="single" w:sz="8" w:space="0" w:color="auto"/>
              <w:bottom w:val="single" w:sz="8" w:space="0" w:color="000000"/>
              <w:right w:val="single" w:sz="4" w:space="0" w:color="auto"/>
            </w:tcBorders>
            <w:vAlign w:val="center"/>
            <w:hideMark/>
          </w:tcPr>
          <w:p w14:paraId="39F54B82" w14:textId="77777777" w:rsidR="002A7E48" w:rsidRPr="002A7E48" w:rsidRDefault="002A7E48" w:rsidP="002A7E48">
            <w:pPr>
              <w:spacing w:after="0" w:line="240" w:lineRule="auto"/>
              <w:rPr>
                <w:rFonts w:ascii="Arial" w:eastAsia="Times New Roman" w:hAnsi="Arial" w:cs="Arial"/>
                <w:color w:val="000000"/>
                <w:sz w:val="16"/>
                <w:szCs w:val="16"/>
                <w:lang w:eastAsia="sl-SI"/>
              </w:rPr>
            </w:pPr>
          </w:p>
        </w:tc>
        <w:tc>
          <w:tcPr>
            <w:tcW w:w="557" w:type="dxa"/>
            <w:tcBorders>
              <w:top w:val="nil"/>
              <w:left w:val="nil"/>
              <w:bottom w:val="single" w:sz="4" w:space="0" w:color="auto"/>
              <w:right w:val="single" w:sz="4" w:space="0" w:color="auto"/>
            </w:tcBorders>
            <w:shd w:val="clear" w:color="auto" w:fill="auto"/>
            <w:noWrap/>
            <w:vAlign w:val="bottom"/>
            <w:hideMark/>
          </w:tcPr>
          <w:p w14:paraId="125E9F15"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ESRR</w:t>
            </w:r>
          </w:p>
        </w:tc>
        <w:tc>
          <w:tcPr>
            <w:tcW w:w="980" w:type="dxa"/>
            <w:tcBorders>
              <w:top w:val="nil"/>
              <w:left w:val="nil"/>
              <w:bottom w:val="single" w:sz="4" w:space="0" w:color="auto"/>
              <w:right w:val="nil"/>
            </w:tcBorders>
            <w:shd w:val="clear" w:color="auto" w:fill="auto"/>
            <w:noWrap/>
            <w:vAlign w:val="bottom"/>
            <w:hideMark/>
          </w:tcPr>
          <w:p w14:paraId="5309AED6"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Vzhod</w:t>
            </w:r>
          </w:p>
        </w:tc>
        <w:tc>
          <w:tcPr>
            <w:tcW w:w="1297" w:type="dxa"/>
            <w:tcBorders>
              <w:top w:val="nil"/>
              <w:left w:val="single" w:sz="8" w:space="0" w:color="auto"/>
              <w:bottom w:val="single" w:sz="4" w:space="0" w:color="auto"/>
              <w:right w:val="nil"/>
            </w:tcBorders>
            <w:shd w:val="clear" w:color="auto" w:fill="auto"/>
            <w:noWrap/>
            <w:vAlign w:val="bottom"/>
            <w:hideMark/>
          </w:tcPr>
          <w:p w14:paraId="3585292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26.099.288</w:t>
            </w:r>
          </w:p>
        </w:tc>
        <w:tc>
          <w:tcPr>
            <w:tcW w:w="1183" w:type="dxa"/>
            <w:tcBorders>
              <w:top w:val="nil"/>
              <w:left w:val="single" w:sz="8" w:space="0" w:color="auto"/>
              <w:bottom w:val="single" w:sz="4" w:space="0" w:color="auto"/>
              <w:right w:val="single" w:sz="4" w:space="0" w:color="auto"/>
            </w:tcBorders>
            <w:shd w:val="clear" w:color="auto" w:fill="auto"/>
            <w:noWrap/>
            <w:vAlign w:val="bottom"/>
            <w:hideMark/>
          </w:tcPr>
          <w:p w14:paraId="508875B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70.382.436</w:t>
            </w:r>
          </w:p>
        </w:tc>
        <w:tc>
          <w:tcPr>
            <w:tcW w:w="856" w:type="dxa"/>
            <w:tcBorders>
              <w:top w:val="nil"/>
              <w:left w:val="nil"/>
              <w:bottom w:val="single" w:sz="4" w:space="0" w:color="auto"/>
              <w:right w:val="single" w:sz="8" w:space="0" w:color="auto"/>
            </w:tcBorders>
            <w:shd w:val="clear" w:color="auto" w:fill="auto"/>
            <w:noWrap/>
            <w:vAlign w:val="bottom"/>
            <w:hideMark/>
          </w:tcPr>
          <w:p w14:paraId="1E19B2D2"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270%</w:t>
            </w:r>
          </w:p>
        </w:tc>
        <w:tc>
          <w:tcPr>
            <w:tcW w:w="1183" w:type="dxa"/>
            <w:tcBorders>
              <w:top w:val="nil"/>
              <w:left w:val="nil"/>
              <w:bottom w:val="single" w:sz="4" w:space="0" w:color="auto"/>
              <w:right w:val="single" w:sz="4" w:space="0" w:color="auto"/>
            </w:tcBorders>
            <w:shd w:val="clear" w:color="auto" w:fill="auto"/>
            <w:noWrap/>
            <w:vAlign w:val="bottom"/>
            <w:hideMark/>
          </w:tcPr>
          <w:p w14:paraId="5AEDEFF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70.455.862</w:t>
            </w:r>
          </w:p>
        </w:tc>
        <w:tc>
          <w:tcPr>
            <w:tcW w:w="866" w:type="dxa"/>
            <w:tcBorders>
              <w:top w:val="nil"/>
              <w:left w:val="nil"/>
              <w:bottom w:val="single" w:sz="4" w:space="0" w:color="auto"/>
              <w:right w:val="single" w:sz="8" w:space="0" w:color="auto"/>
            </w:tcBorders>
            <w:shd w:val="clear" w:color="auto" w:fill="auto"/>
            <w:noWrap/>
            <w:vAlign w:val="bottom"/>
            <w:hideMark/>
          </w:tcPr>
          <w:p w14:paraId="751CA49C"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270%</w:t>
            </w:r>
          </w:p>
        </w:tc>
        <w:tc>
          <w:tcPr>
            <w:tcW w:w="1183" w:type="dxa"/>
            <w:tcBorders>
              <w:top w:val="nil"/>
              <w:left w:val="nil"/>
              <w:bottom w:val="single" w:sz="4" w:space="0" w:color="auto"/>
              <w:right w:val="nil"/>
            </w:tcBorders>
            <w:shd w:val="clear" w:color="auto" w:fill="auto"/>
            <w:noWrap/>
            <w:vAlign w:val="bottom"/>
            <w:hideMark/>
          </w:tcPr>
          <w:p w14:paraId="66E3DD7F"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44.186.744</w:t>
            </w:r>
          </w:p>
        </w:tc>
        <w:tc>
          <w:tcPr>
            <w:tcW w:w="866" w:type="dxa"/>
            <w:tcBorders>
              <w:top w:val="nil"/>
              <w:left w:val="single" w:sz="4" w:space="0" w:color="auto"/>
              <w:bottom w:val="single" w:sz="4" w:space="0" w:color="auto"/>
              <w:right w:val="single" w:sz="8" w:space="0" w:color="auto"/>
            </w:tcBorders>
            <w:shd w:val="clear" w:color="auto" w:fill="auto"/>
            <w:noWrap/>
            <w:vAlign w:val="bottom"/>
            <w:hideMark/>
          </w:tcPr>
          <w:p w14:paraId="4EB52F79"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169%</w:t>
            </w:r>
          </w:p>
        </w:tc>
      </w:tr>
      <w:tr w:rsidR="002A7E48" w:rsidRPr="002A7E48" w14:paraId="2F27112E" w14:textId="77777777" w:rsidTr="0042240D">
        <w:trPr>
          <w:trHeight w:val="220"/>
        </w:trPr>
        <w:tc>
          <w:tcPr>
            <w:tcW w:w="355" w:type="dxa"/>
            <w:vMerge/>
            <w:tcBorders>
              <w:top w:val="nil"/>
              <w:left w:val="single" w:sz="8" w:space="0" w:color="auto"/>
              <w:bottom w:val="single" w:sz="8" w:space="0" w:color="000000"/>
              <w:right w:val="single" w:sz="4" w:space="0" w:color="auto"/>
            </w:tcBorders>
            <w:vAlign w:val="center"/>
            <w:hideMark/>
          </w:tcPr>
          <w:p w14:paraId="2DD4AE9B" w14:textId="77777777" w:rsidR="002A7E48" w:rsidRPr="002A7E48" w:rsidRDefault="002A7E48" w:rsidP="002A7E48">
            <w:pPr>
              <w:spacing w:after="0" w:line="240" w:lineRule="auto"/>
              <w:rPr>
                <w:rFonts w:ascii="Arial" w:eastAsia="Times New Roman" w:hAnsi="Arial" w:cs="Arial"/>
                <w:color w:val="000000"/>
                <w:sz w:val="16"/>
                <w:szCs w:val="16"/>
                <w:lang w:eastAsia="sl-SI"/>
              </w:rPr>
            </w:pPr>
          </w:p>
        </w:tc>
        <w:tc>
          <w:tcPr>
            <w:tcW w:w="557" w:type="dxa"/>
            <w:tcBorders>
              <w:top w:val="nil"/>
              <w:left w:val="nil"/>
              <w:bottom w:val="single" w:sz="8" w:space="0" w:color="auto"/>
              <w:right w:val="single" w:sz="4" w:space="0" w:color="auto"/>
            </w:tcBorders>
            <w:shd w:val="clear" w:color="auto" w:fill="auto"/>
            <w:noWrap/>
            <w:vAlign w:val="bottom"/>
            <w:hideMark/>
          </w:tcPr>
          <w:p w14:paraId="533B2EA6"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ESRR</w:t>
            </w:r>
          </w:p>
        </w:tc>
        <w:tc>
          <w:tcPr>
            <w:tcW w:w="980" w:type="dxa"/>
            <w:tcBorders>
              <w:top w:val="nil"/>
              <w:left w:val="nil"/>
              <w:bottom w:val="single" w:sz="8" w:space="0" w:color="auto"/>
              <w:right w:val="nil"/>
            </w:tcBorders>
            <w:shd w:val="clear" w:color="auto" w:fill="auto"/>
            <w:noWrap/>
            <w:vAlign w:val="bottom"/>
            <w:hideMark/>
          </w:tcPr>
          <w:p w14:paraId="207974F1"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Zahod</w:t>
            </w:r>
          </w:p>
        </w:tc>
        <w:tc>
          <w:tcPr>
            <w:tcW w:w="1297" w:type="dxa"/>
            <w:tcBorders>
              <w:top w:val="nil"/>
              <w:left w:val="single" w:sz="8" w:space="0" w:color="auto"/>
              <w:bottom w:val="nil"/>
              <w:right w:val="nil"/>
            </w:tcBorders>
            <w:shd w:val="clear" w:color="auto" w:fill="auto"/>
            <w:noWrap/>
            <w:vAlign w:val="bottom"/>
            <w:hideMark/>
          </w:tcPr>
          <w:p w14:paraId="6E8804D5"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17.932.912</w:t>
            </w:r>
          </w:p>
        </w:tc>
        <w:tc>
          <w:tcPr>
            <w:tcW w:w="1183" w:type="dxa"/>
            <w:tcBorders>
              <w:top w:val="nil"/>
              <w:left w:val="single" w:sz="8" w:space="0" w:color="auto"/>
              <w:bottom w:val="nil"/>
              <w:right w:val="single" w:sz="4" w:space="0" w:color="auto"/>
            </w:tcBorders>
            <w:shd w:val="clear" w:color="auto" w:fill="auto"/>
            <w:noWrap/>
            <w:vAlign w:val="bottom"/>
            <w:hideMark/>
          </w:tcPr>
          <w:p w14:paraId="732E63E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55.674.969</w:t>
            </w:r>
          </w:p>
        </w:tc>
        <w:tc>
          <w:tcPr>
            <w:tcW w:w="856" w:type="dxa"/>
            <w:tcBorders>
              <w:top w:val="nil"/>
              <w:left w:val="nil"/>
              <w:bottom w:val="nil"/>
              <w:right w:val="single" w:sz="8" w:space="0" w:color="auto"/>
            </w:tcBorders>
            <w:shd w:val="clear" w:color="auto" w:fill="auto"/>
            <w:noWrap/>
            <w:vAlign w:val="bottom"/>
            <w:hideMark/>
          </w:tcPr>
          <w:p w14:paraId="55BC6160"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310%</w:t>
            </w:r>
          </w:p>
        </w:tc>
        <w:tc>
          <w:tcPr>
            <w:tcW w:w="1183" w:type="dxa"/>
            <w:tcBorders>
              <w:top w:val="nil"/>
              <w:left w:val="nil"/>
              <w:bottom w:val="nil"/>
              <w:right w:val="single" w:sz="4" w:space="0" w:color="auto"/>
            </w:tcBorders>
            <w:shd w:val="clear" w:color="auto" w:fill="auto"/>
            <w:noWrap/>
            <w:vAlign w:val="bottom"/>
            <w:hideMark/>
          </w:tcPr>
          <w:p w14:paraId="36F0777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53.709.960</w:t>
            </w:r>
          </w:p>
        </w:tc>
        <w:tc>
          <w:tcPr>
            <w:tcW w:w="866" w:type="dxa"/>
            <w:tcBorders>
              <w:top w:val="nil"/>
              <w:left w:val="nil"/>
              <w:bottom w:val="nil"/>
              <w:right w:val="single" w:sz="8" w:space="0" w:color="auto"/>
            </w:tcBorders>
            <w:shd w:val="clear" w:color="auto" w:fill="auto"/>
            <w:noWrap/>
            <w:vAlign w:val="bottom"/>
            <w:hideMark/>
          </w:tcPr>
          <w:p w14:paraId="4223F70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300%</w:t>
            </w:r>
          </w:p>
        </w:tc>
        <w:tc>
          <w:tcPr>
            <w:tcW w:w="1183" w:type="dxa"/>
            <w:tcBorders>
              <w:top w:val="nil"/>
              <w:left w:val="nil"/>
              <w:bottom w:val="single" w:sz="8" w:space="0" w:color="auto"/>
              <w:right w:val="nil"/>
            </w:tcBorders>
            <w:shd w:val="clear" w:color="auto" w:fill="auto"/>
            <w:noWrap/>
            <w:vAlign w:val="bottom"/>
            <w:hideMark/>
          </w:tcPr>
          <w:p w14:paraId="78C8CFD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29.066.316</w:t>
            </w:r>
          </w:p>
        </w:tc>
        <w:tc>
          <w:tcPr>
            <w:tcW w:w="866" w:type="dxa"/>
            <w:tcBorders>
              <w:top w:val="nil"/>
              <w:left w:val="single" w:sz="4" w:space="0" w:color="auto"/>
              <w:bottom w:val="single" w:sz="8" w:space="0" w:color="auto"/>
              <w:right w:val="single" w:sz="8" w:space="0" w:color="auto"/>
            </w:tcBorders>
            <w:shd w:val="clear" w:color="auto" w:fill="auto"/>
            <w:noWrap/>
            <w:vAlign w:val="bottom"/>
            <w:hideMark/>
          </w:tcPr>
          <w:p w14:paraId="4ADA2E17"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162%</w:t>
            </w:r>
          </w:p>
        </w:tc>
      </w:tr>
      <w:tr w:rsidR="002A7E48" w:rsidRPr="002A7E48" w14:paraId="40170230" w14:textId="77777777" w:rsidTr="0042240D">
        <w:trPr>
          <w:trHeight w:val="220"/>
        </w:trPr>
        <w:tc>
          <w:tcPr>
            <w:tcW w:w="355" w:type="dxa"/>
            <w:vMerge w:val="restart"/>
            <w:tcBorders>
              <w:top w:val="nil"/>
              <w:left w:val="single" w:sz="8" w:space="0" w:color="auto"/>
              <w:bottom w:val="single" w:sz="8" w:space="0" w:color="000000"/>
              <w:right w:val="single" w:sz="4" w:space="0" w:color="auto"/>
            </w:tcBorders>
            <w:shd w:val="clear" w:color="auto" w:fill="auto"/>
            <w:noWrap/>
            <w:vAlign w:val="bottom"/>
            <w:hideMark/>
          </w:tcPr>
          <w:p w14:paraId="08CAEFF9"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5</w:t>
            </w:r>
          </w:p>
        </w:tc>
        <w:tc>
          <w:tcPr>
            <w:tcW w:w="557" w:type="dxa"/>
            <w:tcBorders>
              <w:top w:val="nil"/>
              <w:left w:val="nil"/>
              <w:bottom w:val="single" w:sz="4" w:space="0" w:color="auto"/>
              <w:right w:val="single" w:sz="4" w:space="0" w:color="auto"/>
            </w:tcBorders>
            <w:shd w:val="clear" w:color="auto" w:fill="auto"/>
            <w:noWrap/>
            <w:vAlign w:val="bottom"/>
            <w:hideMark/>
          </w:tcPr>
          <w:p w14:paraId="6C64EA43"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KS</w:t>
            </w:r>
          </w:p>
        </w:tc>
        <w:tc>
          <w:tcPr>
            <w:tcW w:w="980" w:type="dxa"/>
            <w:tcBorders>
              <w:top w:val="nil"/>
              <w:left w:val="nil"/>
              <w:bottom w:val="single" w:sz="4" w:space="0" w:color="auto"/>
              <w:right w:val="nil"/>
            </w:tcBorders>
            <w:shd w:val="clear" w:color="auto" w:fill="auto"/>
            <w:noWrap/>
            <w:vAlign w:val="bottom"/>
            <w:hideMark/>
          </w:tcPr>
          <w:p w14:paraId="767BFF21"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Celotna SI</w:t>
            </w:r>
          </w:p>
        </w:tc>
        <w:tc>
          <w:tcPr>
            <w:tcW w:w="1297" w:type="dxa"/>
            <w:tcBorders>
              <w:top w:val="single" w:sz="8" w:space="0" w:color="auto"/>
              <w:left w:val="single" w:sz="8" w:space="0" w:color="auto"/>
              <w:bottom w:val="single" w:sz="4" w:space="0" w:color="auto"/>
              <w:right w:val="nil"/>
            </w:tcBorders>
            <w:shd w:val="clear" w:color="auto" w:fill="auto"/>
            <w:noWrap/>
            <w:vAlign w:val="bottom"/>
            <w:hideMark/>
          </w:tcPr>
          <w:p w14:paraId="0DF77952"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56.420.616</w:t>
            </w:r>
          </w:p>
        </w:tc>
        <w:tc>
          <w:tcPr>
            <w:tcW w:w="1183"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69F5FAA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88.054.744</w:t>
            </w:r>
          </w:p>
        </w:tc>
        <w:tc>
          <w:tcPr>
            <w:tcW w:w="856" w:type="dxa"/>
            <w:tcBorders>
              <w:top w:val="single" w:sz="8" w:space="0" w:color="auto"/>
              <w:left w:val="nil"/>
              <w:bottom w:val="single" w:sz="4" w:space="0" w:color="auto"/>
              <w:right w:val="single" w:sz="8" w:space="0" w:color="auto"/>
            </w:tcBorders>
            <w:shd w:val="clear" w:color="auto" w:fill="auto"/>
            <w:noWrap/>
            <w:vAlign w:val="bottom"/>
            <w:hideMark/>
          </w:tcPr>
          <w:p w14:paraId="1C9DDDE5"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156%</w:t>
            </w:r>
          </w:p>
        </w:tc>
        <w:tc>
          <w:tcPr>
            <w:tcW w:w="1183" w:type="dxa"/>
            <w:tcBorders>
              <w:top w:val="single" w:sz="8" w:space="0" w:color="auto"/>
              <w:left w:val="nil"/>
              <w:bottom w:val="single" w:sz="4" w:space="0" w:color="auto"/>
              <w:right w:val="single" w:sz="4" w:space="0" w:color="auto"/>
            </w:tcBorders>
            <w:shd w:val="clear" w:color="auto" w:fill="auto"/>
            <w:noWrap/>
            <w:vAlign w:val="bottom"/>
            <w:hideMark/>
          </w:tcPr>
          <w:p w14:paraId="6F564C04"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68.054.744</w:t>
            </w:r>
          </w:p>
        </w:tc>
        <w:tc>
          <w:tcPr>
            <w:tcW w:w="866" w:type="dxa"/>
            <w:tcBorders>
              <w:top w:val="single" w:sz="8" w:space="0" w:color="auto"/>
              <w:left w:val="nil"/>
              <w:bottom w:val="single" w:sz="4" w:space="0" w:color="auto"/>
              <w:right w:val="single" w:sz="8" w:space="0" w:color="auto"/>
            </w:tcBorders>
            <w:shd w:val="clear" w:color="auto" w:fill="auto"/>
            <w:noWrap/>
            <w:vAlign w:val="bottom"/>
            <w:hideMark/>
          </w:tcPr>
          <w:p w14:paraId="5CAF2DA3"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121%</w:t>
            </w:r>
          </w:p>
        </w:tc>
        <w:tc>
          <w:tcPr>
            <w:tcW w:w="1183" w:type="dxa"/>
            <w:tcBorders>
              <w:top w:val="nil"/>
              <w:left w:val="nil"/>
              <w:bottom w:val="single" w:sz="4" w:space="0" w:color="auto"/>
              <w:right w:val="nil"/>
            </w:tcBorders>
            <w:shd w:val="clear" w:color="auto" w:fill="auto"/>
            <w:noWrap/>
            <w:vAlign w:val="bottom"/>
            <w:hideMark/>
          </w:tcPr>
          <w:p w14:paraId="4776AD8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24.358.736</w:t>
            </w:r>
          </w:p>
        </w:tc>
        <w:tc>
          <w:tcPr>
            <w:tcW w:w="866" w:type="dxa"/>
            <w:tcBorders>
              <w:top w:val="nil"/>
              <w:left w:val="single" w:sz="4" w:space="0" w:color="auto"/>
              <w:bottom w:val="single" w:sz="4" w:space="0" w:color="auto"/>
              <w:right w:val="single" w:sz="8" w:space="0" w:color="auto"/>
            </w:tcBorders>
            <w:shd w:val="clear" w:color="auto" w:fill="auto"/>
            <w:noWrap/>
            <w:vAlign w:val="bottom"/>
            <w:hideMark/>
          </w:tcPr>
          <w:p w14:paraId="2EEC737B"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43%</w:t>
            </w:r>
          </w:p>
        </w:tc>
      </w:tr>
      <w:tr w:rsidR="002A7E48" w:rsidRPr="002A7E48" w14:paraId="2BB439A7" w14:textId="77777777" w:rsidTr="0042240D">
        <w:trPr>
          <w:trHeight w:val="220"/>
        </w:trPr>
        <w:tc>
          <w:tcPr>
            <w:tcW w:w="355" w:type="dxa"/>
            <w:vMerge/>
            <w:tcBorders>
              <w:top w:val="nil"/>
              <w:left w:val="single" w:sz="8" w:space="0" w:color="auto"/>
              <w:bottom w:val="single" w:sz="8" w:space="0" w:color="000000"/>
              <w:right w:val="single" w:sz="4" w:space="0" w:color="auto"/>
            </w:tcBorders>
            <w:vAlign w:val="center"/>
            <w:hideMark/>
          </w:tcPr>
          <w:p w14:paraId="4DBBB05F" w14:textId="77777777" w:rsidR="002A7E48" w:rsidRPr="002A7E48" w:rsidRDefault="002A7E48" w:rsidP="002A7E48">
            <w:pPr>
              <w:spacing w:after="0" w:line="240" w:lineRule="auto"/>
              <w:rPr>
                <w:rFonts w:ascii="Arial" w:eastAsia="Times New Roman" w:hAnsi="Arial" w:cs="Arial"/>
                <w:color w:val="000000"/>
                <w:sz w:val="16"/>
                <w:szCs w:val="16"/>
                <w:lang w:eastAsia="sl-SI"/>
              </w:rPr>
            </w:pPr>
          </w:p>
        </w:tc>
        <w:tc>
          <w:tcPr>
            <w:tcW w:w="557" w:type="dxa"/>
            <w:tcBorders>
              <w:top w:val="nil"/>
              <w:left w:val="nil"/>
              <w:bottom w:val="single" w:sz="8" w:space="0" w:color="auto"/>
              <w:right w:val="single" w:sz="4" w:space="0" w:color="auto"/>
            </w:tcBorders>
            <w:shd w:val="clear" w:color="auto" w:fill="auto"/>
            <w:noWrap/>
            <w:vAlign w:val="bottom"/>
            <w:hideMark/>
          </w:tcPr>
          <w:p w14:paraId="346A0A8C"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ESRR</w:t>
            </w:r>
          </w:p>
        </w:tc>
        <w:tc>
          <w:tcPr>
            <w:tcW w:w="980" w:type="dxa"/>
            <w:tcBorders>
              <w:top w:val="nil"/>
              <w:left w:val="nil"/>
              <w:bottom w:val="single" w:sz="8" w:space="0" w:color="auto"/>
              <w:right w:val="nil"/>
            </w:tcBorders>
            <w:shd w:val="clear" w:color="auto" w:fill="auto"/>
            <w:noWrap/>
            <w:vAlign w:val="bottom"/>
            <w:hideMark/>
          </w:tcPr>
          <w:p w14:paraId="63237520"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Vzhod</w:t>
            </w:r>
          </w:p>
        </w:tc>
        <w:tc>
          <w:tcPr>
            <w:tcW w:w="1297" w:type="dxa"/>
            <w:tcBorders>
              <w:top w:val="nil"/>
              <w:left w:val="single" w:sz="8" w:space="0" w:color="auto"/>
              <w:bottom w:val="single" w:sz="8" w:space="0" w:color="auto"/>
              <w:right w:val="nil"/>
            </w:tcBorders>
            <w:shd w:val="clear" w:color="auto" w:fill="auto"/>
            <w:noWrap/>
            <w:vAlign w:val="bottom"/>
            <w:hideMark/>
          </w:tcPr>
          <w:p w14:paraId="6251256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36.385.069</w:t>
            </w:r>
          </w:p>
        </w:tc>
        <w:tc>
          <w:tcPr>
            <w:tcW w:w="1183" w:type="dxa"/>
            <w:tcBorders>
              <w:top w:val="nil"/>
              <w:left w:val="single" w:sz="8" w:space="0" w:color="auto"/>
              <w:bottom w:val="single" w:sz="8" w:space="0" w:color="auto"/>
              <w:right w:val="single" w:sz="4" w:space="0" w:color="auto"/>
            </w:tcBorders>
            <w:shd w:val="clear" w:color="auto" w:fill="auto"/>
            <w:noWrap/>
            <w:vAlign w:val="bottom"/>
            <w:hideMark/>
          </w:tcPr>
          <w:p w14:paraId="5E1536B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36.385.069</w:t>
            </w:r>
          </w:p>
        </w:tc>
        <w:tc>
          <w:tcPr>
            <w:tcW w:w="856" w:type="dxa"/>
            <w:tcBorders>
              <w:top w:val="nil"/>
              <w:left w:val="nil"/>
              <w:bottom w:val="single" w:sz="8" w:space="0" w:color="auto"/>
              <w:right w:val="single" w:sz="8" w:space="0" w:color="auto"/>
            </w:tcBorders>
            <w:shd w:val="clear" w:color="auto" w:fill="auto"/>
            <w:noWrap/>
            <w:vAlign w:val="bottom"/>
            <w:hideMark/>
          </w:tcPr>
          <w:p w14:paraId="6EE0D0D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100%</w:t>
            </w:r>
          </w:p>
        </w:tc>
        <w:tc>
          <w:tcPr>
            <w:tcW w:w="1183" w:type="dxa"/>
            <w:tcBorders>
              <w:top w:val="nil"/>
              <w:left w:val="nil"/>
              <w:bottom w:val="single" w:sz="8" w:space="0" w:color="auto"/>
              <w:right w:val="single" w:sz="4" w:space="0" w:color="auto"/>
            </w:tcBorders>
            <w:shd w:val="clear" w:color="auto" w:fill="auto"/>
            <w:noWrap/>
            <w:vAlign w:val="bottom"/>
            <w:hideMark/>
          </w:tcPr>
          <w:p w14:paraId="41B8911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36.385.069</w:t>
            </w:r>
          </w:p>
        </w:tc>
        <w:tc>
          <w:tcPr>
            <w:tcW w:w="866" w:type="dxa"/>
            <w:tcBorders>
              <w:top w:val="nil"/>
              <w:left w:val="nil"/>
              <w:bottom w:val="single" w:sz="8" w:space="0" w:color="auto"/>
              <w:right w:val="single" w:sz="8" w:space="0" w:color="auto"/>
            </w:tcBorders>
            <w:shd w:val="clear" w:color="auto" w:fill="auto"/>
            <w:noWrap/>
            <w:vAlign w:val="bottom"/>
            <w:hideMark/>
          </w:tcPr>
          <w:p w14:paraId="60A2CFD5"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100%</w:t>
            </w:r>
          </w:p>
        </w:tc>
        <w:tc>
          <w:tcPr>
            <w:tcW w:w="1183" w:type="dxa"/>
            <w:tcBorders>
              <w:top w:val="nil"/>
              <w:left w:val="nil"/>
              <w:bottom w:val="single" w:sz="8" w:space="0" w:color="auto"/>
              <w:right w:val="nil"/>
            </w:tcBorders>
            <w:shd w:val="clear" w:color="auto" w:fill="auto"/>
            <w:noWrap/>
            <w:vAlign w:val="bottom"/>
            <w:hideMark/>
          </w:tcPr>
          <w:p w14:paraId="610C0C39"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16.941.502</w:t>
            </w:r>
          </w:p>
        </w:tc>
        <w:tc>
          <w:tcPr>
            <w:tcW w:w="866" w:type="dxa"/>
            <w:tcBorders>
              <w:top w:val="nil"/>
              <w:left w:val="single" w:sz="4" w:space="0" w:color="auto"/>
              <w:bottom w:val="single" w:sz="8" w:space="0" w:color="auto"/>
              <w:right w:val="single" w:sz="8" w:space="0" w:color="auto"/>
            </w:tcBorders>
            <w:shd w:val="clear" w:color="auto" w:fill="auto"/>
            <w:noWrap/>
            <w:vAlign w:val="bottom"/>
            <w:hideMark/>
          </w:tcPr>
          <w:p w14:paraId="263DCB7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47%</w:t>
            </w:r>
          </w:p>
        </w:tc>
      </w:tr>
      <w:tr w:rsidR="002A7E48" w:rsidRPr="002A7E48" w14:paraId="0437FA41" w14:textId="77777777" w:rsidTr="0042240D">
        <w:trPr>
          <w:trHeight w:val="220"/>
        </w:trPr>
        <w:tc>
          <w:tcPr>
            <w:tcW w:w="355" w:type="dxa"/>
            <w:vMerge w:val="restart"/>
            <w:tcBorders>
              <w:top w:val="nil"/>
              <w:left w:val="single" w:sz="8" w:space="0" w:color="auto"/>
              <w:bottom w:val="single" w:sz="8" w:space="0" w:color="000000"/>
              <w:right w:val="single" w:sz="4" w:space="0" w:color="auto"/>
            </w:tcBorders>
            <w:shd w:val="clear" w:color="auto" w:fill="auto"/>
            <w:noWrap/>
            <w:vAlign w:val="bottom"/>
            <w:hideMark/>
          </w:tcPr>
          <w:p w14:paraId="3C147AD5"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6</w:t>
            </w:r>
          </w:p>
        </w:tc>
        <w:tc>
          <w:tcPr>
            <w:tcW w:w="557" w:type="dxa"/>
            <w:tcBorders>
              <w:top w:val="nil"/>
              <w:left w:val="nil"/>
              <w:bottom w:val="single" w:sz="4" w:space="0" w:color="auto"/>
              <w:right w:val="single" w:sz="4" w:space="0" w:color="auto"/>
            </w:tcBorders>
            <w:shd w:val="clear" w:color="auto" w:fill="auto"/>
            <w:noWrap/>
            <w:vAlign w:val="bottom"/>
            <w:hideMark/>
          </w:tcPr>
          <w:p w14:paraId="78B91BEF"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KS</w:t>
            </w:r>
          </w:p>
        </w:tc>
        <w:tc>
          <w:tcPr>
            <w:tcW w:w="980" w:type="dxa"/>
            <w:tcBorders>
              <w:top w:val="nil"/>
              <w:left w:val="nil"/>
              <w:bottom w:val="single" w:sz="4" w:space="0" w:color="auto"/>
              <w:right w:val="nil"/>
            </w:tcBorders>
            <w:shd w:val="clear" w:color="auto" w:fill="auto"/>
            <w:noWrap/>
            <w:vAlign w:val="bottom"/>
            <w:hideMark/>
          </w:tcPr>
          <w:p w14:paraId="7071A8DE"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Celotna SI</w:t>
            </w:r>
          </w:p>
        </w:tc>
        <w:tc>
          <w:tcPr>
            <w:tcW w:w="1297" w:type="dxa"/>
            <w:tcBorders>
              <w:top w:val="nil"/>
              <w:left w:val="single" w:sz="8" w:space="0" w:color="auto"/>
              <w:bottom w:val="single" w:sz="4" w:space="0" w:color="auto"/>
              <w:right w:val="nil"/>
            </w:tcBorders>
            <w:shd w:val="clear" w:color="auto" w:fill="auto"/>
            <w:noWrap/>
            <w:vAlign w:val="bottom"/>
            <w:hideMark/>
          </w:tcPr>
          <w:p w14:paraId="53682F07"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284.389.163</w:t>
            </w:r>
          </w:p>
        </w:tc>
        <w:tc>
          <w:tcPr>
            <w:tcW w:w="1183" w:type="dxa"/>
            <w:tcBorders>
              <w:top w:val="nil"/>
              <w:left w:val="single" w:sz="8" w:space="0" w:color="auto"/>
              <w:bottom w:val="single" w:sz="4" w:space="0" w:color="auto"/>
              <w:right w:val="single" w:sz="4" w:space="0" w:color="auto"/>
            </w:tcBorders>
            <w:shd w:val="clear" w:color="auto" w:fill="auto"/>
            <w:noWrap/>
            <w:vAlign w:val="bottom"/>
            <w:hideMark/>
          </w:tcPr>
          <w:p w14:paraId="5EE10C6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352.325.236</w:t>
            </w:r>
          </w:p>
        </w:tc>
        <w:tc>
          <w:tcPr>
            <w:tcW w:w="856" w:type="dxa"/>
            <w:tcBorders>
              <w:top w:val="nil"/>
              <w:left w:val="nil"/>
              <w:bottom w:val="single" w:sz="4" w:space="0" w:color="auto"/>
              <w:right w:val="single" w:sz="8" w:space="0" w:color="auto"/>
            </w:tcBorders>
            <w:shd w:val="clear" w:color="auto" w:fill="auto"/>
            <w:noWrap/>
            <w:vAlign w:val="bottom"/>
            <w:hideMark/>
          </w:tcPr>
          <w:p w14:paraId="7AA6156C"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124%</w:t>
            </w:r>
          </w:p>
        </w:tc>
        <w:tc>
          <w:tcPr>
            <w:tcW w:w="1183" w:type="dxa"/>
            <w:tcBorders>
              <w:top w:val="nil"/>
              <w:left w:val="nil"/>
              <w:bottom w:val="single" w:sz="4" w:space="0" w:color="auto"/>
              <w:right w:val="single" w:sz="4" w:space="0" w:color="auto"/>
            </w:tcBorders>
            <w:shd w:val="clear" w:color="auto" w:fill="auto"/>
            <w:noWrap/>
            <w:vAlign w:val="bottom"/>
            <w:hideMark/>
          </w:tcPr>
          <w:p w14:paraId="5090C50C"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317.363.498</w:t>
            </w:r>
          </w:p>
        </w:tc>
        <w:tc>
          <w:tcPr>
            <w:tcW w:w="866" w:type="dxa"/>
            <w:tcBorders>
              <w:top w:val="nil"/>
              <w:left w:val="nil"/>
              <w:bottom w:val="single" w:sz="4" w:space="0" w:color="auto"/>
              <w:right w:val="single" w:sz="8" w:space="0" w:color="auto"/>
            </w:tcBorders>
            <w:shd w:val="clear" w:color="auto" w:fill="auto"/>
            <w:noWrap/>
            <w:vAlign w:val="bottom"/>
            <w:hideMark/>
          </w:tcPr>
          <w:p w14:paraId="5CE43E17"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112%</w:t>
            </w:r>
          </w:p>
        </w:tc>
        <w:tc>
          <w:tcPr>
            <w:tcW w:w="1183" w:type="dxa"/>
            <w:tcBorders>
              <w:top w:val="nil"/>
              <w:left w:val="nil"/>
              <w:bottom w:val="single" w:sz="4" w:space="0" w:color="auto"/>
              <w:right w:val="nil"/>
            </w:tcBorders>
            <w:shd w:val="clear" w:color="auto" w:fill="auto"/>
            <w:noWrap/>
            <w:vAlign w:val="bottom"/>
            <w:hideMark/>
          </w:tcPr>
          <w:p w14:paraId="3B2EE54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239.119.585</w:t>
            </w:r>
          </w:p>
        </w:tc>
        <w:tc>
          <w:tcPr>
            <w:tcW w:w="866" w:type="dxa"/>
            <w:tcBorders>
              <w:top w:val="nil"/>
              <w:left w:val="single" w:sz="4" w:space="0" w:color="auto"/>
              <w:bottom w:val="single" w:sz="4" w:space="0" w:color="auto"/>
              <w:right w:val="single" w:sz="8" w:space="0" w:color="auto"/>
            </w:tcBorders>
            <w:shd w:val="clear" w:color="auto" w:fill="auto"/>
            <w:noWrap/>
            <w:vAlign w:val="bottom"/>
            <w:hideMark/>
          </w:tcPr>
          <w:p w14:paraId="111F98DC"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84%</w:t>
            </w:r>
          </w:p>
        </w:tc>
      </w:tr>
      <w:tr w:rsidR="002A7E48" w:rsidRPr="002A7E48" w14:paraId="625979CF" w14:textId="77777777" w:rsidTr="0042240D">
        <w:trPr>
          <w:trHeight w:val="220"/>
        </w:trPr>
        <w:tc>
          <w:tcPr>
            <w:tcW w:w="355" w:type="dxa"/>
            <w:vMerge/>
            <w:tcBorders>
              <w:top w:val="nil"/>
              <w:left w:val="single" w:sz="8" w:space="0" w:color="auto"/>
              <w:bottom w:val="single" w:sz="8" w:space="0" w:color="000000"/>
              <w:right w:val="single" w:sz="4" w:space="0" w:color="auto"/>
            </w:tcBorders>
            <w:vAlign w:val="center"/>
            <w:hideMark/>
          </w:tcPr>
          <w:p w14:paraId="72884A48" w14:textId="77777777" w:rsidR="002A7E48" w:rsidRPr="002A7E48" w:rsidRDefault="002A7E48" w:rsidP="002A7E48">
            <w:pPr>
              <w:spacing w:after="0" w:line="240" w:lineRule="auto"/>
              <w:rPr>
                <w:rFonts w:ascii="Arial" w:eastAsia="Times New Roman" w:hAnsi="Arial" w:cs="Arial"/>
                <w:color w:val="000000"/>
                <w:sz w:val="16"/>
                <w:szCs w:val="16"/>
                <w:lang w:eastAsia="sl-SI"/>
              </w:rPr>
            </w:pPr>
          </w:p>
        </w:tc>
        <w:tc>
          <w:tcPr>
            <w:tcW w:w="557" w:type="dxa"/>
            <w:tcBorders>
              <w:top w:val="nil"/>
              <w:left w:val="nil"/>
              <w:bottom w:val="single" w:sz="4" w:space="0" w:color="auto"/>
              <w:right w:val="single" w:sz="4" w:space="0" w:color="auto"/>
            </w:tcBorders>
            <w:shd w:val="clear" w:color="auto" w:fill="auto"/>
            <w:noWrap/>
            <w:vAlign w:val="bottom"/>
            <w:hideMark/>
          </w:tcPr>
          <w:p w14:paraId="71968E9C"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ESRR</w:t>
            </w:r>
          </w:p>
        </w:tc>
        <w:tc>
          <w:tcPr>
            <w:tcW w:w="980" w:type="dxa"/>
            <w:tcBorders>
              <w:top w:val="nil"/>
              <w:left w:val="nil"/>
              <w:bottom w:val="single" w:sz="4" w:space="0" w:color="auto"/>
              <w:right w:val="nil"/>
            </w:tcBorders>
            <w:shd w:val="clear" w:color="auto" w:fill="auto"/>
            <w:noWrap/>
            <w:vAlign w:val="bottom"/>
            <w:hideMark/>
          </w:tcPr>
          <w:p w14:paraId="37E9EA96"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Vzhod</w:t>
            </w:r>
          </w:p>
        </w:tc>
        <w:tc>
          <w:tcPr>
            <w:tcW w:w="1297" w:type="dxa"/>
            <w:tcBorders>
              <w:top w:val="nil"/>
              <w:left w:val="single" w:sz="8" w:space="0" w:color="auto"/>
              <w:bottom w:val="single" w:sz="4" w:space="0" w:color="auto"/>
              <w:right w:val="nil"/>
            </w:tcBorders>
            <w:shd w:val="clear" w:color="auto" w:fill="auto"/>
            <w:noWrap/>
            <w:vAlign w:val="bottom"/>
            <w:hideMark/>
          </w:tcPr>
          <w:p w14:paraId="23D95655"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100.032.755</w:t>
            </w:r>
          </w:p>
        </w:tc>
        <w:tc>
          <w:tcPr>
            <w:tcW w:w="1183" w:type="dxa"/>
            <w:tcBorders>
              <w:top w:val="nil"/>
              <w:left w:val="single" w:sz="8" w:space="0" w:color="auto"/>
              <w:bottom w:val="single" w:sz="4" w:space="0" w:color="auto"/>
              <w:right w:val="single" w:sz="4" w:space="0" w:color="auto"/>
            </w:tcBorders>
            <w:shd w:val="clear" w:color="auto" w:fill="auto"/>
            <w:noWrap/>
            <w:vAlign w:val="bottom"/>
            <w:hideMark/>
          </w:tcPr>
          <w:p w14:paraId="63D1CC8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96.441.802</w:t>
            </w:r>
          </w:p>
        </w:tc>
        <w:tc>
          <w:tcPr>
            <w:tcW w:w="856" w:type="dxa"/>
            <w:tcBorders>
              <w:top w:val="nil"/>
              <w:left w:val="nil"/>
              <w:bottom w:val="single" w:sz="4" w:space="0" w:color="auto"/>
              <w:right w:val="single" w:sz="8" w:space="0" w:color="auto"/>
            </w:tcBorders>
            <w:shd w:val="clear" w:color="auto" w:fill="auto"/>
            <w:noWrap/>
            <w:vAlign w:val="bottom"/>
            <w:hideMark/>
          </w:tcPr>
          <w:p w14:paraId="02A1169E"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96%</w:t>
            </w:r>
          </w:p>
        </w:tc>
        <w:tc>
          <w:tcPr>
            <w:tcW w:w="1183" w:type="dxa"/>
            <w:tcBorders>
              <w:top w:val="nil"/>
              <w:left w:val="nil"/>
              <w:bottom w:val="single" w:sz="4" w:space="0" w:color="auto"/>
              <w:right w:val="single" w:sz="4" w:space="0" w:color="auto"/>
            </w:tcBorders>
            <w:shd w:val="clear" w:color="auto" w:fill="auto"/>
            <w:noWrap/>
            <w:vAlign w:val="bottom"/>
            <w:hideMark/>
          </w:tcPr>
          <w:p w14:paraId="78ED5342"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91.606.845</w:t>
            </w:r>
          </w:p>
        </w:tc>
        <w:tc>
          <w:tcPr>
            <w:tcW w:w="866" w:type="dxa"/>
            <w:tcBorders>
              <w:top w:val="nil"/>
              <w:left w:val="nil"/>
              <w:bottom w:val="single" w:sz="4" w:space="0" w:color="auto"/>
              <w:right w:val="single" w:sz="8" w:space="0" w:color="auto"/>
            </w:tcBorders>
            <w:shd w:val="clear" w:color="auto" w:fill="auto"/>
            <w:noWrap/>
            <w:vAlign w:val="bottom"/>
            <w:hideMark/>
          </w:tcPr>
          <w:p w14:paraId="439FFD1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92%</w:t>
            </w:r>
          </w:p>
        </w:tc>
        <w:tc>
          <w:tcPr>
            <w:tcW w:w="1183" w:type="dxa"/>
            <w:tcBorders>
              <w:top w:val="nil"/>
              <w:left w:val="nil"/>
              <w:bottom w:val="single" w:sz="4" w:space="0" w:color="auto"/>
              <w:right w:val="nil"/>
            </w:tcBorders>
            <w:shd w:val="clear" w:color="auto" w:fill="auto"/>
            <w:noWrap/>
            <w:vAlign w:val="bottom"/>
            <w:hideMark/>
          </w:tcPr>
          <w:p w14:paraId="6BBD64B2"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72.785.421</w:t>
            </w:r>
          </w:p>
        </w:tc>
        <w:tc>
          <w:tcPr>
            <w:tcW w:w="866" w:type="dxa"/>
            <w:tcBorders>
              <w:top w:val="nil"/>
              <w:left w:val="single" w:sz="4" w:space="0" w:color="auto"/>
              <w:bottom w:val="single" w:sz="4" w:space="0" w:color="auto"/>
              <w:right w:val="single" w:sz="8" w:space="0" w:color="auto"/>
            </w:tcBorders>
            <w:shd w:val="clear" w:color="auto" w:fill="auto"/>
            <w:noWrap/>
            <w:vAlign w:val="bottom"/>
            <w:hideMark/>
          </w:tcPr>
          <w:p w14:paraId="5BCCFED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73%</w:t>
            </w:r>
          </w:p>
        </w:tc>
      </w:tr>
      <w:tr w:rsidR="002A7E48" w:rsidRPr="002A7E48" w14:paraId="4BE4F2BB" w14:textId="77777777" w:rsidTr="0042240D">
        <w:trPr>
          <w:trHeight w:val="220"/>
        </w:trPr>
        <w:tc>
          <w:tcPr>
            <w:tcW w:w="355" w:type="dxa"/>
            <w:vMerge/>
            <w:tcBorders>
              <w:top w:val="nil"/>
              <w:left w:val="single" w:sz="8" w:space="0" w:color="auto"/>
              <w:bottom w:val="single" w:sz="8" w:space="0" w:color="000000"/>
              <w:right w:val="single" w:sz="4" w:space="0" w:color="auto"/>
            </w:tcBorders>
            <w:vAlign w:val="center"/>
            <w:hideMark/>
          </w:tcPr>
          <w:p w14:paraId="1DA2F622" w14:textId="77777777" w:rsidR="002A7E48" w:rsidRPr="002A7E48" w:rsidRDefault="002A7E48" w:rsidP="002A7E48">
            <w:pPr>
              <w:spacing w:after="0" w:line="240" w:lineRule="auto"/>
              <w:rPr>
                <w:rFonts w:ascii="Arial" w:eastAsia="Times New Roman" w:hAnsi="Arial" w:cs="Arial"/>
                <w:color w:val="000000"/>
                <w:sz w:val="16"/>
                <w:szCs w:val="16"/>
                <w:lang w:eastAsia="sl-SI"/>
              </w:rPr>
            </w:pPr>
          </w:p>
        </w:tc>
        <w:tc>
          <w:tcPr>
            <w:tcW w:w="557" w:type="dxa"/>
            <w:tcBorders>
              <w:top w:val="nil"/>
              <w:left w:val="nil"/>
              <w:bottom w:val="single" w:sz="8" w:space="0" w:color="auto"/>
              <w:right w:val="single" w:sz="4" w:space="0" w:color="auto"/>
            </w:tcBorders>
            <w:shd w:val="clear" w:color="auto" w:fill="auto"/>
            <w:noWrap/>
            <w:vAlign w:val="bottom"/>
            <w:hideMark/>
          </w:tcPr>
          <w:p w14:paraId="0FC93A77"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ESRR</w:t>
            </w:r>
          </w:p>
        </w:tc>
        <w:tc>
          <w:tcPr>
            <w:tcW w:w="980" w:type="dxa"/>
            <w:tcBorders>
              <w:top w:val="nil"/>
              <w:left w:val="nil"/>
              <w:bottom w:val="single" w:sz="8" w:space="0" w:color="auto"/>
              <w:right w:val="nil"/>
            </w:tcBorders>
            <w:shd w:val="clear" w:color="auto" w:fill="auto"/>
            <w:noWrap/>
            <w:vAlign w:val="bottom"/>
            <w:hideMark/>
          </w:tcPr>
          <w:p w14:paraId="35D49EFA"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Zahod</w:t>
            </w:r>
          </w:p>
        </w:tc>
        <w:tc>
          <w:tcPr>
            <w:tcW w:w="1297" w:type="dxa"/>
            <w:tcBorders>
              <w:top w:val="nil"/>
              <w:left w:val="single" w:sz="8" w:space="0" w:color="auto"/>
              <w:bottom w:val="nil"/>
              <w:right w:val="nil"/>
            </w:tcBorders>
            <w:shd w:val="clear" w:color="auto" w:fill="auto"/>
            <w:noWrap/>
            <w:vAlign w:val="bottom"/>
            <w:hideMark/>
          </w:tcPr>
          <w:p w14:paraId="38E3BC0E"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48.999.997</w:t>
            </w:r>
          </w:p>
        </w:tc>
        <w:tc>
          <w:tcPr>
            <w:tcW w:w="1183" w:type="dxa"/>
            <w:tcBorders>
              <w:top w:val="nil"/>
              <w:left w:val="single" w:sz="8" w:space="0" w:color="auto"/>
              <w:bottom w:val="nil"/>
              <w:right w:val="single" w:sz="4" w:space="0" w:color="auto"/>
            </w:tcBorders>
            <w:shd w:val="clear" w:color="auto" w:fill="auto"/>
            <w:noWrap/>
            <w:vAlign w:val="bottom"/>
            <w:hideMark/>
          </w:tcPr>
          <w:p w14:paraId="13B239C2"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46.411.756</w:t>
            </w:r>
          </w:p>
        </w:tc>
        <w:tc>
          <w:tcPr>
            <w:tcW w:w="856" w:type="dxa"/>
            <w:tcBorders>
              <w:top w:val="nil"/>
              <w:left w:val="nil"/>
              <w:bottom w:val="nil"/>
              <w:right w:val="single" w:sz="8" w:space="0" w:color="auto"/>
            </w:tcBorders>
            <w:shd w:val="clear" w:color="auto" w:fill="auto"/>
            <w:noWrap/>
            <w:vAlign w:val="bottom"/>
            <w:hideMark/>
          </w:tcPr>
          <w:p w14:paraId="375E84B2"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95%</w:t>
            </w:r>
          </w:p>
        </w:tc>
        <w:tc>
          <w:tcPr>
            <w:tcW w:w="1183" w:type="dxa"/>
            <w:tcBorders>
              <w:top w:val="nil"/>
              <w:left w:val="nil"/>
              <w:bottom w:val="nil"/>
              <w:right w:val="single" w:sz="4" w:space="0" w:color="auto"/>
            </w:tcBorders>
            <w:shd w:val="clear" w:color="auto" w:fill="auto"/>
            <w:noWrap/>
            <w:vAlign w:val="bottom"/>
            <w:hideMark/>
          </w:tcPr>
          <w:p w14:paraId="40156380"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43.067.580</w:t>
            </w:r>
          </w:p>
        </w:tc>
        <w:tc>
          <w:tcPr>
            <w:tcW w:w="866" w:type="dxa"/>
            <w:tcBorders>
              <w:top w:val="nil"/>
              <w:left w:val="nil"/>
              <w:bottom w:val="nil"/>
              <w:right w:val="single" w:sz="8" w:space="0" w:color="auto"/>
            </w:tcBorders>
            <w:shd w:val="clear" w:color="auto" w:fill="auto"/>
            <w:noWrap/>
            <w:vAlign w:val="bottom"/>
            <w:hideMark/>
          </w:tcPr>
          <w:p w14:paraId="0F97003E"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88%</w:t>
            </w:r>
          </w:p>
        </w:tc>
        <w:tc>
          <w:tcPr>
            <w:tcW w:w="1183" w:type="dxa"/>
            <w:tcBorders>
              <w:top w:val="nil"/>
              <w:left w:val="nil"/>
              <w:bottom w:val="single" w:sz="8" w:space="0" w:color="auto"/>
              <w:right w:val="nil"/>
            </w:tcBorders>
            <w:shd w:val="clear" w:color="auto" w:fill="auto"/>
            <w:noWrap/>
            <w:vAlign w:val="bottom"/>
            <w:hideMark/>
          </w:tcPr>
          <w:p w14:paraId="2EF0FCB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38.148.996</w:t>
            </w:r>
          </w:p>
        </w:tc>
        <w:tc>
          <w:tcPr>
            <w:tcW w:w="866" w:type="dxa"/>
            <w:tcBorders>
              <w:top w:val="nil"/>
              <w:left w:val="single" w:sz="4" w:space="0" w:color="auto"/>
              <w:bottom w:val="single" w:sz="8" w:space="0" w:color="auto"/>
              <w:right w:val="single" w:sz="8" w:space="0" w:color="auto"/>
            </w:tcBorders>
            <w:shd w:val="clear" w:color="auto" w:fill="auto"/>
            <w:noWrap/>
            <w:vAlign w:val="bottom"/>
            <w:hideMark/>
          </w:tcPr>
          <w:p w14:paraId="6E1C39DE"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78%</w:t>
            </w:r>
          </w:p>
        </w:tc>
      </w:tr>
      <w:tr w:rsidR="002A7E48" w:rsidRPr="002A7E48" w14:paraId="4927E0EC" w14:textId="77777777" w:rsidTr="0042240D">
        <w:trPr>
          <w:trHeight w:val="220"/>
        </w:trPr>
        <w:tc>
          <w:tcPr>
            <w:tcW w:w="355" w:type="dxa"/>
            <w:vMerge w:val="restart"/>
            <w:tcBorders>
              <w:top w:val="nil"/>
              <w:left w:val="single" w:sz="8" w:space="0" w:color="auto"/>
              <w:bottom w:val="single" w:sz="8" w:space="0" w:color="000000"/>
              <w:right w:val="single" w:sz="4" w:space="0" w:color="auto"/>
            </w:tcBorders>
            <w:shd w:val="clear" w:color="auto" w:fill="auto"/>
            <w:noWrap/>
            <w:vAlign w:val="bottom"/>
            <w:hideMark/>
          </w:tcPr>
          <w:p w14:paraId="2940DE2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7</w:t>
            </w:r>
          </w:p>
        </w:tc>
        <w:tc>
          <w:tcPr>
            <w:tcW w:w="557" w:type="dxa"/>
            <w:tcBorders>
              <w:top w:val="nil"/>
              <w:left w:val="nil"/>
              <w:bottom w:val="single" w:sz="4" w:space="0" w:color="auto"/>
              <w:right w:val="single" w:sz="4" w:space="0" w:color="auto"/>
            </w:tcBorders>
            <w:shd w:val="clear" w:color="auto" w:fill="auto"/>
            <w:noWrap/>
            <w:vAlign w:val="bottom"/>
            <w:hideMark/>
          </w:tcPr>
          <w:p w14:paraId="38975F6D"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KS</w:t>
            </w:r>
          </w:p>
        </w:tc>
        <w:tc>
          <w:tcPr>
            <w:tcW w:w="980" w:type="dxa"/>
            <w:tcBorders>
              <w:top w:val="nil"/>
              <w:left w:val="nil"/>
              <w:bottom w:val="single" w:sz="4" w:space="0" w:color="auto"/>
              <w:right w:val="nil"/>
            </w:tcBorders>
            <w:shd w:val="clear" w:color="auto" w:fill="auto"/>
            <w:noWrap/>
            <w:vAlign w:val="bottom"/>
            <w:hideMark/>
          </w:tcPr>
          <w:p w14:paraId="2234A999"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Celotna SI</w:t>
            </w:r>
          </w:p>
        </w:tc>
        <w:tc>
          <w:tcPr>
            <w:tcW w:w="1297" w:type="dxa"/>
            <w:tcBorders>
              <w:top w:val="single" w:sz="8" w:space="0" w:color="auto"/>
              <w:left w:val="single" w:sz="8" w:space="0" w:color="auto"/>
              <w:bottom w:val="single" w:sz="4" w:space="0" w:color="auto"/>
              <w:right w:val="nil"/>
            </w:tcBorders>
            <w:shd w:val="clear" w:color="auto" w:fill="auto"/>
            <w:noWrap/>
            <w:vAlign w:val="bottom"/>
            <w:hideMark/>
          </w:tcPr>
          <w:p w14:paraId="595B139E"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245.684.430</w:t>
            </w:r>
          </w:p>
        </w:tc>
        <w:tc>
          <w:tcPr>
            <w:tcW w:w="1183"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60C87B7"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299.691.427</w:t>
            </w:r>
          </w:p>
        </w:tc>
        <w:tc>
          <w:tcPr>
            <w:tcW w:w="856" w:type="dxa"/>
            <w:tcBorders>
              <w:top w:val="single" w:sz="8" w:space="0" w:color="auto"/>
              <w:left w:val="nil"/>
              <w:bottom w:val="single" w:sz="4" w:space="0" w:color="auto"/>
              <w:right w:val="single" w:sz="8" w:space="0" w:color="auto"/>
            </w:tcBorders>
            <w:shd w:val="clear" w:color="auto" w:fill="auto"/>
            <w:noWrap/>
            <w:vAlign w:val="bottom"/>
            <w:hideMark/>
          </w:tcPr>
          <w:p w14:paraId="79BF3FDC"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122%</w:t>
            </w:r>
          </w:p>
        </w:tc>
        <w:tc>
          <w:tcPr>
            <w:tcW w:w="1183" w:type="dxa"/>
            <w:tcBorders>
              <w:top w:val="single" w:sz="8" w:space="0" w:color="auto"/>
              <w:left w:val="nil"/>
              <w:bottom w:val="single" w:sz="4" w:space="0" w:color="auto"/>
              <w:right w:val="single" w:sz="4" w:space="0" w:color="auto"/>
            </w:tcBorders>
            <w:shd w:val="clear" w:color="auto" w:fill="auto"/>
            <w:noWrap/>
            <w:vAlign w:val="bottom"/>
            <w:hideMark/>
          </w:tcPr>
          <w:p w14:paraId="3901C69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299.691.429</w:t>
            </w:r>
          </w:p>
        </w:tc>
        <w:tc>
          <w:tcPr>
            <w:tcW w:w="866" w:type="dxa"/>
            <w:tcBorders>
              <w:top w:val="single" w:sz="8" w:space="0" w:color="auto"/>
              <w:left w:val="nil"/>
              <w:bottom w:val="single" w:sz="4" w:space="0" w:color="auto"/>
              <w:right w:val="single" w:sz="8" w:space="0" w:color="auto"/>
            </w:tcBorders>
            <w:shd w:val="clear" w:color="auto" w:fill="auto"/>
            <w:noWrap/>
            <w:vAlign w:val="bottom"/>
            <w:hideMark/>
          </w:tcPr>
          <w:p w14:paraId="142C8FCF"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122%</w:t>
            </w:r>
          </w:p>
        </w:tc>
        <w:tc>
          <w:tcPr>
            <w:tcW w:w="1183" w:type="dxa"/>
            <w:tcBorders>
              <w:top w:val="nil"/>
              <w:left w:val="nil"/>
              <w:bottom w:val="single" w:sz="4" w:space="0" w:color="auto"/>
              <w:right w:val="nil"/>
            </w:tcBorders>
            <w:shd w:val="clear" w:color="auto" w:fill="auto"/>
            <w:noWrap/>
            <w:vAlign w:val="bottom"/>
            <w:hideMark/>
          </w:tcPr>
          <w:p w14:paraId="0C95C2D5"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243.662.350</w:t>
            </w:r>
          </w:p>
        </w:tc>
        <w:tc>
          <w:tcPr>
            <w:tcW w:w="866" w:type="dxa"/>
            <w:tcBorders>
              <w:top w:val="nil"/>
              <w:left w:val="single" w:sz="4" w:space="0" w:color="auto"/>
              <w:bottom w:val="single" w:sz="4" w:space="0" w:color="auto"/>
              <w:right w:val="single" w:sz="8" w:space="0" w:color="auto"/>
            </w:tcBorders>
            <w:shd w:val="clear" w:color="auto" w:fill="auto"/>
            <w:noWrap/>
            <w:vAlign w:val="bottom"/>
            <w:hideMark/>
          </w:tcPr>
          <w:p w14:paraId="6860158E"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99%</w:t>
            </w:r>
          </w:p>
        </w:tc>
      </w:tr>
      <w:tr w:rsidR="002A7E48" w:rsidRPr="002A7E48" w14:paraId="41B6BC8B" w14:textId="77777777" w:rsidTr="0042240D">
        <w:trPr>
          <w:trHeight w:val="220"/>
        </w:trPr>
        <w:tc>
          <w:tcPr>
            <w:tcW w:w="355" w:type="dxa"/>
            <w:vMerge/>
            <w:tcBorders>
              <w:top w:val="nil"/>
              <w:left w:val="single" w:sz="8" w:space="0" w:color="auto"/>
              <w:bottom w:val="single" w:sz="8" w:space="0" w:color="000000"/>
              <w:right w:val="single" w:sz="4" w:space="0" w:color="auto"/>
            </w:tcBorders>
            <w:vAlign w:val="center"/>
            <w:hideMark/>
          </w:tcPr>
          <w:p w14:paraId="19EC8CA3" w14:textId="77777777" w:rsidR="002A7E48" w:rsidRPr="002A7E48" w:rsidRDefault="002A7E48" w:rsidP="002A7E48">
            <w:pPr>
              <w:spacing w:after="0" w:line="240" w:lineRule="auto"/>
              <w:rPr>
                <w:rFonts w:ascii="Arial" w:eastAsia="Times New Roman" w:hAnsi="Arial" w:cs="Arial"/>
                <w:color w:val="000000"/>
                <w:sz w:val="16"/>
                <w:szCs w:val="16"/>
                <w:lang w:eastAsia="sl-SI"/>
              </w:rPr>
            </w:pPr>
          </w:p>
        </w:tc>
        <w:tc>
          <w:tcPr>
            <w:tcW w:w="557" w:type="dxa"/>
            <w:tcBorders>
              <w:top w:val="nil"/>
              <w:left w:val="nil"/>
              <w:bottom w:val="single" w:sz="8" w:space="0" w:color="auto"/>
              <w:right w:val="single" w:sz="4" w:space="0" w:color="auto"/>
            </w:tcBorders>
            <w:shd w:val="clear" w:color="auto" w:fill="auto"/>
            <w:noWrap/>
            <w:vAlign w:val="bottom"/>
            <w:hideMark/>
          </w:tcPr>
          <w:p w14:paraId="22DC06F5"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ESRR</w:t>
            </w:r>
          </w:p>
        </w:tc>
        <w:tc>
          <w:tcPr>
            <w:tcW w:w="980" w:type="dxa"/>
            <w:tcBorders>
              <w:top w:val="nil"/>
              <w:left w:val="nil"/>
              <w:bottom w:val="single" w:sz="8" w:space="0" w:color="auto"/>
              <w:right w:val="nil"/>
            </w:tcBorders>
            <w:shd w:val="clear" w:color="auto" w:fill="auto"/>
            <w:noWrap/>
            <w:vAlign w:val="bottom"/>
            <w:hideMark/>
          </w:tcPr>
          <w:p w14:paraId="6E03B241"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Vzhod</w:t>
            </w:r>
          </w:p>
        </w:tc>
        <w:tc>
          <w:tcPr>
            <w:tcW w:w="1297" w:type="dxa"/>
            <w:tcBorders>
              <w:top w:val="nil"/>
              <w:left w:val="single" w:sz="8" w:space="0" w:color="auto"/>
              <w:bottom w:val="single" w:sz="8" w:space="0" w:color="auto"/>
              <w:right w:val="nil"/>
            </w:tcBorders>
            <w:shd w:val="clear" w:color="auto" w:fill="auto"/>
            <w:noWrap/>
            <w:vAlign w:val="bottom"/>
            <w:hideMark/>
          </w:tcPr>
          <w:p w14:paraId="1EDA4BDF"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108.435.292</w:t>
            </w:r>
          </w:p>
        </w:tc>
        <w:tc>
          <w:tcPr>
            <w:tcW w:w="1183" w:type="dxa"/>
            <w:tcBorders>
              <w:top w:val="nil"/>
              <w:left w:val="single" w:sz="8" w:space="0" w:color="auto"/>
              <w:bottom w:val="single" w:sz="8" w:space="0" w:color="auto"/>
              <w:right w:val="single" w:sz="4" w:space="0" w:color="auto"/>
            </w:tcBorders>
            <w:shd w:val="clear" w:color="auto" w:fill="auto"/>
            <w:noWrap/>
            <w:vAlign w:val="bottom"/>
            <w:hideMark/>
          </w:tcPr>
          <w:p w14:paraId="379D5EF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82.609.861</w:t>
            </w:r>
          </w:p>
        </w:tc>
        <w:tc>
          <w:tcPr>
            <w:tcW w:w="856" w:type="dxa"/>
            <w:tcBorders>
              <w:top w:val="nil"/>
              <w:left w:val="nil"/>
              <w:bottom w:val="single" w:sz="8" w:space="0" w:color="auto"/>
              <w:right w:val="single" w:sz="8" w:space="0" w:color="auto"/>
            </w:tcBorders>
            <w:shd w:val="clear" w:color="auto" w:fill="auto"/>
            <w:noWrap/>
            <w:vAlign w:val="bottom"/>
            <w:hideMark/>
          </w:tcPr>
          <w:p w14:paraId="2B51D37F"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76%</w:t>
            </w:r>
          </w:p>
        </w:tc>
        <w:tc>
          <w:tcPr>
            <w:tcW w:w="1183" w:type="dxa"/>
            <w:tcBorders>
              <w:top w:val="nil"/>
              <w:left w:val="nil"/>
              <w:bottom w:val="single" w:sz="8" w:space="0" w:color="auto"/>
              <w:right w:val="single" w:sz="4" w:space="0" w:color="auto"/>
            </w:tcBorders>
            <w:shd w:val="clear" w:color="auto" w:fill="auto"/>
            <w:noWrap/>
            <w:vAlign w:val="bottom"/>
            <w:hideMark/>
          </w:tcPr>
          <w:p w14:paraId="7D2B82D4"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84.060.962</w:t>
            </w:r>
          </w:p>
        </w:tc>
        <w:tc>
          <w:tcPr>
            <w:tcW w:w="866" w:type="dxa"/>
            <w:tcBorders>
              <w:top w:val="nil"/>
              <w:left w:val="nil"/>
              <w:bottom w:val="single" w:sz="8" w:space="0" w:color="auto"/>
              <w:right w:val="single" w:sz="8" w:space="0" w:color="auto"/>
            </w:tcBorders>
            <w:shd w:val="clear" w:color="auto" w:fill="auto"/>
            <w:noWrap/>
            <w:vAlign w:val="bottom"/>
            <w:hideMark/>
          </w:tcPr>
          <w:p w14:paraId="0946FB1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78%</w:t>
            </w:r>
          </w:p>
        </w:tc>
        <w:tc>
          <w:tcPr>
            <w:tcW w:w="1183" w:type="dxa"/>
            <w:tcBorders>
              <w:top w:val="nil"/>
              <w:left w:val="nil"/>
              <w:bottom w:val="single" w:sz="8" w:space="0" w:color="auto"/>
              <w:right w:val="nil"/>
            </w:tcBorders>
            <w:shd w:val="clear" w:color="auto" w:fill="auto"/>
            <w:noWrap/>
            <w:vAlign w:val="bottom"/>
            <w:hideMark/>
          </w:tcPr>
          <w:p w14:paraId="031BC022"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61.331.267</w:t>
            </w:r>
          </w:p>
        </w:tc>
        <w:tc>
          <w:tcPr>
            <w:tcW w:w="866" w:type="dxa"/>
            <w:tcBorders>
              <w:top w:val="nil"/>
              <w:left w:val="single" w:sz="4" w:space="0" w:color="auto"/>
              <w:bottom w:val="single" w:sz="8" w:space="0" w:color="auto"/>
              <w:right w:val="single" w:sz="8" w:space="0" w:color="auto"/>
            </w:tcBorders>
            <w:shd w:val="clear" w:color="auto" w:fill="auto"/>
            <w:noWrap/>
            <w:vAlign w:val="bottom"/>
            <w:hideMark/>
          </w:tcPr>
          <w:p w14:paraId="5AA687DB"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57%</w:t>
            </w:r>
          </w:p>
        </w:tc>
      </w:tr>
      <w:tr w:rsidR="002A7E48" w:rsidRPr="002A7E48" w14:paraId="23E4EDE7" w14:textId="77777777" w:rsidTr="0042240D">
        <w:trPr>
          <w:trHeight w:val="220"/>
        </w:trPr>
        <w:tc>
          <w:tcPr>
            <w:tcW w:w="355" w:type="dxa"/>
            <w:vMerge w:val="restart"/>
            <w:tcBorders>
              <w:top w:val="nil"/>
              <w:left w:val="single" w:sz="8" w:space="0" w:color="auto"/>
              <w:bottom w:val="single" w:sz="8" w:space="0" w:color="000000"/>
              <w:right w:val="single" w:sz="4" w:space="0" w:color="auto"/>
            </w:tcBorders>
            <w:shd w:val="clear" w:color="auto" w:fill="auto"/>
            <w:noWrap/>
            <w:vAlign w:val="bottom"/>
            <w:hideMark/>
          </w:tcPr>
          <w:p w14:paraId="1A6C0521"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8</w:t>
            </w:r>
          </w:p>
        </w:tc>
        <w:tc>
          <w:tcPr>
            <w:tcW w:w="557" w:type="dxa"/>
            <w:tcBorders>
              <w:top w:val="nil"/>
              <w:left w:val="nil"/>
              <w:bottom w:val="single" w:sz="4" w:space="0" w:color="auto"/>
              <w:right w:val="single" w:sz="4" w:space="0" w:color="auto"/>
            </w:tcBorders>
            <w:shd w:val="clear" w:color="auto" w:fill="auto"/>
            <w:noWrap/>
            <w:vAlign w:val="bottom"/>
            <w:hideMark/>
          </w:tcPr>
          <w:p w14:paraId="3D0D744B"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ESS</w:t>
            </w:r>
          </w:p>
        </w:tc>
        <w:tc>
          <w:tcPr>
            <w:tcW w:w="980" w:type="dxa"/>
            <w:tcBorders>
              <w:top w:val="nil"/>
              <w:left w:val="nil"/>
              <w:bottom w:val="single" w:sz="4" w:space="0" w:color="auto"/>
              <w:right w:val="nil"/>
            </w:tcBorders>
            <w:shd w:val="clear" w:color="auto" w:fill="auto"/>
            <w:noWrap/>
            <w:vAlign w:val="bottom"/>
            <w:hideMark/>
          </w:tcPr>
          <w:p w14:paraId="483328A7"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Vzhod</w:t>
            </w:r>
          </w:p>
        </w:tc>
        <w:tc>
          <w:tcPr>
            <w:tcW w:w="1297" w:type="dxa"/>
            <w:tcBorders>
              <w:top w:val="nil"/>
              <w:left w:val="single" w:sz="8" w:space="0" w:color="auto"/>
              <w:bottom w:val="single" w:sz="4" w:space="0" w:color="auto"/>
              <w:right w:val="nil"/>
            </w:tcBorders>
            <w:shd w:val="clear" w:color="auto" w:fill="auto"/>
            <w:noWrap/>
            <w:vAlign w:val="bottom"/>
            <w:hideMark/>
          </w:tcPr>
          <w:p w14:paraId="6DAB6C7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131.581.121</w:t>
            </w:r>
          </w:p>
        </w:tc>
        <w:tc>
          <w:tcPr>
            <w:tcW w:w="1183" w:type="dxa"/>
            <w:tcBorders>
              <w:top w:val="nil"/>
              <w:left w:val="single" w:sz="8" w:space="0" w:color="auto"/>
              <w:bottom w:val="single" w:sz="4" w:space="0" w:color="auto"/>
              <w:right w:val="single" w:sz="4" w:space="0" w:color="auto"/>
            </w:tcBorders>
            <w:shd w:val="clear" w:color="auto" w:fill="auto"/>
            <w:noWrap/>
            <w:vAlign w:val="bottom"/>
            <w:hideMark/>
          </w:tcPr>
          <w:p w14:paraId="646D6E0B"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144.438.403</w:t>
            </w:r>
          </w:p>
        </w:tc>
        <w:tc>
          <w:tcPr>
            <w:tcW w:w="856" w:type="dxa"/>
            <w:tcBorders>
              <w:top w:val="nil"/>
              <w:left w:val="nil"/>
              <w:bottom w:val="single" w:sz="4" w:space="0" w:color="auto"/>
              <w:right w:val="nil"/>
            </w:tcBorders>
            <w:shd w:val="clear" w:color="auto" w:fill="auto"/>
            <w:noWrap/>
            <w:vAlign w:val="bottom"/>
            <w:hideMark/>
          </w:tcPr>
          <w:p w14:paraId="55238139"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110%</w:t>
            </w:r>
          </w:p>
        </w:tc>
        <w:tc>
          <w:tcPr>
            <w:tcW w:w="1183" w:type="dxa"/>
            <w:tcBorders>
              <w:top w:val="nil"/>
              <w:left w:val="single" w:sz="8" w:space="0" w:color="auto"/>
              <w:bottom w:val="single" w:sz="4" w:space="0" w:color="auto"/>
              <w:right w:val="single" w:sz="4" w:space="0" w:color="auto"/>
            </w:tcBorders>
            <w:shd w:val="clear" w:color="auto" w:fill="auto"/>
            <w:noWrap/>
            <w:vAlign w:val="bottom"/>
            <w:hideMark/>
          </w:tcPr>
          <w:p w14:paraId="4E2150C2" w14:textId="77777777" w:rsidR="002A7E48" w:rsidRPr="002A7E48" w:rsidRDefault="002A7E48" w:rsidP="002A7E48">
            <w:pPr>
              <w:spacing w:after="0" w:line="240" w:lineRule="auto"/>
              <w:jc w:val="right"/>
              <w:rPr>
                <w:rFonts w:ascii="Arial" w:eastAsia="Times New Roman" w:hAnsi="Arial" w:cs="Arial"/>
                <w:sz w:val="16"/>
                <w:szCs w:val="16"/>
                <w:lang w:eastAsia="sl-SI"/>
              </w:rPr>
            </w:pPr>
            <w:r w:rsidRPr="002A7E48">
              <w:rPr>
                <w:rFonts w:ascii="Arial" w:eastAsia="Times New Roman" w:hAnsi="Arial" w:cs="Arial"/>
                <w:sz w:val="16"/>
                <w:szCs w:val="16"/>
                <w:lang w:eastAsia="sl-SI"/>
              </w:rPr>
              <w:t>141.863.755</w:t>
            </w:r>
          </w:p>
        </w:tc>
        <w:tc>
          <w:tcPr>
            <w:tcW w:w="866" w:type="dxa"/>
            <w:tcBorders>
              <w:top w:val="nil"/>
              <w:left w:val="nil"/>
              <w:bottom w:val="single" w:sz="4" w:space="0" w:color="auto"/>
              <w:right w:val="single" w:sz="8" w:space="0" w:color="auto"/>
            </w:tcBorders>
            <w:shd w:val="clear" w:color="auto" w:fill="auto"/>
            <w:noWrap/>
            <w:vAlign w:val="bottom"/>
            <w:hideMark/>
          </w:tcPr>
          <w:p w14:paraId="6F23EF47"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108%</w:t>
            </w:r>
          </w:p>
        </w:tc>
        <w:tc>
          <w:tcPr>
            <w:tcW w:w="1183" w:type="dxa"/>
            <w:tcBorders>
              <w:top w:val="nil"/>
              <w:left w:val="nil"/>
              <w:bottom w:val="single" w:sz="4" w:space="0" w:color="auto"/>
              <w:right w:val="nil"/>
            </w:tcBorders>
            <w:shd w:val="clear" w:color="auto" w:fill="auto"/>
            <w:noWrap/>
            <w:vAlign w:val="bottom"/>
            <w:hideMark/>
          </w:tcPr>
          <w:p w14:paraId="509F579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140.492.346</w:t>
            </w:r>
          </w:p>
        </w:tc>
        <w:tc>
          <w:tcPr>
            <w:tcW w:w="866" w:type="dxa"/>
            <w:tcBorders>
              <w:top w:val="nil"/>
              <w:left w:val="single" w:sz="4" w:space="0" w:color="auto"/>
              <w:bottom w:val="single" w:sz="4" w:space="0" w:color="auto"/>
              <w:right w:val="single" w:sz="8" w:space="0" w:color="auto"/>
            </w:tcBorders>
            <w:shd w:val="clear" w:color="auto" w:fill="auto"/>
            <w:noWrap/>
            <w:vAlign w:val="bottom"/>
            <w:hideMark/>
          </w:tcPr>
          <w:p w14:paraId="0BF07C80"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107%</w:t>
            </w:r>
          </w:p>
        </w:tc>
      </w:tr>
      <w:tr w:rsidR="002A7E48" w:rsidRPr="002A7E48" w14:paraId="1551952B" w14:textId="77777777" w:rsidTr="0042240D">
        <w:trPr>
          <w:trHeight w:val="220"/>
        </w:trPr>
        <w:tc>
          <w:tcPr>
            <w:tcW w:w="355" w:type="dxa"/>
            <w:vMerge/>
            <w:tcBorders>
              <w:top w:val="nil"/>
              <w:left w:val="single" w:sz="8" w:space="0" w:color="auto"/>
              <w:bottom w:val="single" w:sz="8" w:space="0" w:color="000000"/>
              <w:right w:val="single" w:sz="4" w:space="0" w:color="auto"/>
            </w:tcBorders>
            <w:vAlign w:val="center"/>
            <w:hideMark/>
          </w:tcPr>
          <w:p w14:paraId="208781A0" w14:textId="77777777" w:rsidR="002A7E48" w:rsidRPr="002A7E48" w:rsidRDefault="002A7E48" w:rsidP="002A7E48">
            <w:pPr>
              <w:spacing w:after="0" w:line="240" w:lineRule="auto"/>
              <w:rPr>
                <w:rFonts w:ascii="Arial" w:eastAsia="Times New Roman" w:hAnsi="Arial" w:cs="Arial"/>
                <w:color w:val="000000"/>
                <w:sz w:val="16"/>
                <w:szCs w:val="16"/>
                <w:lang w:eastAsia="sl-SI"/>
              </w:rPr>
            </w:pPr>
          </w:p>
        </w:tc>
        <w:tc>
          <w:tcPr>
            <w:tcW w:w="557" w:type="dxa"/>
            <w:tcBorders>
              <w:top w:val="nil"/>
              <w:left w:val="nil"/>
              <w:bottom w:val="single" w:sz="4" w:space="0" w:color="auto"/>
              <w:right w:val="single" w:sz="4" w:space="0" w:color="auto"/>
            </w:tcBorders>
            <w:shd w:val="clear" w:color="auto" w:fill="auto"/>
            <w:noWrap/>
            <w:vAlign w:val="bottom"/>
            <w:hideMark/>
          </w:tcPr>
          <w:p w14:paraId="09848E47"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ESS</w:t>
            </w:r>
          </w:p>
        </w:tc>
        <w:tc>
          <w:tcPr>
            <w:tcW w:w="980" w:type="dxa"/>
            <w:tcBorders>
              <w:top w:val="nil"/>
              <w:left w:val="nil"/>
              <w:bottom w:val="single" w:sz="4" w:space="0" w:color="auto"/>
              <w:right w:val="nil"/>
            </w:tcBorders>
            <w:shd w:val="clear" w:color="auto" w:fill="auto"/>
            <w:noWrap/>
            <w:vAlign w:val="bottom"/>
            <w:hideMark/>
          </w:tcPr>
          <w:p w14:paraId="3D52E148"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Zahod</w:t>
            </w:r>
          </w:p>
        </w:tc>
        <w:tc>
          <w:tcPr>
            <w:tcW w:w="1297" w:type="dxa"/>
            <w:tcBorders>
              <w:top w:val="nil"/>
              <w:left w:val="single" w:sz="8" w:space="0" w:color="auto"/>
              <w:bottom w:val="single" w:sz="4" w:space="0" w:color="auto"/>
              <w:right w:val="nil"/>
            </w:tcBorders>
            <w:shd w:val="clear" w:color="auto" w:fill="auto"/>
            <w:noWrap/>
            <w:vAlign w:val="bottom"/>
            <w:hideMark/>
          </w:tcPr>
          <w:p w14:paraId="2F99566F"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140.966.076</w:t>
            </w:r>
          </w:p>
        </w:tc>
        <w:tc>
          <w:tcPr>
            <w:tcW w:w="1183" w:type="dxa"/>
            <w:tcBorders>
              <w:top w:val="nil"/>
              <w:left w:val="single" w:sz="8" w:space="0" w:color="auto"/>
              <w:bottom w:val="single" w:sz="4" w:space="0" w:color="auto"/>
              <w:right w:val="single" w:sz="4" w:space="0" w:color="auto"/>
            </w:tcBorders>
            <w:shd w:val="clear" w:color="auto" w:fill="auto"/>
            <w:noWrap/>
            <w:vAlign w:val="bottom"/>
            <w:hideMark/>
          </w:tcPr>
          <w:p w14:paraId="28959A8C"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162.772.421</w:t>
            </w:r>
          </w:p>
        </w:tc>
        <w:tc>
          <w:tcPr>
            <w:tcW w:w="856" w:type="dxa"/>
            <w:tcBorders>
              <w:top w:val="nil"/>
              <w:left w:val="nil"/>
              <w:bottom w:val="single" w:sz="4" w:space="0" w:color="auto"/>
              <w:right w:val="nil"/>
            </w:tcBorders>
            <w:shd w:val="clear" w:color="auto" w:fill="auto"/>
            <w:noWrap/>
            <w:vAlign w:val="bottom"/>
            <w:hideMark/>
          </w:tcPr>
          <w:p w14:paraId="0E56A582"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115%</w:t>
            </w:r>
          </w:p>
        </w:tc>
        <w:tc>
          <w:tcPr>
            <w:tcW w:w="1183" w:type="dxa"/>
            <w:tcBorders>
              <w:top w:val="nil"/>
              <w:left w:val="single" w:sz="8" w:space="0" w:color="auto"/>
              <w:bottom w:val="nil"/>
              <w:right w:val="nil"/>
            </w:tcBorders>
            <w:shd w:val="clear" w:color="auto" w:fill="auto"/>
            <w:noWrap/>
            <w:vAlign w:val="bottom"/>
            <w:hideMark/>
          </w:tcPr>
          <w:p w14:paraId="2D182BFE" w14:textId="77777777" w:rsidR="002A7E48" w:rsidRPr="002A7E48" w:rsidRDefault="002A7E48" w:rsidP="002A7E48">
            <w:pPr>
              <w:spacing w:after="0" w:line="240" w:lineRule="auto"/>
              <w:jc w:val="right"/>
              <w:rPr>
                <w:rFonts w:ascii="Arial" w:eastAsia="Times New Roman" w:hAnsi="Arial" w:cs="Arial"/>
                <w:sz w:val="16"/>
                <w:szCs w:val="16"/>
                <w:lang w:eastAsia="sl-SI"/>
              </w:rPr>
            </w:pPr>
            <w:r w:rsidRPr="002A7E48">
              <w:rPr>
                <w:rFonts w:ascii="Arial" w:eastAsia="Times New Roman" w:hAnsi="Arial" w:cs="Arial"/>
                <w:sz w:val="16"/>
                <w:szCs w:val="16"/>
                <w:lang w:eastAsia="sl-SI"/>
              </w:rPr>
              <w:t>159.697.471</w:t>
            </w:r>
          </w:p>
        </w:tc>
        <w:tc>
          <w:tcPr>
            <w:tcW w:w="866" w:type="dxa"/>
            <w:tcBorders>
              <w:top w:val="nil"/>
              <w:left w:val="single" w:sz="4" w:space="0" w:color="auto"/>
              <w:bottom w:val="single" w:sz="4" w:space="0" w:color="auto"/>
              <w:right w:val="single" w:sz="8" w:space="0" w:color="auto"/>
            </w:tcBorders>
            <w:shd w:val="clear" w:color="auto" w:fill="auto"/>
            <w:noWrap/>
            <w:vAlign w:val="bottom"/>
            <w:hideMark/>
          </w:tcPr>
          <w:p w14:paraId="135C78DB"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113%</w:t>
            </w:r>
          </w:p>
        </w:tc>
        <w:tc>
          <w:tcPr>
            <w:tcW w:w="1183" w:type="dxa"/>
            <w:tcBorders>
              <w:top w:val="nil"/>
              <w:left w:val="nil"/>
              <w:bottom w:val="single" w:sz="4" w:space="0" w:color="auto"/>
              <w:right w:val="nil"/>
            </w:tcBorders>
            <w:shd w:val="clear" w:color="auto" w:fill="auto"/>
            <w:noWrap/>
            <w:vAlign w:val="bottom"/>
            <w:hideMark/>
          </w:tcPr>
          <w:p w14:paraId="5D952B45"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161.815.866</w:t>
            </w:r>
          </w:p>
        </w:tc>
        <w:tc>
          <w:tcPr>
            <w:tcW w:w="866" w:type="dxa"/>
            <w:tcBorders>
              <w:top w:val="nil"/>
              <w:left w:val="single" w:sz="4" w:space="0" w:color="auto"/>
              <w:bottom w:val="single" w:sz="4" w:space="0" w:color="auto"/>
              <w:right w:val="single" w:sz="8" w:space="0" w:color="auto"/>
            </w:tcBorders>
            <w:shd w:val="clear" w:color="auto" w:fill="auto"/>
            <w:noWrap/>
            <w:vAlign w:val="bottom"/>
            <w:hideMark/>
          </w:tcPr>
          <w:p w14:paraId="3EA9DB5F"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115%</w:t>
            </w:r>
          </w:p>
        </w:tc>
      </w:tr>
      <w:tr w:rsidR="002A7E48" w:rsidRPr="002A7E48" w14:paraId="6645BD8C" w14:textId="77777777" w:rsidTr="0042240D">
        <w:trPr>
          <w:trHeight w:val="220"/>
        </w:trPr>
        <w:tc>
          <w:tcPr>
            <w:tcW w:w="355" w:type="dxa"/>
            <w:vMerge/>
            <w:tcBorders>
              <w:top w:val="nil"/>
              <w:left w:val="single" w:sz="8" w:space="0" w:color="auto"/>
              <w:bottom w:val="single" w:sz="8" w:space="0" w:color="000000"/>
              <w:right w:val="single" w:sz="4" w:space="0" w:color="auto"/>
            </w:tcBorders>
            <w:vAlign w:val="center"/>
            <w:hideMark/>
          </w:tcPr>
          <w:p w14:paraId="75D45B4C" w14:textId="77777777" w:rsidR="002A7E48" w:rsidRPr="002A7E48" w:rsidRDefault="002A7E48" w:rsidP="002A7E48">
            <w:pPr>
              <w:spacing w:after="0" w:line="240" w:lineRule="auto"/>
              <w:rPr>
                <w:rFonts w:ascii="Arial" w:eastAsia="Times New Roman" w:hAnsi="Arial" w:cs="Arial"/>
                <w:color w:val="000000"/>
                <w:sz w:val="16"/>
                <w:szCs w:val="16"/>
                <w:lang w:eastAsia="sl-SI"/>
              </w:rPr>
            </w:pPr>
          </w:p>
        </w:tc>
        <w:tc>
          <w:tcPr>
            <w:tcW w:w="557" w:type="dxa"/>
            <w:tcBorders>
              <w:top w:val="nil"/>
              <w:left w:val="nil"/>
              <w:bottom w:val="single" w:sz="8" w:space="0" w:color="auto"/>
              <w:right w:val="single" w:sz="4" w:space="0" w:color="auto"/>
            </w:tcBorders>
            <w:shd w:val="clear" w:color="auto" w:fill="auto"/>
            <w:noWrap/>
            <w:vAlign w:val="bottom"/>
            <w:hideMark/>
          </w:tcPr>
          <w:p w14:paraId="6EBF7A27"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YEI</w:t>
            </w:r>
          </w:p>
        </w:tc>
        <w:tc>
          <w:tcPr>
            <w:tcW w:w="980" w:type="dxa"/>
            <w:tcBorders>
              <w:top w:val="nil"/>
              <w:left w:val="nil"/>
              <w:bottom w:val="single" w:sz="8" w:space="0" w:color="auto"/>
              <w:right w:val="nil"/>
            </w:tcBorders>
            <w:shd w:val="clear" w:color="auto" w:fill="auto"/>
            <w:noWrap/>
            <w:vAlign w:val="bottom"/>
            <w:hideMark/>
          </w:tcPr>
          <w:p w14:paraId="42BE1AA3"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Vzhod</w:t>
            </w:r>
          </w:p>
        </w:tc>
        <w:tc>
          <w:tcPr>
            <w:tcW w:w="1297" w:type="dxa"/>
            <w:tcBorders>
              <w:top w:val="nil"/>
              <w:left w:val="single" w:sz="8" w:space="0" w:color="auto"/>
              <w:bottom w:val="nil"/>
              <w:right w:val="nil"/>
            </w:tcBorders>
            <w:shd w:val="clear" w:color="auto" w:fill="auto"/>
            <w:noWrap/>
            <w:vAlign w:val="bottom"/>
            <w:hideMark/>
          </w:tcPr>
          <w:p w14:paraId="1210AB6C"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18.423.072</w:t>
            </w:r>
          </w:p>
        </w:tc>
        <w:tc>
          <w:tcPr>
            <w:tcW w:w="1183" w:type="dxa"/>
            <w:tcBorders>
              <w:top w:val="nil"/>
              <w:left w:val="single" w:sz="8" w:space="0" w:color="auto"/>
              <w:bottom w:val="single" w:sz="8" w:space="0" w:color="auto"/>
              <w:right w:val="single" w:sz="4" w:space="0" w:color="auto"/>
            </w:tcBorders>
            <w:shd w:val="clear" w:color="auto" w:fill="auto"/>
            <w:noWrap/>
            <w:vAlign w:val="bottom"/>
            <w:hideMark/>
          </w:tcPr>
          <w:p w14:paraId="248CF74C"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18.423.072</w:t>
            </w:r>
          </w:p>
        </w:tc>
        <w:tc>
          <w:tcPr>
            <w:tcW w:w="856" w:type="dxa"/>
            <w:tcBorders>
              <w:top w:val="nil"/>
              <w:left w:val="nil"/>
              <w:bottom w:val="single" w:sz="8" w:space="0" w:color="auto"/>
              <w:right w:val="nil"/>
            </w:tcBorders>
            <w:shd w:val="clear" w:color="auto" w:fill="auto"/>
            <w:noWrap/>
            <w:vAlign w:val="bottom"/>
            <w:hideMark/>
          </w:tcPr>
          <w:p w14:paraId="4EF7E6C4"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100%</w:t>
            </w:r>
          </w:p>
        </w:tc>
        <w:tc>
          <w:tcPr>
            <w:tcW w:w="1183"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175CC3F9"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18.423.072</w:t>
            </w:r>
          </w:p>
        </w:tc>
        <w:tc>
          <w:tcPr>
            <w:tcW w:w="866" w:type="dxa"/>
            <w:tcBorders>
              <w:top w:val="nil"/>
              <w:left w:val="nil"/>
              <w:bottom w:val="single" w:sz="8" w:space="0" w:color="auto"/>
              <w:right w:val="single" w:sz="8" w:space="0" w:color="auto"/>
            </w:tcBorders>
            <w:shd w:val="clear" w:color="auto" w:fill="auto"/>
            <w:noWrap/>
            <w:vAlign w:val="bottom"/>
            <w:hideMark/>
          </w:tcPr>
          <w:p w14:paraId="5CD6E7F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100%</w:t>
            </w:r>
          </w:p>
        </w:tc>
        <w:tc>
          <w:tcPr>
            <w:tcW w:w="1183" w:type="dxa"/>
            <w:tcBorders>
              <w:top w:val="nil"/>
              <w:left w:val="nil"/>
              <w:bottom w:val="single" w:sz="8" w:space="0" w:color="auto"/>
              <w:right w:val="nil"/>
            </w:tcBorders>
            <w:shd w:val="clear" w:color="auto" w:fill="auto"/>
            <w:noWrap/>
            <w:vAlign w:val="bottom"/>
            <w:hideMark/>
          </w:tcPr>
          <w:p w14:paraId="3B8DFDFE"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17.308.298</w:t>
            </w:r>
          </w:p>
        </w:tc>
        <w:tc>
          <w:tcPr>
            <w:tcW w:w="866" w:type="dxa"/>
            <w:tcBorders>
              <w:top w:val="nil"/>
              <w:left w:val="single" w:sz="4" w:space="0" w:color="auto"/>
              <w:bottom w:val="single" w:sz="8" w:space="0" w:color="auto"/>
              <w:right w:val="single" w:sz="8" w:space="0" w:color="auto"/>
            </w:tcBorders>
            <w:shd w:val="clear" w:color="auto" w:fill="auto"/>
            <w:noWrap/>
            <w:vAlign w:val="bottom"/>
            <w:hideMark/>
          </w:tcPr>
          <w:p w14:paraId="5155DE80"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94%</w:t>
            </w:r>
          </w:p>
        </w:tc>
      </w:tr>
      <w:tr w:rsidR="002A7E48" w:rsidRPr="002A7E48" w14:paraId="1EC85D54" w14:textId="77777777" w:rsidTr="0042240D">
        <w:trPr>
          <w:trHeight w:val="209"/>
        </w:trPr>
        <w:tc>
          <w:tcPr>
            <w:tcW w:w="355" w:type="dxa"/>
            <w:vMerge w:val="restart"/>
            <w:tcBorders>
              <w:top w:val="nil"/>
              <w:left w:val="single" w:sz="8" w:space="0" w:color="auto"/>
              <w:bottom w:val="single" w:sz="8" w:space="0" w:color="000000"/>
              <w:right w:val="single" w:sz="4" w:space="0" w:color="auto"/>
            </w:tcBorders>
            <w:shd w:val="clear" w:color="auto" w:fill="auto"/>
            <w:noWrap/>
            <w:vAlign w:val="bottom"/>
            <w:hideMark/>
          </w:tcPr>
          <w:p w14:paraId="1C859707"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w:t>
            </w:r>
          </w:p>
        </w:tc>
        <w:tc>
          <w:tcPr>
            <w:tcW w:w="557" w:type="dxa"/>
            <w:tcBorders>
              <w:top w:val="nil"/>
              <w:left w:val="nil"/>
              <w:bottom w:val="single" w:sz="4" w:space="0" w:color="auto"/>
              <w:right w:val="single" w:sz="4" w:space="0" w:color="auto"/>
            </w:tcBorders>
            <w:shd w:val="clear" w:color="auto" w:fill="auto"/>
            <w:noWrap/>
            <w:vAlign w:val="bottom"/>
            <w:hideMark/>
          </w:tcPr>
          <w:p w14:paraId="4BFFA1FD"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ESS</w:t>
            </w:r>
          </w:p>
        </w:tc>
        <w:tc>
          <w:tcPr>
            <w:tcW w:w="980" w:type="dxa"/>
            <w:tcBorders>
              <w:top w:val="nil"/>
              <w:left w:val="nil"/>
              <w:bottom w:val="single" w:sz="4" w:space="0" w:color="auto"/>
              <w:right w:val="nil"/>
            </w:tcBorders>
            <w:shd w:val="clear" w:color="auto" w:fill="auto"/>
            <w:noWrap/>
            <w:vAlign w:val="bottom"/>
            <w:hideMark/>
          </w:tcPr>
          <w:p w14:paraId="28F63476"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Vzhod</w:t>
            </w:r>
          </w:p>
        </w:tc>
        <w:tc>
          <w:tcPr>
            <w:tcW w:w="1297" w:type="dxa"/>
            <w:tcBorders>
              <w:top w:val="single" w:sz="8" w:space="0" w:color="auto"/>
              <w:left w:val="single" w:sz="8" w:space="0" w:color="auto"/>
              <w:bottom w:val="single" w:sz="4" w:space="0" w:color="auto"/>
              <w:right w:val="nil"/>
            </w:tcBorders>
            <w:shd w:val="clear" w:color="auto" w:fill="auto"/>
            <w:noWrap/>
            <w:vAlign w:val="bottom"/>
            <w:hideMark/>
          </w:tcPr>
          <w:p w14:paraId="08476CA3"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92.638.770</w:t>
            </w:r>
          </w:p>
        </w:tc>
        <w:tc>
          <w:tcPr>
            <w:tcW w:w="1183" w:type="dxa"/>
            <w:tcBorders>
              <w:top w:val="nil"/>
              <w:left w:val="single" w:sz="8" w:space="0" w:color="auto"/>
              <w:bottom w:val="single" w:sz="4" w:space="0" w:color="auto"/>
              <w:right w:val="single" w:sz="4" w:space="0" w:color="auto"/>
            </w:tcBorders>
            <w:shd w:val="clear" w:color="auto" w:fill="auto"/>
            <w:noWrap/>
            <w:vAlign w:val="bottom"/>
            <w:hideMark/>
          </w:tcPr>
          <w:p w14:paraId="371F4D8E"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106.338.841</w:t>
            </w:r>
          </w:p>
        </w:tc>
        <w:tc>
          <w:tcPr>
            <w:tcW w:w="856" w:type="dxa"/>
            <w:tcBorders>
              <w:top w:val="nil"/>
              <w:left w:val="nil"/>
              <w:bottom w:val="single" w:sz="4" w:space="0" w:color="auto"/>
              <w:right w:val="nil"/>
            </w:tcBorders>
            <w:shd w:val="clear" w:color="auto" w:fill="auto"/>
            <w:noWrap/>
            <w:vAlign w:val="bottom"/>
            <w:hideMark/>
          </w:tcPr>
          <w:p w14:paraId="46EF1E19"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115%</w:t>
            </w:r>
          </w:p>
        </w:tc>
        <w:tc>
          <w:tcPr>
            <w:tcW w:w="1183" w:type="dxa"/>
            <w:tcBorders>
              <w:top w:val="nil"/>
              <w:left w:val="single" w:sz="8" w:space="0" w:color="auto"/>
              <w:bottom w:val="single" w:sz="4" w:space="0" w:color="auto"/>
              <w:right w:val="single" w:sz="4" w:space="0" w:color="auto"/>
            </w:tcBorders>
            <w:shd w:val="clear" w:color="auto" w:fill="auto"/>
            <w:noWrap/>
            <w:vAlign w:val="bottom"/>
            <w:hideMark/>
          </w:tcPr>
          <w:p w14:paraId="5E6272EE"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100.627.454</w:t>
            </w:r>
          </w:p>
        </w:tc>
        <w:tc>
          <w:tcPr>
            <w:tcW w:w="866" w:type="dxa"/>
            <w:tcBorders>
              <w:top w:val="nil"/>
              <w:left w:val="nil"/>
              <w:bottom w:val="single" w:sz="4" w:space="0" w:color="auto"/>
              <w:right w:val="single" w:sz="8" w:space="0" w:color="auto"/>
            </w:tcBorders>
            <w:shd w:val="clear" w:color="auto" w:fill="auto"/>
            <w:noWrap/>
            <w:vAlign w:val="bottom"/>
            <w:hideMark/>
          </w:tcPr>
          <w:p w14:paraId="01E00A1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109%</w:t>
            </w:r>
          </w:p>
        </w:tc>
        <w:tc>
          <w:tcPr>
            <w:tcW w:w="1183" w:type="dxa"/>
            <w:tcBorders>
              <w:top w:val="nil"/>
              <w:left w:val="nil"/>
              <w:bottom w:val="single" w:sz="4" w:space="0" w:color="auto"/>
              <w:right w:val="nil"/>
            </w:tcBorders>
            <w:shd w:val="clear" w:color="auto" w:fill="auto"/>
            <w:noWrap/>
            <w:vAlign w:val="bottom"/>
            <w:hideMark/>
          </w:tcPr>
          <w:p w14:paraId="0AF041AB"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99.210.296</w:t>
            </w:r>
          </w:p>
        </w:tc>
        <w:tc>
          <w:tcPr>
            <w:tcW w:w="866" w:type="dxa"/>
            <w:tcBorders>
              <w:top w:val="nil"/>
              <w:left w:val="single" w:sz="4" w:space="0" w:color="auto"/>
              <w:bottom w:val="single" w:sz="4" w:space="0" w:color="auto"/>
              <w:right w:val="single" w:sz="8" w:space="0" w:color="auto"/>
            </w:tcBorders>
            <w:shd w:val="clear" w:color="auto" w:fill="auto"/>
            <w:noWrap/>
            <w:vAlign w:val="bottom"/>
            <w:hideMark/>
          </w:tcPr>
          <w:p w14:paraId="3E13F5C5"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107%</w:t>
            </w:r>
          </w:p>
        </w:tc>
      </w:tr>
      <w:tr w:rsidR="002A7E48" w:rsidRPr="002A7E48" w14:paraId="2282C37B" w14:textId="77777777" w:rsidTr="0042240D">
        <w:trPr>
          <w:trHeight w:val="209"/>
        </w:trPr>
        <w:tc>
          <w:tcPr>
            <w:tcW w:w="355" w:type="dxa"/>
            <w:vMerge/>
            <w:tcBorders>
              <w:top w:val="nil"/>
              <w:left w:val="single" w:sz="8" w:space="0" w:color="auto"/>
              <w:bottom w:val="single" w:sz="8" w:space="0" w:color="000000"/>
              <w:right w:val="single" w:sz="4" w:space="0" w:color="auto"/>
            </w:tcBorders>
            <w:vAlign w:val="center"/>
            <w:hideMark/>
          </w:tcPr>
          <w:p w14:paraId="07B110BF" w14:textId="77777777" w:rsidR="002A7E48" w:rsidRPr="002A7E48" w:rsidRDefault="002A7E48" w:rsidP="002A7E48">
            <w:pPr>
              <w:spacing w:after="0" w:line="240" w:lineRule="auto"/>
              <w:rPr>
                <w:rFonts w:ascii="Arial" w:eastAsia="Times New Roman" w:hAnsi="Arial" w:cs="Arial"/>
                <w:color w:val="000000"/>
                <w:sz w:val="16"/>
                <w:szCs w:val="16"/>
                <w:lang w:eastAsia="sl-SI"/>
              </w:rPr>
            </w:pPr>
          </w:p>
        </w:tc>
        <w:tc>
          <w:tcPr>
            <w:tcW w:w="557" w:type="dxa"/>
            <w:tcBorders>
              <w:top w:val="nil"/>
              <w:left w:val="nil"/>
              <w:bottom w:val="single" w:sz="4" w:space="0" w:color="auto"/>
              <w:right w:val="single" w:sz="4" w:space="0" w:color="auto"/>
            </w:tcBorders>
            <w:shd w:val="clear" w:color="auto" w:fill="auto"/>
            <w:noWrap/>
            <w:vAlign w:val="bottom"/>
            <w:hideMark/>
          </w:tcPr>
          <w:p w14:paraId="2EDC2FD4"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ESS</w:t>
            </w:r>
          </w:p>
        </w:tc>
        <w:tc>
          <w:tcPr>
            <w:tcW w:w="980" w:type="dxa"/>
            <w:tcBorders>
              <w:top w:val="nil"/>
              <w:left w:val="nil"/>
              <w:bottom w:val="single" w:sz="4" w:space="0" w:color="auto"/>
              <w:right w:val="nil"/>
            </w:tcBorders>
            <w:shd w:val="clear" w:color="auto" w:fill="auto"/>
            <w:noWrap/>
            <w:vAlign w:val="bottom"/>
            <w:hideMark/>
          </w:tcPr>
          <w:p w14:paraId="50239395"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Zahod</w:t>
            </w:r>
          </w:p>
        </w:tc>
        <w:tc>
          <w:tcPr>
            <w:tcW w:w="1297" w:type="dxa"/>
            <w:tcBorders>
              <w:top w:val="nil"/>
              <w:left w:val="single" w:sz="8" w:space="0" w:color="auto"/>
              <w:bottom w:val="single" w:sz="4" w:space="0" w:color="auto"/>
              <w:right w:val="nil"/>
            </w:tcBorders>
            <w:shd w:val="clear" w:color="auto" w:fill="auto"/>
            <w:noWrap/>
            <w:vAlign w:val="bottom"/>
            <w:hideMark/>
          </w:tcPr>
          <w:p w14:paraId="7FE1A479"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64.984.361</w:t>
            </w:r>
          </w:p>
        </w:tc>
        <w:tc>
          <w:tcPr>
            <w:tcW w:w="1183" w:type="dxa"/>
            <w:tcBorders>
              <w:top w:val="nil"/>
              <w:left w:val="single" w:sz="8" w:space="0" w:color="auto"/>
              <w:bottom w:val="single" w:sz="4" w:space="0" w:color="auto"/>
              <w:right w:val="single" w:sz="4" w:space="0" w:color="auto"/>
            </w:tcBorders>
            <w:shd w:val="clear" w:color="auto" w:fill="auto"/>
            <w:noWrap/>
            <w:vAlign w:val="bottom"/>
            <w:hideMark/>
          </w:tcPr>
          <w:p w14:paraId="0E6FC500"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66.158.743</w:t>
            </w:r>
          </w:p>
        </w:tc>
        <w:tc>
          <w:tcPr>
            <w:tcW w:w="856" w:type="dxa"/>
            <w:tcBorders>
              <w:top w:val="nil"/>
              <w:left w:val="nil"/>
              <w:bottom w:val="single" w:sz="4" w:space="0" w:color="auto"/>
              <w:right w:val="nil"/>
            </w:tcBorders>
            <w:shd w:val="clear" w:color="auto" w:fill="auto"/>
            <w:noWrap/>
            <w:vAlign w:val="bottom"/>
            <w:hideMark/>
          </w:tcPr>
          <w:p w14:paraId="70E53B0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102%</w:t>
            </w:r>
          </w:p>
        </w:tc>
        <w:tc>
          <w:tcPr>
            <w:tcW w:w="1183" w:type="dxa"/>
            <w:tcBorders>
              <w:top w:val="nil"/>
              <w:left w:val="single" w:sz="8" w:space="0" w:color="auto"/>
              <w:bottom w:val="single" w:sz="4" w:space="0" w:color="auto"/>
              <w:right w:val="single" w:sz="4" w:space="0" w:color="auto"/>
            </w:tcBorders>
            <w:shd w:val="clear" w:color="auto" w:fill="auto"/>
            <w:noWrap/>
            <w:vAlign w:val="bottom"/>
            <w:hideMark/>
          </w:tcPr>
          <w:p w14:paraId="25169E4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62.866.068</w:t>
            </w:r>
          </w:p>
        </w:tc>
        <w:tc>
          <w:tcPr>
            <w:tcW w:w="866" w:type="dxa"/>
            <w:tcBorders>
              <w:top w:val="nil"/>
              <w:left w:val="nil"/>
              <w:bottom w:val="single" w:sz="4" w:space="0" w:color="auto"/>
              <w:right w:val="single" w:sz="8" w:space="0" w:color="auto"/>
            </w:tcBorders>
            <w:shd w:val="clear" w:color="auto" w:fill="auto"/>
            <w:noWrap/>
            <w:vAlign w:val="bottom"/>
            <w:hideMark/>
          </w:tcPr>
          <w:p w14:paraId="6FC34470"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97%</w:t>
            </w:r>
          </w:p>
        </w:tc>
        <w:tc>
          <w:tcPr>
            <w:tcW w:w="1183" w:type="dxa"/>
            <w:tcBorders>
              <w:top w:val="nil"/>
              <w:left w:val="nil"/>
              <w:bottom w:val="single" w:sz="4" w:space="0" w:color="auto"/>
              <w:right w:val="nil"/>
            </w:tcBorders>
            <w:shd w:val="clear" w:color="auto" w:fill="auto"/>
            <w:noWrap/>
            <w:vAlign w:val="bottom"/>
            <w:hideMark/>
          </w:tcPr>
          <w:p w14:paraId="31256870"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63.879.734</w:t>
            </w:r>
          </w:p>
        </w:tc>
        <w:tc>
          <w:tcPr>
            <w:tcW w:w="866" w:type="dxa"/>
            <w:tcBorders>
              <w:top w:val="nil"/>
              <w:left w:val="single" w:sz="4" w:space="0" w:color="auto"/>
              <w:bottom w:val="single" w:sz="4" w:space="0" w:color="auto"/>
              <w:right w:val="single" w:sz="8" w:space="0" w:color="auto"/>
            </w:tcBorders>
            <w:shd w:val="clear" w:color="auto" w:fill="auto"/>
            <w:noWrap/>
            <w:vAlign w:val="bottom"/>
            <w:hideMark/>
          </w:tcPr>
          <w:p w14:paraId="03244BF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98%</w:t>
            </w:r>
          </w:p>
        </w:tc>
      </w:tr>
      <w:tr w:rsidR="002A7E48" w:rsidRPr="002A7E48" w14:paraId="423C6A78" w14:textId="77777777" w:rsidTr="0042240D">
        <w:trPr>
          <w:trHeight w:val="209"/>
        </w:trPr>
        <w:tc>
          <w:tcPr>
            <w:tcW w:w="355" w:type="dxa"/>
            <w:vMerge/>
            <w:tcBorders>
              <w:top w:val="nil"/>
              <w:left w:val="single" w:sz="8" w:space="0" w:color="auto"/>
              <w:bottom w:val="single" w:sz="8" w:space="0" w:color="000000"/>
              <w:right w:val="single" w:sz="4" w:space="0" w:color="auto"/>
            </w:tcBorders>
            <w:vAlign w:val="center"/>
            <w:hideMark/>
          </w:tcPr>
          <w:p w14:paraId="0D92187C" w14:textId="77777777" w:rsidR="002A7E48" w:rsidRPr="002A7E48" w:rsidRDefault="002A7E48" w:rsidP="002A7E48">
            <w:pPr>
              <w:spacing w:after="0" w:line="240" w:lineRule="auto"/>
              <w:rPr>
                <w:rFonts w:ascii="Arial" w:eastAsia="Times New Roman" w:hAnsi="Arial" w:cs="Arial"/>
                <w:color w:val="000000"/>
                <w:sz w:val="16"/>
                <w:szCs w:val="16"/>
                <w:lang w:eastAsia="sl-SI"/>
              </w:rPr>
            </w:pPr>
          </w:p>
        </w:tc>
        <w:tc>
          <w:tcPr>
            <w:tcW w:w="557" w:type="dxa"/>
            <w:tcBorders>
              <w:top w:val="nil"/>
              <w:left w:val="nil"/>
              <w:bottom w:val="single" w:sz="4" w:space="0" w:color="auto"/>
              <w:right w:val="single" w:sz="4" w:space="0" w:color="auto"/>
            </w:tcBorders>
            <w:shd w:val="clear" w:color="auto" w:fill="auto"/>
            <w:noWrap/>
            <w:vAlign w:val="bottom"/>
            <w:hideMark/>
          </w:tcPr>
          <w:p w14:paraId="38C20C83"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ESRR</w:t>
            </w:r>
          </w:p>
        </w:tc>
        <w:tc>
          <w:tcPr>
            <w:tcW w:w="980" w:type="dxa"/>
            <w:tcBorders>
              <w:top w:val="nil"/>
              <w:left w:val="nil"/>
              <w:bottom w:val="single" w:sz="4" w:space="0" w:color="auto"/>
              <w:right w:val="nil"/>
            </w:tcBorders>
            <w:shd w:val="clear" w:color="auto" w:fill="auto"/>
            <w:noWrap/>
            <w:vAlign w:val="bottom"/>
            <w:hideMark/>
          </w:tcPr>
          <w:p w14:paraId="0766D1AA"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Vzhod</w:t>
            </w:r>
          </w:p>
        </w:tc>
        <w:tc>
          <w:tcPr>
            <w:tcW w:w="1297" w:type="dxa"/>
            <w:tcBorders>
              <w:top w:val="nil"/>
              <w:left w:val="single" w:sz="8" w:space="0" w:color="auto"/>
              <w:bottom w:val="single" w:sz="4" w:space="0" w:color="auto"/>
              <w:right w:val="nil"/>
            </w:tcBorders>
            <w:shd w:val="clear" w:color="auto" w:fill="auto"/>
            <w:noWrap/>
            <w:vAlign w:val="bottom"/>
            <w:hideMark/>
          </w:tcPr>
          <w:p w14:paraId="0E86129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40.035.380</w:t>
            </w:r>
          </w:p>
        </w:tc>
        <w:tc>
          <w:tcPr>
            <w:tcW w:w="1183" w:type="dxa"/>
            <w:tcBorders>
              <w:top w:val="nil"/>
              <w:left w:val="single" w:sz="8" w:space="0" w:color="auto"/>
              <w:bottom w:val="single" w:sz="4" w:space="0" w:color="auto"/>
              <w:right w:val="single" w:sz="4" w:space="0" w:color="auto"/>
            </w:tcBorders>
            <w:shd w:val="clear" w:color="auto" w:fill="auto"/>
            <w:noWrap/>
            <w:vAlign w:val="bottom"/>
            <w:hideMark/>
          </w:tcPr>
          <w:p w14:paraId="48840EA9"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43.640.747</w:t>
            </w:r>
          </w:p>
        </w:tc>
        <w:tc>
          <w:tcPr>
            <w:tcW w:w="856" w:type="dxa"/>
            <w:tcBorders>
              <w:top w:val="nil"/>
              <w:left w:val="nil"/>
              <w:bottom w:val="single" w:sz="4" w:space="0" w:color="auto"/>
              <w:right w:val="nil"/>
            </w:tcBorders>
            <w:shd w:val="clear" w:color="auto" w:fill="auto"/>
            <w:noWrap/>
            <w:vAlign w:val="bottom"/>
            <w:hideMark/>
          </w:tcPr>
          <w:p w14:paraId="0D334124"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109%</w:t>
            </w:r>
          </w:p>
        </w:tc>
        <w:tc>
          <w:tcPr>
            <w:tcW w:w="1183" w:type="dxa"/>
            <w:tcBorders>
              <w:top w:val="nil"/>
              <w:left w:val="single" w:sz="8" w:space="0" w:color="auto"/>
              <w:bottom w:val="single" w:sz="4" w:space="0" w:color="auto"/>
              <w:right w:val="single" w:sz="4" w:space="0" w:color="auto"/>
            </w:tcBorders>
            <w:shd w:val="clear" w:color="auto" w:fill="auto"/>
            <w:noWrap/>
            <w:vAlign w:val="bottom"/>
            <w:hideMark/>
          </w:tcPr>
          <w:p w14:paraId="0256AA1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39.441.121</w:t>
            </w:r>
          </w:p>
        </w:tc>
        <w:tc>
          <w:tcPr>
            <w:tcW w:w="866" w:type="dxa"/>
            <w:tcBorders>
              <w:top w:val="nil"/>
              <w:left w:val="nil"/>
              <w:bottom w:val="single" w:sz="4" w:space="0" w:color="auto"/>
              <w:right w:val="single" w:sz="8" w:space="0" w:color="auto"/>
            </w:tcBorders>
            <w:shd w:val="clear" w:color="auto" w:fill="auto"/>
            <w:noWrap/>
            <w:vAlign w:val="bottom"/>
            <w:hideMark/>
          </w:tcPr>
          <w:p w14:paraId="51C80E0B"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99%</w:t>
            </w:r>
          </w:p>
        </w:tc>
        <w:tc>
          <w:tcPr>
            <w:tcW w:w="1183" w:type="dxa"/>
            <w:tcBorders>
              <w:top w:val="nil"/>
              <w:left w:val="nil"/>
              <w:bottom w:val="single" w:sz="4" w:space="0" w:color="auto"/>
              <w:right w:val="nil"/>
            </w:tcBorders>
            <w:shd w:val="clear" w:color="auto" w:fill="auto"/>
            <w:noWrap/>
            <w:vAlign w:val="bottom"/>
            <w:hideMark/>
          </w:tcPr>
          <w:p w14:paraId="02CFA61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32.305.734</w:t>
            </w:r>
          </w:p>
        </w:tc>
        <w:tc>
          <w:tcPr>
            <w:tcW w:w="866" w:type="dxa"/>
            <w:tcBorders>
              <w:top w:val="nil"/>
              <w:left w:val="single" w:sz="4" w:space="0" w:color="auto"/>
              <w:bottom w:val="single" w:sz="4" w:space="0" w:color="auto"/>
              <w:right w:val="single" w:sz="8" w:space="0" w:color="auto"/>
            </w:tcBorders>
            <w:shd w:val="clear" w:color="auto" w:fill="auto"/>
            <w:noWrap/>
            <w:vAlign w:val="bottom"/>
            <w:hideMark/>
          </w:tcPr>
          <w:p w14:paraId="7323DF5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81%</w:t>
            </w:r>
          </w:p>
        </w:tc>
      </w:tr>
      <w:tr w:rsidR="002A7E48" w:rsidRPr="002A7E48" w14:paraId="7F7AFDE0" w14:textId="77777777" w:rsidTr="0042240D">
        <w:trPr>
          <w:trHeight w:val="220"/>
        </w:trPr>
        <w:tc>
          <w:tcPr>
            <w:tcW w:w="355" w:type="dxa"/>
            <w:vMerge/>
            <w:tcBorders>
              <w:top w:val="nil"/>
              <w:left w:val="single" w:sz="8" w:space="0" w:color="auto"/>
              <w:bottom w:val="single" w:sz="8" w:space="0" w:color="000000"/>
              <w:right w:val="single" w:sz="4" w:space="0" w:color="auto"/>
            </w:tcBorders>
            <w:vAlign w:val="center"/>
            <w:hideMark/>
          </w:tcPr>
          <w:p w14:paraId="22CD6838" w14:textId="77777777" w:rsidR="002A7E48" w:rsidRPr="002A7E48" w:rsidRDefault="002A7E48" w:rsidP="002A7E48">
            <w:pPr>
              <w:spacing w:after="0" w:line="240" w:lineRule="auto"/>
              <w:rPr>
                <w:rFonts w:ascii="Arial" w:eastAsia="Times New Roman" w:hAnsi="Arial" w:cs="Arial"/>
                <w:color w:val="000000"/>
                <w:sz w:val="16"/>
                <w:szCs w:val="16"/>
                <w:lang w:eastAsia="sl-SI"/>
              </w:rPr>
            </w:pPr>
          </w:p>
        </w:tc>
        <w:tc>
          <w:tcPr>
            <w:tcW w:w="557" w:type="dxa"/>
            <w:tcBorders>
              <w:top w:val="nil"/>
              <w:left w:val="nil"/>
              <w:bottom w:val="single" w:sz="8" w:space="0" w:color="auto"/>
              <w:right w:val="single" w:sz="4" w:space="0" w:color="auto"/>
            </w:tcBorders>
            <w:shd w:val="clear" w:color="auto" w:fill="auto"/>
            <w:noWrap/>
            <w:vAlign w:val="bottom"/>
            <w:hideMark/>
          </w:tcPr>
          <w:p w14:paraId="3D23F207"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ESRR</w:t>
            </w:r>
          </w:p>
        </w:tc>
        <w:tc>
          <w:tcPr>
            <w:tcW w:w="980" w:type="dxa"/>
            <w:tcBorders>
              <w:top w:val="nil"/>
              <w:left w:val="nil"/>
              <w:bottom w:val="single" w:sz="8" w:space="0" w:color="auto"/>
              <w:right w:val="nil"/>
            </w:tcBorders>
            <w:shd w:val="clear" w:color="auto" w:fill="auto"/>
            <w:noWrap/>
            <w:vAlign w:val="bottom"/>
            <w:hideMark/>
          </w:tcPr>
          <w:p w14:paraId="2708CD89"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Zahod</w:t>
            </w:r>
          </w:p>
        </w:tc>
        <w:tc>
          <w:tcPr>
            <w:tcW w:w="1297" w:type="dxa"/>
            <w:tcBorders>
              <w:top w:val="nil"/>
              <w:left w:val="single" w:sz="8" w:space="0" w:color="auto"/>
              <w:bottom w:val="single" w:sz="8" w:space="0" w:color="auto"/>
              <w:right w:val="nil"/>
            </w:tcBorders>
            <w:shd w:val="clear" w:color="auto" w:fill="auto"/>
            <w:noWrap/>
            <w:vAlign w:val="bottom"/>
            <w:hideMark/>
          </w:tcPr>
          <w:p w14:paraId="17C1D631"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32.917.180</w:t>
            </w:r>
          </w:p>
        </w:tc>
        <w:tc>
          <w:tcPr>
            <w:tcW w:w="1183" w:type="dxa"/>
            <w:tcBorders>
              <w:top w:val="nil"/>
              <w:left w:val="single" w:sz="8" w:space="0" w:color="auto"/>
              <w:bottom w:val="single" w:sz="8" w:space="0" w:color="auto"/>
              <w:right w:val="single" w:sz="4" w:space="0" w:color="auto"/>
            </w:tcBorders>
            <w:shd w:val="clear" w:color="auto" w:fill="auto"/>
            <w:noWrap/>
            <w:vAlign w:val="bottom"/>
            <w:hideMark/>
          </w:tcPr>
          <w:p w14:paraId="0242CBF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33.175.952</w:t>
            </w:r>
          </w:p>
        </w:tc>
        <w:tc>
          <w:tcPr>
            <w:tcW w:w="856" w:type="dxa"/>
            <w:tcBorders>
              <w:top w:val="nil"/>
              <w:left w:val="nil"/>
              <w:bottom w:val="single" w:sz="8" w:space="0" w:color="auto"/>
              <w:right w:val="nil"/>
            </w:tcBorders>
            <w:shd w:val="clear" w:color="auto" w:fill="auto"/>
            <w:noWrap/>
            <w:vAlign w:val="bottom"/>
            <w:hideMark/>
          </w:tcPr>
          <w:p w14:paraId="5797F5CF"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101%</w:t>
            </w:r>
          </w:p>
        </w:tc>
        <w:tc>
          <w:tcPr>
            <w:tcW w:w="1183" w:type="dxa"/>
            <w:tcBorders>
              <w:top w:val="nil"/>
              <w:left w:val="single" w:sz="8" w:space="0" w:color="auto"/>
              <w:bottom w:val="single" w:sz="8" w:space="0" w:color="auto"/>
              <w:right w:val="single" w:sz="4" w:space="0" w:color="auto"/>
            </w:tcBorders>
            <w:shd w:val="clear" w:color="auto" w:fill="auto"/>
            <w:noWrap/>
            <w:vAlign w:val="bottom"/>
            <w:hideMark/>
          </w:tcPr>
          <w:p w14:paraId="7BBDE4AF"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31.574.572</w:t>
            </w:r>
          </w:p>
        </w:tc>
        <w:tc>
          <w:tcPr>
            <w:tcW w:w="866" w:type="dxa"/>
            <w:tcBorders>
              <w:top w:val="nil"/>
              <w:left w:val="nil"/>
              <w:bottom w:val="single" w:sz="8" w:space="0" w:color="auto"/>
              <w:right w:val="single" w:sz="8" w:space="0" w:color="auto"/>
            </w:tcBorders>
            <w:shd w:val="clear" w:color="auto" w:fill="auto"/>
            <w:noWrap/>
            <w:vAlign w:val="bottom"/>
            <w:hideMark/>
          </w:tcPr>
          <w:p w14:paraId="3EFB004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96%</w:t>
            </w:r>
          </w:p>
        </w:tc>
        <w:tc>
          <w:tcPr>
            <w:tcW w:w="1183" w:type="dxa"/>
            <w:tcBorders>
              <w:top w:val="nil"/>
              <w:left w:val="nil"/>
              <w:bottom w:val="single" w:sz="8" w:space="0" w:color="auto"/>
              <w:right w:val="nil"/>
            </w:tcBorders>
            <w:shd w:val="clear" w:color="auto" w:fill="auto"/>
            <w:noWrap/>
            <w:vAlign w:val="bottom"/>
            <w:hideMark/>
          </w:tcPr>
          <w:p w14:paraId="3E46F452"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23.307.646</w:t>
            </w:r>
          </w:p>
        </w:tc>
        <w:tc>
          <w:tcPr>
            <w:tcW w:w="866" w:type="dxa"/>
            <w:tcBorders>
              <w:top w:val="nil"/>
              <w:left w:val="single" w:sz="4" w:space="0" w:color="auto"/>
              <w:bottom w:val="single" w:sz="8" w:space="0" w:color="auto"/>
              <w:right w:val="single" w:sz="8" w:space="0" w:color="auto"/>
            </w:tcBorders>
            <w:shd w:val="clear" w:color="auto" w:fill="auto"/>
            <w:noWrap/>
            <w:vAlign w:val="bottom"/>
            <w:hideMark/>
          </w:tcPr>
          <w:p w14:paraId="4317B4AC"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71%</w:t>
            </w:r>
          </w:p>
        </w:tc>
      </w:tr>
      <w:tr w:rsidR="002A7E48" w:rsidRPr="002A7E48" w14:paraId="4209135C" w14:textId="77777777" w:rsidTr="0042240D">
        <w:trPr>
          <w:trHeight w:val="209"/>
        </w:trPr>
        <w:tc>
          <w:tcPr>
            <w:tcW w:w="355" w:type="dxa"/>
            <w:vMerge w:val="restart"/>
            <w:tcBorders>
              <w:top w:val="nil"/>
              <w:left w:val="single" w:sz="8" w:space="0" w:color="auto"/>
              <w:bottom w:val="single" w:sz="8" w:space="0" w:color="000000"/>
              <w:right w:val="single" w:sz="4" w:space="0" w:color="auto"/>
            </w:tcBorders>
            <w:shd w:val="clear" w:color="auto" w:fill="auto"/>
            <w:noWrap/>
            <w:vAlign w:val="bottom"/>
            <w:hideMark/>
          </w:tcPr>
          <w:p w14:paraId="2C6A80F3"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w:t>
            </w:r>
          </w:p>
        </w:tc>
        <w:tc>
          <w:tcPr>
            <w:tcW w:w="557" w:type="dxa"/>
            <w:tcBorders>
              <w:top w:val="nil"/>
              <w:left w:val="nil"/>
              <w:bottom w:val="single" w:sz="4" w:space="0" w:color="auto"/>
              <w:right w:val="single" w:sz="4" w:space="0" w:color="auto"/>
            </w:tcBorders>
            <w:shd w:val="clear" w:color="auto" w:fill="auto"/>
            <w:noWrap/>
            <w:vAlign w:val="bottom"/>
            <w:hideMark/>
          </w:tcPr>
          <w:p w14:paraId="0CE1A673"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ESS</w:t>
            </w:r>
          </w:p>
        </w:tc>
        <w:tc>
          <w:tcPr>
            <w:tcW w:w="980" w:type="dxa"/>
            <w:tcBorders>
              <w:top w:val="nil"/>
              <w:left w:val="nil"/>
              <w:bottom w:val="single" w:sz="4" w:space="0" w:color="auto"/>
              <w:right w:val="nil"/>
            </w:tcBorders>
            <w:shd w:val="clear" w:color="auto" w:fill="auto"/>
            <w:noWrap/>
            <w:vAlign w:val="bottom"/>
            <w:hideMark/>
          </w:tcPr>
          <w:p w14:paraId="47BB37C8"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Vzhod</w:t>
            </w:r>
          </w:p>
        </w:tc>
        <w:tc>
          <w:tcPr>
            <w:tcW w:w="1297" w:type="dxa"/>
            <w:tcBorders>
              <w:top w:val="nil"/>
              <w:left w:val="single" w:sz="8" w:space="0" w:color="auto"/>
              <w:bottom w:val="single" w:sz="4" w:space="0" w:color="auto"/>
              <w:right w:val="nil"/>
            </w:tcBorders>
            <w:shd w:val="clear" w:color="auto" w:fill="auto"/>
            <w:noWrap/>
            <w:vAlign w:val="bottom"/>
            <w:hideMark/>
          </w:tcPr>
          <w:p w14:paraId="7457E1B9"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120.676.227</w:t>
            </w:r>
          </w:p>
        </w:tc>
        <w:tc>
          <w:tcPr>
            <w:tcW w:w="1183" w:type="dxa"/>
            <w:tcBorders>
              <w:top w:val="nil"/>
              <w:left w:val="single" w:sz="8" w:space="0" w:color="auto"/>
              <w:bottom w:val="single" w:sz="4" w:space="0" w:color="auto"/>
              <w:right w:val="single" w:sz="4" w:space="0" w:color="auto"/>
            </w:tcBorders>
            <w:shd w:val="clear" w:color="auto" w:fill="auto"/>
            <w:noWrap/>
            <w:vAlign w:val="bottom"/>
            <w:hideMark/>
          </w:tcPr>
          <w:p w14:paraId="6A7B6FE3"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117.654.080</w:t>
            </w:r>
          </w:p>
        </w:tc>
        <w:tc>
          <w:tcPr>
            <w:tcW w:w="856" w:type="dxa"/>
            <w:tcBorders>
              <w:top w:val="nil"/>
              <w:left w:val="nil"/>
              <w:bottom w:val="single" w:sz="4" w:space="0" w:color="auto"/>
              <w:right w:val="nil"/>
            </w:tcBorders>
            <w:shd w:val="clear" w:color="auto" w:fill="auto"/>
            <w:noWrap/>
            <w:vAlign w:val="bottom"/>
            <w:hideMark/>
          </w:tcPr>
          <w:p w14:paraId="1C805712"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97%</w:t>
            </w:r>
          </w:p>
        </w:tc>
        <w:tc>
          <w:tcPr>
            <w:tcW w:w="1183" w:type="dxa"/>
            <w:tcBorders>
              <w:top w:val="nil"/>
              <w:left w:val="single" w:sz="8" w:space="0" w:color="auto"/>
              <w:bottom w:val="single" w:sz="4" w:space="0" w:color="auto"/>
              <w:right w:val="single" w:sz="4" w:space="0" w:color="auto"/>
            </w:tcBorders>
            <w:shd w:val="clear" w:color="auto" w:fill="auto"/>
            <w:noWrap/>
            <w:vAlign w:val="bottom"/>
            <w:hideMark/>
          </w:tcPr>
          <w:p w14:paraId="02990DD5"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111.018.934</w:t>
            </w:r>
          </w:p>
        </w:tc>
        <w:tc>
          <w:tcPr>
            <w:tcW w:w="866" w:type="dxa"/>
            <w:tcBorders>
              <w:top w:val="nil"/>
              <w:left w:val="nil"/>
              <w:bottom w:val="single" w:sz="4" w:space="0" w:color="auto"/>
              <w:right w:val="single" w:sz="8" w:space="0" w:color="auto"/>
            </w:tcBorders>
            <w:shd w:val="clear" w:color="auto" w:fill="auto"/>
            <w:noWrap/>
            <w:vAlign w:val="bottom"/>
            <w:hideMark/>
          </w:tcPr>
          <w:p w14:paraId="44B45203"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92%</w:t>
            </w:r>
          </w:p>
        </w:tc>
        <w:tc>
          <w:tcPr>
            <w:tcW w:w="1183" w:type="dxa"/>
            <w:tcBorders>
              <w:top w:val="nil"/>
              <w:left w:val="nil"/>
              <w:bottom w:val="single" w:sz="4" w:space="0" w:color="auto"/>
              <w:right w:val="nil"/>
            </w:tcBorders>
            <w:shd w:val="clear" w:color="auto" w:fill="auto"/>
            <w:noWrap/>
            <w:vAlign w:val="bottom"/>
            <w:hideMark/>
          </w:tcPr>
          <w:p w14:paraId="54BB0852"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104.218.364</w:t>
            </w:r>
          </w:p>
        </w:tc>
        <w:tc>
          <w:tcPr>
            <w:tcW w:w="866" w:type="dxa"/>
            <w:tcBorders>
              <w:top w:val="nil"/>
              <w:left w:val="single" w:sz="4" w:space="0" w:color="auto"/>
              <w:bottom w:val="single" w:sz="4" w:space="0" w:color="auto"/>
              <w:right w:val="single" w:sz="8" w:space="0" w:color="auto"/>
            </w:tcBorders>
            <w:shd w:val="clear" w:color="auto" w:fill="auto"/>
            <w:noWrap/>
            <w:vAlign w:val="bottom"/>
            <w:hideMark/>
          </w:tcPr>
          <w:p w14:paraId="263B0A5B"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86%</w:t>
            </w:r>
          </w:p>
        </w:tc>
      </w:tr>
      <w:tr w:rsidR="002A7E48" w:rsidRPr="002A7E48" w14:paraId="01287789" w14:textId="77777777" w:rsidTr="0042240D">
        <w:trPr>
          <w:trHeight w:val="209"/>
        </w:trPr>
        <w:tc>
          <w:tcPr>
            <w:tcW w:w="355" w:type="dxa"/>
            <w:vMerge/>
            <w:tcBorders>
              <w:top w:val="nil"/>
              <w:left w:val="single" w:sz="8" w:space="0" w:color="auto"/>
              <w:bottom w:val="single" w:sz="8" w:space="0" w:color="000000"/>
              <w:right w:val="single" w:sz="4" w:space="0" w:color="auto"/>
            </w:tcBorders>
            <w:vAlign w:val="center"/>
            <w:hideMark/>
          </w:tcPr>
          <w:p w14:paraId="71388324" w14:textId="77777777" w:rsidR="002A7E48" w:rsidRPr="002A7E48" w:rsidRDefault="002A7E48" w:rsidP="002A7E48">
            <w:pPr>
              <w:spacing w:after="0" w:line="240" w:lineRule="auto"/>
              <w:rPr>
                <w:rFonts w:ascii="Arial" w:eastAsia="Times New Roman" w:hAnsi="Arial" w:cs="Arial"/>
                <w:color w:val="000000"/>
                <w:sz w:val="16"/>
                <w:szCs w:val="16"/>
                <w:lang w:eastAsia="sl-SI"/>
              </w:rPr>
            </w:pPr>
          </w:p>
        </w:tc>
        <w:tc>
          <w:tcPr>
            <w:tcW w:w="557" w:type="dxa"/>
            <w:tcBorders>
              <w:top w:val="nil"/>
              <w:left w:val="nil"/>
              <w:bottom w:val="single" w:sz="4" w:space="0" w:color="auto"/>
              <w:right w:val="single" w:sz="4" w:space="0" w:color="auto"/>
            </w:tcBorders>
            <w:shd w:val="clear" w:color="auto" w:fill="auto"/>
            <w:noWrap/>
            <w:vAlign w:val="bottom"/>
            <w:hideMark/>
          </w:tcPr>
          <w:p w14:paraId="200BEA4D"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ESS</w:t>
            </w:r>
          </w:p>
        </w:tc>
        <w:tc>
          <w:tcPr>
            <w:tcW w:w="980" w:type="dxa"/>
            <w:tcBorders>
              <w:top w:val="nil"/>
              <w:left w:val="nil"/>
              <w:bottom w:val="single" w:sz="4" w:space="0" w:color="auto"/>
              <w:right w:val="nil"/>
            </w:tcBorders>
            <w:shd w:val="clear" w:color="auto" w:fill="auto"/>
            <w:noWrap/>
            <w:vAlign w:val="bottom"/>
            <w:hideMark/>
          </w:tcPr>
          <w:p w14:paraId="042846F2"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Zahod</w:t>
            </w:r>
          </w:p>
        </w:tc>
        <w:tc>
          <w:tcPr>
            <w:tcW w:w="1297" w:type="dxa"/>
            <w:tcBorders>
              <w:top w:val="nil"/>
              <w:left w:val="single" w:sz="8" w:space="0" w:color="auto"/>
              <w:bottom w:val="single" w:sz="4" w:space="0" w:color="auto"/>
              <w:right w:val="nil"/>
            </w:tcBorders>
            <w:shd w:val="clear" w:color="auto" w:fill="auto"/>
            <w:noWrap/>
            <w:vAlign w:val="bottom"/>
            <w:hideMark/>
          </w:tcPr>
          <w:p w14:paraId="18366385"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92.181.016</w:t>
            </w:r>
          </w:p>
        </w:tc>
        <w:tc>
          <w:tcPr>
            <w:tcW w:w="1183" w:type="dxa"/>
            <w:tcBorders>
              <w:top w:val="nil"/>
              <w:left w:val="single" w:sz="8" w:space="0" w:color="auto"/>
              <w:bottom w:val="single" w:sz="4" w:space="0" w:color="auto"/>
              <w:right w:val="single" w:sz="4" w:space="0" w:color="auto"/>
            </w:tcBorders>
            <w:shd w:val="clear" w:color="auto" w:fill="auto"/>
            <w:noWrap/>
            <w:vAlign w:val="bottom"/>
            <w:hideMark/>
          </w:tcPr>
          <w:p w14:paraId="7994A23B"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96.340.223</w:t>
            </w:r>
          </w:p>
        </w:tc>
        <w:tc>
          <w:tcPr>
            <w:tcW w:w="856" w:type="dxa"/>
            <w:tcBorders>
              <w:top w:val="nil"/>
              <w:left w:val="nil"/>
              <w:bottom w:val="single" w:sz="4" w:space="0" w:color="auto"/>
              <w:right w:val="nil"/>
            </w:tcBorders>
            <w:shd w:val="clear" w:color="auto" w:fill="auto"/>
            <w:noWrap/>
            <w:vAlign w:val="bottom"/>
            <w:hideMark/>
          </w:tcPr>
          <w:p w14:paraId="5620A51F"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105%</w:t>
            </w:r>
          </w:p>
        </w:tc>
        <w:tc>
          <w:tcPr>
            <w:tcW w:w="1183" w:type="dxa"/>
            <w:tcBorders>
              <w:top w:val="nil"/>
              <w:left w:val="single" w:sz="8" w:space="0" w:color="auto"/>
              <w:bottom w:val="single" w:sz="4" w:space="0" w:color="auto"/>
              <w:right w:val="single" w:sz="4" w:space="0" w:color="auto"/>
            </w:tcBorders>
            <w:shd w:val="clear" w:color="auto" w:fill="auto"/>
            <w:noWrap/>
            <w:vAlign w:val="bottom"/>
            <w:hideMark/>
          </w:tcPr>
          <w:p w14:paraId="3D6B817C"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92.555.976</w:t>
            </w:r>
          </w:p>
        </w:tc>
        <w:tc>
          <w:tcPr>
            <w:tcW w:w="866" w:type="dxa"/>
            <w:tcBorders>
              <w:top w:val="nil"/>
              <w:left w:val="nil"/>
              <w:bottom w:val="single" w:sz="4" w:space="0" w:color="auto"/>
              <w:right w:val="single" w:sz="8" w:space="0" w:color="auto"/>
            </w:tcBorders>
            <w:shd w:val="clear" w:color="auto" w:fill="auto"/>
            <w:noWrap/>
            <w:vAlign w:val="bottom"/>
            <w:hideMark/>
          </w:tcPr>
          <w:p w14:paraId="6053491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100%</w:t>
            </w:r>
          </w:p>
        </w:tc>
        <w:tc>
          <w:tcPr>
            <w:tcW w:w="1183" w:type="dxa"/>
            <w:tcBorders>
              <w:top w:val="nil"/>
              <w:left w:val="nil"/>
              <w:bottom w:val="single" w:sz="4" w:space="0" w:color="auto"/>
              <w:right w:val="nil"/>
            </w:tcBorders>
            <w:shd w:val="clear" w:color="auto" w:fill="auto"/>
            <w:noWrap/>
            <w:vAlign w:val="bottom"/>
            <w:hideMark/>
          </w:tcPr>
          <w:p w14:paraId="7628B9EB"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86.010.616</w:t>
            </w:r>
          </w:p>
        </w:tc>
        <w:tc>
          <w:tcPr>
            <w:tcW w:w="866" w:type="dxa"/>
            <w:tcBorders>
              <w:top w:val="nil"/>
              <w:left w:val="single" w:sz="4" w:space="0" w:color="auto"/>
              <w:bottom w:val="single" w:sz="4" w:space="0" w:color="auto"/>
              <w:right w:val="single" w:sz="8" w:space="0" w:color="auto"/>
            </w:tcBorders>
            <w:shd w:val="clear" w:color="auto" w:fill="auto"/>
            <w:noWrap/>
            <w:vAlign w:val="bottom"/>
            <w:hideMark/>
          </w:tcPr>
          <w:p w14:paraId="13716B27"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93%</w:t>
            </w:r>
          </w:p>
        </w:tc>
      </w:tr>
      <w:tr w:rsidR="002A7E48" w:rsidRPr="002A7E48" w14:paraId="6E656F32" w14:textId="77777777" w:rsidTr="0042240D">
        <w:trPr>
          <w:trHeight w:val="209"/>
        </w:trPr>
        <w:tc>
          <w:tcPr>
            <w:tcW w:w="355" w:type="dxa"/>
            <w:vMerge/>
            <w:tcBorders>
              <w:top w:val="nil"/>
              <w:left w:val="single" w:sz="8" w:space="0" w:color="auto"/>
              <w:bottom w:val="single" w:sz="8" w:space="0" w:color="000000"/>
              <w:right w:val="single" w:sz="4" w:space="0" w:color="auto"/>
            </w:tcBorders>
            <w:vAlign w:val="center"/>
            <w:hideMark/>
          </w:tcPr>
          <w:p w14:paraId="087E775F" w14:textId="77777777" w:rsidR="002A7E48" w:rsidRPr="002A7E48" w:rsidRDefault="002A7E48" w:rsidP="002A7E48">
            <w:pPr>
              <w:spacing w:after="0" w:line="240" w:lineRule="auto"/>
              <w:rPr>
                <w:rFonts w:ascii="Arial" w:eastAsia="Times New Roman" w:hAnsi="Arial" w:cs="Arial"/>
                <w:color w:val="000000"/>
                <w:sz w:val="16"/>
                <w:szCs w:val="16"/>
                <w:lang w:eastAsia="sl-SI"/>
              </w:rPr>
            </w:pPr>
          </w:p>
        </w:tc>
        <w:tc>
          <w:tcPr>
            <w:tcW w:w="557" w:type="dxa"/>
            <w:tcBorders>
              <w:top w:val="nil"/>
              <w:left w:val="nil"/>
              <w:bottom w:val="single" w:sz="4" w:space="0" w:color="auto"/>
              <w:right w:val="single" w:sz="4" w:space="0" w:color="auto"/>
            </w:tcBorders>
            <w:shd w:val="clear" w:color="auto" w:fill="auto"/>
            <w:noWrap/>
            <w:vAlign w:val="bottom"/>
            <w:hideMark/>
          </w:tcPr>
          <w:p w14:paraId="76B63E9E"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ESRR</w:t>
            </w:r>
          </w:p>
        </w:tc>
        <w:tc>
          <w:tcPr>
            <w:tcW w:w="980" w:type="dxa"/>
            <w:tcBorders>
              <w:top w:val="nil"/>
              <w:left w:val="nil"/>
              <w:bottom w:val="single" w:sz="4" w:space="0" w:color="auto"/>
              <w:right w:val="nil"/>
            </w:tcBorders>
            <w:shd w:val="clear" w:color="auto" w:fill="auto"/>
            <w:noWrap/>
            <w:vAlign w:val="bottom"/>
            <w:hideMark/>
          </w:tcPr>
          <w:p w14:paraId="488D2733"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Vzhod</w:t>
            </w:r>
          </w:p>
        </w:tc>
        <w:tc>
          <w:tcPr>
            <w:tcW w:w="1297" w:type="dxa"/>
            <w:tcBorders>
              <w:top w:val="nil"/>
              <w:left w:val="single" w:sz="8" w:space="0" w:color="auto"/>
              <w:bottom w:val="single" w:sz="4" w:space="0" w:color="auto"/>
              <w:right w:val="nil"/>
            </w:tcBorders>
            <w:shd w:val="clear" w:color="auto" w:fill="auto"/>
            <w:noWrap/>
            <w:vAlign w:val="bottom"/>
            <w:hideMark/>
          </w:tcPr>
          <w:p w14:paraId="6A25B20E"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10.014.152</w:t>
            </w:r>
          </w:p>
        </w:tc>
        <w:tc>
          <w:tcPr>
            <w:tcW w:w="1183" w:type="dxa"/>
            <w:tcBorders>
              <w:top w:val="nil"/>
              <w:left w:val="single" w:sz="8" w:space="0" w:color="auto"/>
              <w:bottom w:val="single" w:sz="4" w:space="0" w:color="auto"/>
              <w:right w:val="single" w:sz="4" w:space="0" w:color="auto"/>
            </w:tcBorders>
            <w:shd w:val="clear" w:color="auto" w:fill="auto"/>
            <w:noWrap/>
            <w:vAlign w:val="bottom"/>
            <w:hideMark/>
          </w:tcPr>
          <w:p w14:paraId="432CBDD2"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10.842.390</w:t>
            </w:r>
          </w:p>
        </w:tc>
        <w:tc>
          <w:tcPr>
            <w:tcW w:w="856" w:type="dxa"/>
            <w:tcBorders>
              <w:top w:val="nil"/>
              <w:left w:val="nil"/>
              <w:bottom w:val="single" w:sz="4" w:space="0" w:color="auto"/>
              <w:right w:val="nil"/>
            </w:tcBorders>
            <w:shd w:val="clear" w:color="auto" w:fill="auto"/>
            <w:noWrap/>
            <w:vAlign w:val="bottom"/>
            <w:hideMark/>
          </w:tcPr>
          <w:p w14:paraId="267AE8FF"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108%</w:t>
            </w:r>
          </w:p>
        </w:tc>
        <w:tc>
          <w:tcPr>
            <w:tcW w:w="1183" w:type="dxa"/>
            <w:tcBorders>
              <w:top w:val="nil"/>
              <w:left w:val="single" w:sz="8" w:space="0" w:color="auto"/>
              <w:bottom w:val="single" w:sz="4" w:space="0" w:color="auto"/>
              <w:right w:val="single" w:sz="4" w:space="0" w:color="auto"/>
            </w:tcBorders>
            <w:shd w:val="clear" w:color="auto" w:fill="auto"/>
            <w:noWrap/>
            <w:vAlign w:val="bottom"/>
            <w:hideMark/>
          </w:tcPr>
          <w:p w14:paraId="544951F5"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12.332.076</w:t>
            </w:r>
          </w:p>
        </w:tc>
        <w:tc>
          <w:tcPr>
            <w:tcW w:w="866" w:type="dxa"/>
            <w:tcBorders>
              <w:top w:val="nil"/>
              <w:left w:val="nil"/>
              <w:bottom w:val="single" w:sz="4" w:space="0" w:color="auto"/>
              <w:right w:val="single" w:sz="8" w:space="0" w:color="auto"/>
            </w:tcBorders>
            <w:shd w:val="clear" w:color="auto" w:fill="auto"/>
            <w:noWrap/>
            <w:vAlign w:val="bottom"/>
            <w:hideMark/>
          </w:tcPr>
          <w:p w14:paraId="1BD9FD3F"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123%</w:t>
            </w:r>
          </w:p>
        </w:tc>
        <w:tc>
          <w:tcPr>
            <w:tcW w:w="1183" w:type="dxa"/>
            <w:tcBorders>
              <w:top w:val="nil"/>
              <w:left w:val="nil"/>
              <w:bottom w:val="single" w:sz="4" w:space="0" w:color="auto"/>
              <w:right w:val="nil"/>
            </w:tcBorders>
            <w:shd w:val="clear" w:color="auto" w:fill="auto"/>
            <w:noWrap/>
            <w:vAlign w:val="bottom"/>
            <w:hideMark/>
          </w:tcPr>
          <w:p w14:paraId="14D51A2E"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10.371.741</w:t>
            </w:r>
          </w:p>
        </w:tc>
        <w:tc>
          <w:tcPr>
            <w:tcW w:w="866" w:type="dxa"/>
            <w:tcBorders>
              <w:top w:val="nil"/>
              <w:left w:val="single" w:sz="4" w:space="0" w:color="auto"/>
              <w:bottom w:val="single" w:sz="4" w:space="0" w:color="auto"/>
              <w:right w:val="single" w:sz="8" w:space="0" w:color="auto"/>
            </w:tcBorders>
            <w:shd w:val="clear" w:color="auto" w:fill="auto"/>
            <w:noWrap/>
            <w:vAlign w:val="bottom"/>
            <w:hideMark/>
          </w:tcPr>
          <w:p w14:paraId="4E5A0457"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104%</w:t>
            </w:r>
          </w:p>
        </w:tc>
      </w:tr>
      <w:tr w:rsidR="002A7E48" w:rsidRPr="002A7E48" w14:paraId="5449EE7B" w14:textId="77777777" w:rsidTr="0042240D">
        <w:trPr>
          <w:trHeight w:val="220"/>
        </w:trPr>
        <w:tc>
          <w:tcPr>
            <w:tcW w:w="355" w:type="dxa"/>
            <w:vMerge/>
            <w:tcBorders>
              <w:top w:val="nil"/>
              <w:left w:val="single" w:sz="8" w:space="0" w:color="auto"/>
              <w:bottom w:val="single" w:sz="8" w:space="0" w:color="000000"/>
              <w:right w:val="single" w:sz="4" w:space="0" w:color="auto"/>
            </w:tcBorders>
            <w:vAlign w:val="center"/>
            <w:hideMark/>
          </w:tcPr>
          <w:p w14:paraId="4467B917" w14:textId="77777777" w:rsidR="002A7E48" w:rsidRPr="002A7E48" w:rsidRDefault="002A7E48" w:rsidP="002A7E48">
            <w:pPr>
              <w:spacing w:after="0" w:line="240" w:lineRule="auto"/>
              <w:rPr>
                <w:rFonts w:ascii="Arial" w:eastAsia="Times New Roman" w:hAnsi="Arial" w:cs="Arial"/>
                <w:color w:val="000000"/>
                <w:sz w:val="16"/>
                <w:szCs w:val="16"/>
                <w:lang w:eastAsia="sl-SI"/>
              </w:rPr>
            </w:pPr>
          </w:p>
        </w:tc>
        <w:tc>
          <w:tcPr>
            <w:tcW w:w="557" w:type="dxa"/>
            <w:tcBorders>
              <w:top w:val="nil"/>
              <w:left w:val="nil"/>
              <w:bottom w:val="single" w:sz="8" w:space="0" w:color="auto"/>
              <w:right w:val="single" w:sz="4" w:space="0" w:color="auto"/>
            </w:tcBorders>
            <w:shd w:val="clear" w:color="auto" w:fill="auto"/>
            <w:noWrap/>
            <w:vAlign w:val="bottom"/>
            <w:hideMark/>
          </w:tcPr>
          <w:p w14:paraId="5A347ECC"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ESRR</w:t>
            </w:r>
          </w:p>
        </w:tc>
        <w:tc>
          <w:tcPr>
            <w:tcW w:w="980" w:type="dxa"/>
            <w:tcBorders>
              <w:top w:val="nil"/>
              <w:left w:val="nil"/>
              <w:bottom w:val="single" w:sz="8" w:space="0" w:color="auto"/>
              <w:right w:val="nil"/>
            </w:tcBorders>
            <w:shd w:val="clear" w:color="auto" w:fill="auto"/>
            <w:noWrap/>
            <w:vAlign w:val="bottom"/>
            <w:hideMark/>
          </w:tcPr>
          <w:p w14:paraId="2AF130FA"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Zahod</w:t>
            </w:r>
          </w:p>
        </w:tc>
        <w:tc>
          <w:tcPr>
            <w:tcW w:w="1297" w:type="dxa"/>
            <w:tcBorders>
              <w:top w:val="nil"/>
              <w:left w:val="single" w:sz="8" w:space="0" w:color="auto"/>
              <w:bottom w:val="nil"/>
              <w:right w:val="nil"/>
            </w:tcBorders>
            <w:shd w:val="clear" w:color="auto" w:fill="auto"/>
            <w:noWrap/>
            <w:vAlign w:val="bottom"/>
            <w:hideMark/>
          </w:tcPr>
          <w:p w14:paraId="01F0AAA2"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10.009.139</w:t>
            </w:r>
          </w:p>
        </w:tc>
        <w:tc>
          <w:tcPr>
            <w:tcW w:w="1183" w:type="dxa"/>
            <w:tcBorders>
              <w:top w:val="nil"/>
              <w:left w:val="single" w:sz="8" w:space="0" w:color="auto"/>
              <w:bottom w:val="nil"/>
              <w:right w:val="single" w:sz="4" w:space="0" w:color="auto"/>
            </w:tcBorders>
            <w:shd w:val="clear" w:color="auto" w:fill="auto"/>
            <w:noWrap/>
            <w:vAlign w:val="bottom"/>
            <w:hideMark/>
          </w:tcPr>
          <w:p w14:paraId="08CECB1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10.900.125</w:t>
            </w:r>
          </w:p>
        </w:tc>
        <w:tc>
          <w:tcPr>
            <w:tcW w:w="856" w:type="dxa"/>
            <w:tcBorders>
              <w:top w:val="nil"/>
              <w:left w:val="nil"/>
              <w:bottom w:val="nil"/>
              <w:right w:val="nil"/>
            </w:tcBorders>
            <w:shd w:val="clear" w:color="auto" w:fill="auto"/>
            <w:noWrap/>
            <w:vAlign w:val="bottom"/>
            <w:hideMark/>
          </w:tcPr>
          <w:p w14:paraId="0051FAB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109%</w:t>
            </w:r>
          </w:p>
        </w:tc>
        <w:tc>
          <w:tcPr>
            <w:tcW w:w="1183" w:type="dxa"/>
            <w:tcBorders>
              <w:top w:val="nil"/>
              <w:left w:val="single" w:sz="8" w:space="0" w:color="auto"/>
              <w:bottom w:val="single" w:sz="8" w:space="0" w:color="auto"/>
              <w:right w:val="single" w:sz="4" w:space="0" w:color="auto"/>
            </w:tcBorders>
            <w:shd w:val="clear" w:color="auto" w:fill="auto"/>
            <w:noWrap/>
            <w:vAlign w:val="bottom"/>
            <w:hideMark/>
          </w:tcPr>
          <w:p w14:paraId="640C024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12.411.215</w:t>
            </w:r>
          </w:p>
        </w:tc>
        <w:tc>
          <w:tcPr>
            <w:tcW w:w="866" w:type="dxa"/>
            <w:tcBorders>
              <w:top w:val="nil"/>
              <w:left w:val="nil"/>
              <w:bottom w:val="single" w:sz="8" w:space="0" w:color="auto"/>
              <w:right w:val="single" w:sz="8" w:space="0" w:color="auto"/>
            </w:tcBorders>
            <w:shd w:val="clear" w:color="auto" w:fill="auto"/>
            <w:noWrap/>
            <w:vAlign w:val="bottom"/>
            <w:hideMark/>
          </w:tcPr>
          <w:p w14:paraId="3BC05D80"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124%</w:t>
            </w:r>
          </w:p>
        </w:tc>
        <w:tc>
          <w:tcPr>
            <w:tcW w:w="1183" w:type="dxa"/>
            <w:tcBorders>
              <w:top w:val="nil"/>
              <w:left w:val="nil"/>
              <w:bottom w:val="single" w:sz="8" w:space="0" w:color="auto"/>
              <w:right w:val="nil"/>
            </w:tcBorders>
            <w:shd w:val="clear" w:color="auto" w:fill="auto"/>
            <w:noWrap/>
            <w:vAlign w:val="bottom"/>
            <w:hideMark/>
          </w:tcPr>
          <w:p w14:paraId="5DCFD48F"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10.602.194</w:t>
            </w:r>
          </w:p>
        </w:tc>
        <w:tc>
          <w:tcPr>
            <w:tcW w:w="866" w:type="dxa"/>
            <w:tcBorders>
              <w:top w:val="nil"/>
              <w:left w:val="single" w:sz="4" w:space="0" w:color="auto"/>
              <w:bottom w:val="single" w:sz="8" w:space="0" w:color="auto"/>
              <w:right w:val="single" w:sz="8" w:space="0" w:color="auto"/>
            </w:tcBorders>
            <w:shd w:val="clear" w:color="auto" w:fill="auto"/>
            <w:noWrap/>
            <w:vAlign w:val="bottom"/>
            <w:hideMark/>
          </w:tcPr>
          <w:p w14:paraId="091A62B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106%</w:t>
            </w:r>
          </w:p>
        </w:tc>
      </w:tr>
      <w:tr w:rsidR="002A7E48" w:rsidRPr="002A7E48" w14:paraId="0B712B18" w14:textId="77777777" w:rsidTr="0042240D">
        <w:trPr>
          <w:trHeight w:val="209"/>
        </w:trPr>
        <w:tc>
          <w:tcPr>
            <w:tcW w:w="355" w:type="dxa"/>
            <w:vMerge w:val="restart"/>
            <w:tcBorders>
              <w:top w:val="nil"/>
              <w:left w:val="single" w:sz="8" w:space="0" w:color="auto"/>
              <w:bottom w:val="single" w:sz="8" w:space="0" w:color="000000"/>
              <w:right w:val="single" w:sz="4" w:space="0" w:color="auto"/>
            </w:tcBorders>
            <w:shd w:val="clear" w:color="auto" w:fill="auto"/>
            <w:noWrap/>
            <w:vAlign w:val="bottom"/>
            <w:hideMark/>
          </w:tcPr>
          <w:p w14:paraId="334EC305"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11</w:t>
            </w:r>
          </w:p>
        </w:tc>
        <w:tc>
          <w:tcPr>
            <w:tcW w:w="557" w:type="dxa"/>
            <w:tcBorders>
              <w:top w:val="nil"/>
              <w:left w:val="nil"/>
              <w:bottom w:val="single" w:sz="4" w:space="0" w:color="auto"/>
              <w:right w:val="single" w:sz="4" w:space="0" w:color="auto"/>
            </w:tcBorders>
            <w:shd w:val="clear" w:color="auto" w:fill="auto"/>
            <w:noWrap/>
            <w:vAlign w:val="bottom"/>
            <w:hideMark/>
          </w:tcPr>
          <w:p w14:paraId="6F9C6497"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ESS</w:t>
            </w:r>
          </w:p>
        </w:tc>
        <w:tc>
          <w:tcPr>
            <w:tcW w:w="980" w:type="dxa"/>
            <w:tcBorders>
              <w:top w:val="nil"/>
              <w:left w:val="nil"/>
              <w:bottom w:val="single" w:sz="4" w:space="0" w:color="auto"/>
              <w:right w:val="nil"/>
            </w:tcBorders>
            <w:shd w:val="clear" w:color="auto" w:fill="auto"/>
            <w:noWrap/>
            <w:vAlign w:val="bottom"/>
            <w:hideMark/>
          </w:tcPr>
          <w:p w14:paraId="5DCBE386"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Vzhod</w:t>
            </w:r>
          </w:p>
        </w:tc>
        <w:tc>
          <w:tcPr>
            <w:tcW w:w="1297" w:type="dxa"/>
            <w:tcBorders>
              <w:top w:val="single" w:sz="8" w:space="0" w:color="auto"/>
              <w:left w:val="single" w:sz="8" w:space="0" w:color="auto"/>
              <w:bottom w:val="single" w:sz="4" w:space="0" w:color="auto"/>
              <w:right w:val="nil"/>
            </w:tcBorders>
            <w:shd w:val="clear" w:color="auto" w:fill="auto"/>
            <w:noWrap/>
            <w:vAlign w:val="bottom"/>
            <w:hideMark/>
          </w:tcPr>
          <w:p w14:paraId="71E47075"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25.505.282</w:t>
            </w:r>
          </w:p>
        </w:tc>
        <w:tc>
          <w:tcPr>
            <w:tcW w:w="1183"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63BB1E1B"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25.569.274</w:t>
            </w:r>
          </w:p>
        </w:tc>
        <w:tc>
          <w:tcPr>
            <w:tcW w:w="856" w:type="dxa"/>
            <w:tcBorders>
              <w:top w:val="single" w:sz="8" w:space="0" w:color="auto"/>
              <w:left w:val="nil"/>
              <w:bottom w:val="single" w:sz="4" w:space="0" w:color="auto"/>
              <w:right w:val="single" w:sz="8" w:space="0" w:color="auto"/>
            </w:tcBorders>
            <w:shd w:val="clear" w:color="auto" w:fill="auto"/>
            <w:noWrap/>
            <w:vAlign w:val="bottom"/>
            <w:hideMark/>
          </w:tcPr>
          <w:p w14:paraId="1C7ED757"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100%</w:t>
            </w:r>
          </w:p>
        </w:tc>
        <w:tc>
          <w:tcPr>
            <w:tcW w:w="1183" w:type="dxa"/>
            <w:tcBorders>
              <w:top w:val="nil"/>
              <w:left w:val="nil"/>
              <w:bottom w:val="single" w:sz="4" w:space="0" w:color="auto"/>
              <w:right w:val="single" w:sz="4" w:space="0" w:color="auto"/>
            </w:tcBorders>
            <w:shd w:val="clear" w:color="auto" w:fill="auto"/>
            <w:noWrap/>
            <w:vAlign w:val="bottom"/>
            <w:hideMark/>
          </w:tcPr>
          <w:p w14:paraId="4917DCC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25.077.197</w:t>
            </w:r>
          </w:p>
        </w:tc>
        <w:tc>
          <w:tcPr>
            <w:tcW w:w="866" w:type="dxa"/>
            <w:tcBorders>
              <w:top w:val="nil"/>
              <w:left w:val="nil"/>
              <w:bottom w:val="single" w:sz="4" w:space="0" w:color="auto"/>
              <w:right w:val="single" w:sz="8" w:space="0" w:color="auto"/>
            </w:tcBorders>
            <w:shd w:val="clear" w:color="auto" w:fill="auto"/>
            <w:noWrap/>
            <w:vAlign w:val="bottom"/>
            <w:hideMark/>
          </w:tcPr>
          <w:p w14:paraId="337E872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98%</w:t>
            </w:r>
          </w:p>
        </w:tc>
        <w:tc>
          <w:tcPr>
            <w:tcW w:w="1183" w:type="dxa"/>
            <w:tcBorders>
              <w:top w:val="nil"/>
              <w:left w:val="nil"/>
              <w:bottom w:val="single" w:sz="4" w:space="0" w:color="auto"/>
              <w:right w:val="nil"/>
            </w:tcBorders>
            <w:shd w:val="clear" w:color="auto" w:fill="auto"/>
            <w:noWrap/>
            <w:vAlign w:val="bottom"/>
            <w:hideMark/>
          </w:tcPr>
          <w:p w14:paraId="1813C57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20.606.860</w:t>
            </w:r>
          </w:p>
        </w:tc>
        <w:tc>
          <w:tcPr>
            <w:tcW w:w="866" w:type="dxa"/>
            <w:tcBorders>
              <w:top w:val="nil"/>
              <w:left w:val="single" w:sz="4" w:space="0" w:color="auto"/>
              <w:bottom w:val="single" w:sz="4" w:space="0" w:color="auto"/>
              <w:right w:val="single" w:sz="8" w:space="0" w:color="auto"/>
            </w:tcBorders>
            <w:shd w:val="clear" w:color="auto" w:fill="auto"/>
            <w:noWrap/>
            <w:vAlign w:val="bottom"/>
            <w:hideMark/>
          </w:tcPr>
          <w:p w14:paraId="498B98C9"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81%</w:t>
            </w:r>
          </w:p>
        </w:tc>
      </w:tr>
      <w:tr w:rsidR="002A7E48" w:rsidRPr="002A7E48" w14:paraId="77D22E61" w14:textId="77777777" w:rsidTr="0042240D">
        <w:trPr>
          <w:trHeight w:val="220"/>
        </w:trPr>
        <w:tc>
          <w:tcPr>
            <w:tcW w:w="355" w:type="dxa"/>
            <w:vMerge/>
            <w:tcBorders>
              <w:top w:val="nil"/>
              <w:left w:val="single" w:sz="8" w:space="0" w:color="auto"/>
              <w:bottom w:val="single" w:sz="8" w:space="0" w:color="000000"/>
              <w:right w:val="single" w:sz="4" w:space="0" w:color="auto"/>
            </w:tcBorders>
            <w:vAlign w:val="center"/>
            <w:hideMark/>
          </w:tcPr>
          <w:p w14:paraId="0F8EE38E" w14:textId="77777777" w:rsidR="002A7E48" w:rsidRPr="002A7E48" w:rsidRDefault="002A7E48" w:rsidP="002A7E48">
            <w:pPr>
              <w:spacing w:after="0" w:line="240" w:lineRule="auto"/>
              <w:rPr>
                <w:rFonts w:ascii="Arial" w:eastAsia="Times New Roman" w:hAnsi="Arial" w:cs="Arial"/>
                <w:color w:val="000000"/>
                <w:sz w:val="16"/>
                <w:szCs w:val="16"/>
                <w:lang w:eastAsia="sl-SI"/>
              </w:rPr>
            </w:pPr>
          </w:p>
        </w:tc>
        <w:tc>
          <w:tcPr>
            <w:tcW w:w="557" w:type="dxa"/>
            <w:tcBorders>
              <w:top w:val="nil"/>
              <w:left w:val="nil"/>
              <w:bottom w:val="single" w:sz="8" w:space="0" w:color="auto"/>
              <w:right w:val="single" w:sz="4" w:space="0" w:color="auto"/>
            </w:tcBorders>
            <w:shd w:val="clear" w:color="auto" w:fill="auto"/>
            <w:noWrap/>
            <w:vAlign w:val="bottom"/>
            <w:hideMark/>
          </w:tcPr>
          <w:p w14:paraId="77BC7C06"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ESS</w:t>
            </w:r>
          </w:p>
        </w:tc>
        <w:tc>
          <w:tcPr>
            <w:tcW w:w="980" w:type="dxa"/>
            <w:tcBorders>
              <w:top w:val="nil"/>
              <w:left w:val="nil"/>
              <w:bottom w:val="single" w:sz="8" w:space="0" w:color="auto"/>
              <w:right w:val="nil"/>
            </w:tcBorders>
            <w:shd w:val="clear" w:color="auto" w:fill="auto"/>
            <w:noWrap/>
            <w:vAlign w:val="bottom"/>
            <w:hideMark/>
          </w:tcPr>
          <w:p w14:paraId="14EEF049"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Zahod</w:t>
            </w:r>
          </w:p>
        </w:tc>
        <w:tc>
          <w:tcPr>
            <w:tcW w:w="1297" w:type="dxa"/>
            <w:tcBorders>
              <w:top w:val="nil"/>
              <w:left w:val="single" w:sz="8" w:space="0" w:color="auto"/>
              <w:bottom w:val="single" w:sz="8" w:space="0" w:color="auto"/>
              <w:right w:val="nil"/>
            </w:tcBorders>
            <w:shd w:val="clear" w:color="auto" w:fill="auto"/>
            <w:noWrap/>
            <w:vAlign w:val="bottom"/>
            <w:hideMark/>
          </w:tcPr>
          <w:p w14:paraId="2D84EEF9"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37.368.698</w:t>
            </w:r>
          </w:p>
        </w:tc>
        <w:tc>
          <w:tcPr>
            <w:tcW w:w="1183" w:type="dxa"/>
            <w:tcBorders>
              <w:top w:val="nil"/>
              <w:left w:val="single" w:sz="8" w:space="0" w:color="auto"/>
              <w:bottom w:val="single" w:sz="8" w:space="0" w:color="auto"/>
              <w:right w:val="single" w:sz="4" w:space="0" w:color="auto"/>
            </w:tcBorders>
            <w:shd w:val="clear" w:color="auto" w:fill="auto"/>
            <w:noWrap/>
            <w:vAlign w:val="bottom"/>
            <w:hideMark/>
          </w:tcPr>
          <w:p w14:paraId="5FD080C0"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37.423.108</w:t>
            </w:r>
          </w:p>
        </w:tc>
        <w:tc>
          <w:tcPr>
            <w:tcW w:w="856" w:type="dxa"/>
            <w:tcBorders>
              <w:top w:val="nil"/>
              <w:left w:val="nil"/>
              <w:bottom w:val="single" w:sz="8" w:space="0" w:color="auto"/>
              <w:right w:val="single" w:sz="8" w:space="0" w:color="auto"/>
            </w:tcBorders>
            <w:shd w:val="clear" w:color="auto" w:fill="auto"/>
            <w:noWrap/>
            <w:vAlign w:val="bottom"/>
            <w:hideMark/>
          </w:tcPr>
          <w:p w14:paraId="5CE82BB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100%</w:t>
            </w:r>
          </w:p>
        </w:tc>
        <w:tc>
          <w:tcPr>
            <w:tcW w:w="1183" w:type="dxa"/>
            <w:tcBorders>
              <w:top w:val="nil"/>
              <w:left w:val="nil"/>
              <w:bottom w:val="single" w:sz="8" w:space="0" w:color="auto"/>
              <w:right w:val="single" w:sz="4" w:space="0" w:color="auto"/>
            </w:tcBorders>
            <w:shd w:val="clear" w:color="auto" w:fill="auto"/>
            <w:noWrap/>
            <w:vAlign w:val="bottom"/>
            <w:hideMark/>
          </w:tcPr>
          <w:p w14:paraId="51E26093"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36.928.016</w:t>
            </w:r>
          </w:p>
        </w:tc>
        <w:tc>
          <w:tcPr>
            <w:tcW w:w="866" w:type="dxa"/>
            <w:tcBorders>
              <w:top w:val="nil"/>
              <w:left w:val="nil"/>
              <w:bottom w:val="single" w:sz="8" w:space="0" w:color="auto"/>
              <w:right w:val="single" w:sz="8" w:space="0" w:color="auto"/>
            </w:tcBorders>
            <w:shd w:val="clear" w:color="auto" w:fill="auto"/>
            <w:noWrap/>
            <w:vAlign w:val="bottom"/>
            <w:hideMark/>
          </w:tcPr>
          <w:p w14:paraId="749FD7B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99%</w:t>
            </w:r>
          </w:p>
        </w:tc>
        <w:tc>
          <w:tcPr>
            <w:tcW w:w="1183" w:type="dxa"/>
            <w:tcBorders>
              <w:top w:val="nil"/>
              <w:left w:val="nil"/>
              <w:bottom w:val="single" w:sz="8" w:space="0" w:color="auto"/>
              <w:right w:val="nil"/>
            </w:tcBorders>
            <w:shd w:val="clear" w:color="auto" w:fill="auto"/>
            <w:noWrap/>
            <w:vAlign w:val="bottom"/>
            <w:hideMark/>
          </w:tcPr>
          <w:p w14:paraId="3323926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29.019.730</w:t>
            </w:r>
          </w:p>
        </w:tc>
        <w:tc>
          <w:tcPr>
            <w:tcW w:w="866" w:type="dxa"/>
            <w:tcBorders>
              <w:top w:val="nil"/>
              <w:left w:val="single" w:sz="4" w:space="0" w:color="auto"/>
              <w:bottom w:val="single" w:sz="8" w:space="0" w:color="auto"/>
              <w:right w:val="single" w:sz="8" w:space="0" w:color="auto"/>
            </w:tcBorders>
            <w:shd w:val="clear" w:color="auto" w:fill="auto"/>
            <w:noWrap/>
            <w:vAlign w:val="bottom"/>
            <w:hideMark/>
          </w:tcPr>
          <w:p w14:paraId="76B423E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78%</w:t>
            </w:r>
          </w:p>
        </w:tc>
      </w:tr>
      <w:tr w:rsidR="002A7E48" w:rsidRPr="002A7E48" w14:paraId="383A834B" w14:textId="77777777" w:rsidTr="0042240D">
        <w:trPr>
          <w:trHeight w:val="220"/>
        </w:trPr>
        <w:tc>
          <w:tcPr>
            <w:tcW w:w="355" w:type="dxa"/>
            <w:tcBorders>
              <w:top w:val="nil"/>
              <w:left w:val="single" w:sz="8" w:space="0" w:color="auto"/>
              <w:bottom w:val="single" w:sz="8" w:space="0" w:color="auto"/>
              <w:right w:val="single" w:sz="4" w:space="0" w:color="auto"/>
            </w:tcBorders>
            <w:shd w:val="clear" w:color="auto" w:fill="auto"/>
            <w:noWrap/>
            <w:vAlign w:val="bottom"/>
            <w:hideMark/>
          </w:tcPr>
          <w:p w14:paraId="554A3AF2" w14:textId="77777777" w:rsidR="002A7E48" w:rsidRPr="002A7E48" w:rsidRDefault="002A7E48" w:rsidP="002A7E48">
            <w:pPr>
              <w:spacing w:after="0" w:line="240" w:lineRule="auto"/>
              <w:jc w:val="right"/>
              <w:rPr>
                <w:rFonts w:ascii="Arial" w:eastAsia="Times New Roman" w:hAnsi="Arial" w:cs="Arial"/>
                <w:sz w:val="16"/>
                <w:szCs w:val="16"/>
                <w:lang w:eastAsia="sl-SI"/>
              </w:rPr>
            </w:pPr>
            <w:r w:rsidRPr="002A7E48">
              <w:rPr>
                <w:rFonts w:ascii="Arial" w:eastAsia="Times New Roman" w:hAnsi="Arial" w:cs="Arial"/>
                <w:sz w:val="16"/>
                <w:szCs w:val="16"/>
                <w:lang w:eastAsia="sl-SI"/>
              </w:rPr>
              <w:t>12</w:t>
            </w:r>
          </w:p>
        </w:tc>
        <w:tc>
          <w:tcPr>
            <w:tcW w:w="557" w:type="dxa"/>
            <w:tcBorders>
              <w:top w:val="nil"/>
              <w:left w:val="nil"/>
              <w:bottom w:val="single" w:sz="8" w:space="0" w:color="auto"/>
              <w:right w:val="single" w:sz="4" w:space="0" w:color="auto"/>
            </w:tcBorders>
            <w:shd w:val="clear" w:color="auto" w:fill="auto"/>
            <w:noWrap/>
            <w:vAlign w:val="bottom"/>
            <w:hideMark/>
          </w:tcPr>
          <w:p w14:paraId="1BC42B8F"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KS</w:t>
            </w:r>
          </w:p>
        </w:tc>
        <w:tc>
          <w:tcPr>
            <w:tcW w:w="980" w:type="dxa"/>
            <w:tcBorders>
              <w:top w:val="nil"/>
              <w:left w:val="nil"/>
              <w:bottom w:val="single" w:sz="8" w:space="0" w:color="auto"/>
              <w:right w:val="nil"/>
            </w:tcBorders>
            <w:shd w:val="clear" w:color="auto" w:fill="auto"/>
            <w:noWrap/>
            <w:vAlign w:val="bottom"/>
            <w:hideMark/>
          </w:tcPr>
          <w:p w14:paraId="4FC7D807"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Celotna SI</w:t>
            </w:r>
          </w:p>
        </w:tc>
        <w:tc>
          <w:tcPr>
            <w:tcW w:w="1297" w:type="dxa"/>
            <w:tcBorders>
              <w:top w:val="nil"/>
              <w:left w:val="single" w:sz="8" w:space="0" w:color="auto"/>
              <w:bottom w:val="nil"/>
              <w:right w:val="nil"/>
            </w:tcBorders>
            <w:shd w:val="clear" w:color="auto" w:fill="auto"/>
            <w:noWrap/>
            <w:vAlign w:val="bottom"/>
            <w:hideMark/>
          </w:tcPr>
          <w:p w14:paraId="40B75E8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89.537.036</w:t>
            </w:r>
          </w:p>
        </w:tc>
        <w:tc>
          <w:tcPr>
            <w:tcW w:w="1183" w:type="dxa"/>
            <w:tcBorders>
              <w:top w:val="nil"/>
              <w:left w:val="single" w:sz="8" w:space="0" w:color="auto"/>
              <w:bottom w:val="nil"/>
              <w:right w:val="single" w:sz="4" w:space="0" w:color="auto"/>
            </w:tcBorders>
            <w:shd w:val="clear" w:color="auto" w:fill="auto"/>
            <w:noWrap/>
            <w:vAlign w:val="bottom"/>
            <w:hideMark/>
          </w:tcPr>
          <w:p w14:paraId="55B26704"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95.881.670</w:t>
            </w:r>
          </w:p>
        </w:tc>
        <w:tc>
          <w:tcPr>
            <w:tcW w:w="856" w:type="dxa"/>
            <w:tcBorders>
              <w:top w:val="nil"/>
              <w:left w:val="nil"/>
              <w:bottom w:val="nil"/>
              <w:right w:val="single" w:sz="8" w:space="0" w:color="auto"/>
            </w:tcBorders>
            <w:shd w:val="clear" w:color="auto" w:fill="auto"/>
            <w:noWrap/>
            <w:vAlign w:val="bottom"/>
            <w:hideMark/>
          </w:tcPr>
          <w:p w14:paraId="3826D59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107%</w:t>
            </w:r>
          </w:p>
        </w:tc>
        <w:tc>
          <w:tcPr>
            <w:tcW w:w="1183" w:type="dxa"/>
            <w:tcBorders>
              <w:top w:val="nil"/>
              <w:left w:val="nil"/>
              <w:bottom w:val="single" w:sz="8" w:space="0" w:color="auto"/>
              <w:right w:val="single" w:sz="4" w:space="0" w:color="auto"/>
            </w:tcBorders>
            <w:shd w:val="clear" w:color="auto" w:fill="auto"/>
            <w:noWrap/>
            <w:vAlign w:val="bottom"/>
            <w:hideMark/>
          </w:tcPr>
          <w:p w14:paraId="44DD43EB"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95.402.437</w:t>
            </w:r>
          </w:p>
        </w:tc>
        <w:tc>
          <w:tcPr>
            <w:tcW w:w="866" w:type="dxa"/>
            <w:tcBorders>
              <w:top w:val="nil"/>
              <w:left w:val="nil"/>
              <w:bottom w:val="single" w:sz="8" w:space="0" w:color="auto"/>
              <w:right w:val="single" w:sz="8" w:space="0" w:color="auto"/>
            </w:tcBorders>
            <w:shd w:val="clear" w:color="auto" w:fill="auto"/>
            <w:noWrap/>
            <w:vAlign w:val="bottom"/>
            <w:hideMark/>
          </w:tcPr>
          <w:p w14:paraId="77837971"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107%</w:t>
            </w:r>
          </w:p>
        </w:tc>
        <w:tc>
          <w:tcPr>
            <w:tcW w:w="1183" w:type="dxa"/>
            <w:tcBorders>
              <w:top w:val="nil"/>
              <w:left w:val="nil"/>
              <w:bottom w:val="single" w:sz="8" w:space="0" w:color="auto"/>
              <w:right w:val="nil"/>
            </w:tcBorders>
            <w:shd w:val="clear" w:color="auto" w:fill="auto"/>
            <w:noWrap/>
            <w:vAlign w:val="bottom"/>
            <w:hideMark/>
          </w:tcPr>
          <w:p w14:paraId="09D6D38C" w14:textId="77777777" w:rsidR="002A7E48" w:rsidRPr="002A7E48" w:rsidRDefault="002A7E48" w:rsidP="002A7E48">
            <w:pPr>
              <w:spacing w:after="0" w:line="240" w:lineRule="auto"/>
              <w:jc w:val="right"/>
              <w:rPr>
                <w:rFonts w:ascii="Arial" w:eastAsia="Times New Roman" w:hAnsi="Arial" w:cs="Arial"/>
                <w:sz w:val="16"/>
                <w:szCs w:val="16"/>
                <w:lang w:eastAsia="sl-SI"/>
              </w:rPr>
            </w:pPr>
            <w:r w:rsidRPr="002A7E48">
              <w:rPr>
                <w:rFonts w:ascii="Arial" w:eastAsia="Times New Roman" w:hAnsi="Arial" w:cs="Arial"/>
                <w:sz w:val="16"/>
                <w:szCs w:val="16"/>
                <w:lang w:eastAsia="sl-SI"/>
              </w:rPr>
              <w:t>84.176.037</w:t>
            </w:r>
          </w:p>
        </w:tc>
        <w:tc>
          <w:tcPr>
            <w:tcW w:w="866" w:type="dxa"/>
            <w:tcBorders>
              <w:top w:val="nil"/>
              <w:left w:val="single" w:sz="4" w:space="0" w:color="auto"/>
              <w:bottom w:val="single" w:sz="8" w:space="0" w:color="auto"/>
              <w:right w:val="single" w:sz="8" w:space="0" w:color="auto"/>
            </w:tcBorders>
            <w:shd w:val="clear" w:color="auto" w:fill="auto"/>
            <w:noWrap/>
            <w:vAlign w:val="bottom"/>
            <w:hideMark/>
          </w:tcPr>
          <w:p w14:paraId="117E6021"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94%</w:t>
            </w:r>
          </w:p>
        </w:tc>
      </w:tr>
      <w:tr w:rsidR="002A7E48" w:rsidRPr="002A7E48" w14:paraId="04715C8E" w14:textId="77777777" w:rsidTr="0042240D">
        <w:trPr>
          <w:trHeight w:val="209"/>
        </w:trPr>
        <w:tc>
          <w:tcPr>
            <w:tcW w:w="355" w:type="dxa"/>
            <w:vMerge w:val="restart"/>
            <w:tcBorders>
              <w:top w:val="nil"/>
              <w:left w:val="single" w:sz="8" w:space="0" w:color="auto"/>
              <w:bottom w:val="single" w:sz="8" w:space="0" w:color="000000"/>
              <w:right w:val="single" w:sz="4" w:space="0" w:color="auto"/>
            </w:tcBorders>
            <w:shd w:val="clear" w:color="auto" w:fill="auto"/>
            <w:noWrap/>
            <w:vAlign w:val="bottom"/>
            <w:hideMark/>
          </w:tcPr>
          <w:p w14:paraId="37CB9BA7"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13</w:t>
            </w:r>
          </w:p>
        </w:tc>
        <w:tc>
          <w:tcPr>
            <w:tcW w:w="557" w:type="dxa"/>
            <w:tcBorders>
              <w:top w:val="nil"/>
              <w:left w:val="nil"/>
              <w:bottom w:val="single" w:sz="4" w:space="0" w:color="auto"/>
              <w:right w:val="single" w:sz="4" w:space="0" w:color="auto"/>
            </w:tcBorders>
            <w:shd w:val="clear" w:color="auto" w:fill="auto"/>
            <w:noWrap/>
            <w:vAlign w:val="bottom"/>
            <w:hideMark/>
          </w:tcPr>
          <w:p w14:paraId="191F337B"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ESRR</w:t>
            </w:r>
          </w:p>
        </w:tc>
        <w:tc>
          <w:tcPr>
            <w:tcW w:w="980" w:type="dxa"/>
            <w:tcBorders>
              <w:top w:val="nil"/>
              <w:left w:val="nil"/>
              <w:bottom w:val="single" w:sz="4" w:space="0" w:color="auto"/>
              <w:right w:val="nil"/>
            </w:tcBorders>
            <w:shd w:val="clear" w:color="auto" w:fill="auto"/>
            <w:noWrap/>
            <w:vAlign w:val="bottom"/>
            <w:hideMark/>
          </w:tcPr>
          <w:p w14:paraId="5D06B90B"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Vzhod</w:t>
            </w:r>
          </w:p>
        </w:tc>
        <w:tc>
          <w:tcPr>
            <w:tcW w:w="1297" w:type="dxa"/>
            <w:tcBorders>
              <w:top w:val="single" w:sz="8" w:space="0" w:color="auto"/>
              <w:left w:val="single" w:sz="8" w:space="0" w:color="auto"/>
              <w:bottom w:val="single" w:sz="4" w:space="0" w:color="auto"/>
              <w:right w:val="nil"/>
            </w:tcBorders>
            <w:shd w:val="clear" w:color="auto" w:fill="auto"/>
            <w:noWrap/>
            <w:vAlign w:val="bottom"/>
            <w:hideMark/>
          </w:tcPr>
          <w:p w14:paraId="65F5C02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14.112.244</w:t>
            </w:r>
          </w:p>
        </w:tc>
        <w:tc>
          <w:tcPr>
            <w:tcW w:w="1183"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FD953E3"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15.019.141</w:t>
            </w:r>
          </w:p>
        </w:tc>
        <w:tc>
          <w:tcPr>
            <w:tcW w:w="856" w:type="dxa"/>
            <w:tcBorders>
              <w:top w:val="single" w:sz="8" w:space="0" w:color="auto"/>
              <w:left w:val="nil"/>
              <w:bottom w:val="single" w:sz="4" w:space="0" w:color="auto"/>
              <w:right w:val="single" w:sz="8" w:space="0" w:color="auto"/>
            </w:tcBorders>
            <w:shd w:val="clear" w:color="auto" w:fill="auto"/>
            <w:noWrap/>
            <w:vAlign w:val="bottom"/>
            <w:hideMark/>
          </w:tcPr>
          <w:p w14:paraId="6F73FC63"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106%</w:t>
            </w:r>
          </w:p>
        </w:tc>
        <w:tc>
          <w:tcPr>
            <w:tcW w:w="1183" w:type="dxa"/>
            <w:tcBorders>
              <w:top w:val="nil"/>
              <w:left w:val="nil"/>
              <w:bottom w:val="single" w:sz="4" w:space="0" w:color="auto"/>
              <w:right w:val="single" w:sz="4" w:space="0" w:color="auto"/>
            </w:tcBorders>
            <w:shd w:val="clear" w:color="auto" w:fill="auto"/>
            <w:noWrap/>
            <w:vAlign w:val="bottom"/>
            <w:hideMark/>
          </w:tcPr>
          <w:p w14:paraId="4FA6426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15.019.211</w:t>
            </w:r>
          </w:p>
        </w:tc>
        <w:tc>
          <w:tcPr>
            <w:tcW w:w="866" w:type="dxa"/>
            <w:tcBorders>
              <w:top w:val="nil"/>
              <w:left w:val="nil"/>
              <w:bottom w:val="single" w:sz="4" w:space="0" w:color="auto"/>
              <w:right w:val="single" w:sz="8" w:space="0" w:color="auto"/>
            </w:tcBorders>
            <w:shd w:val="clear" w:color="auto" w:fill="auto"/>
            <w:noWrap/>
            <w:vAlign w:val="bottom"/>
            <w:hideMark/>
          </w:tcPr>
          <w:p w14:paraId="384E1434"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106%</w:t>
            </w:r>
          </w:p>
        </w:tc>
        <w:tc>
          <w:tcPr>
            <w:tcW w:w="1183" w:type="dxa"/>
            <w:tcBorders>
              <w:top w:val="nil"/>
              <w:left w:val="nil"/>
              <w:bottom w:val="single" w:sz="4" w:space="0" w:color="auto"/>
              <w:right w:val="nil"/>
            </w:tcBorders>
            <w:shd w:val="clear" w:color="auto" w:fill="auto"/>
            <w:noWrap/>
            <w:vAlign w:val="bottom"/>
            <w:hideMark/>
          </w:tcPr>
          <w:p w14:paraId="2669DDDE"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12.977.754</w:t>
            </w:r>
          </w:p>
        </w:tc>
        <w:tc>
          <w:tcPr>
            <w:tcW w:w="866" w:type="dxa"/>
            <w:tcBorders>
              <w:top w:val="nil"/>
              <w:left w:val="single" w:sz="4" w:space="0" w:color="auto"/>
              <w:bottom w:val="single" w:sz="4" w:space="0" w:color="auto"/>
              <w:right w:val="single" w:sz="8" w:space="0" w:color="auto"/>
            </w:tcBorders>
            <w:shd w:val="clear" w:color="auto" w:fill="auto"/>
            <w:noWrap/>
            <w:vAlign w:val="bottom"/>
            <w:hideMark/>
          </w:tcPr>
          <w:p w14:paraId="4671525C"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92%</w:t>
            </w:r>
          </w:p>
        </w:tc>
      </w:tr>
      <w:tr w:rsidR="002A7E48" w:rsidRPr="002A7E48" w14:paraId="4AFD8005" w14:textId="77777777" w:rsidTr="0042240D">
        <w:trPr>
          <w:trHeight w:val="220"/>
        </w:trPr>
        <w:tc>
          <w:tcPr>
            <w:tcW w:w="355" w:type="dxa"/>
            <w:vMerge/>
            <w:tcBorders>
              <w:top w:val="nil"/>
              <w:left w:val="single" w:sz="8" w:space="0" w:color="auto"/>
              <w:bottom w:val="single" w:sz="8" w:space="0" w:color="000000"/>
              <w:right w:val="single" w:sz="4" w:space="0" w:color="auto"/>
            </w:tcBorders>
            <w:vAlign w:val="center"/>
            <w:hideMark/>
          </w:tcPr>
          <w:p w14:paraId="0BF871DB" w14:textId="77777777" w:rsidR="002A7E48" w:rsidRPr="002A7E48" w:rsidRDefault="002A7E48" w:rsidP="002A7E48">
            <w:pPr>
              <w:spacing w:after="0" w:line="240" w:lineRule="auto"/>
              <w:rPr>
                <w:rFonts w:ascii="Arial" w:eastAsia="Times New Roman" w:hAnsi="Arial" w:cs="Arial"/>
                <w:color w:val="000000"/>
                <w:sz w:val="16"/>
                <w:szCs w:val="16"/>
                <w:lang w:eastAsia="sl-SI"/>
              </w:rPr>
            </w:pPr>
          </w:p>
        </w:tc>
        <w:tc>
          <w:tcPr>
            <w:tcW w:w="557" w:type="dxa"/>
            <w:tcBorders>
              <w:top w:val="nil"/>
              <w:left w:val="nil"/>
              <w:bottom w:val="single" w:sz="8" w:space="0" w:color="auto"/>
              <w:right w:val="single" w:sz="4" w:space="0" w:color="auto"/>
            </w:tcBorders>
            <w:shd w:val="clear" w:color="auto" w:fill="auto"/>
            <w:noWrap/>
            <w:vAlign w:val="bottom"/>
            <w:hideMark/>
          </w:tcPr>
          <w:p w14:paraId="55348FDC"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ESRR</w:t>
            </w:r>
          </w:p>
        </w:tc>
        <w:tc>
          <w:tcPr>
            <w:tcW w:w="980" w:type="dxa"/>
            <w:tcBorders>
              <w:top w:val="nil"/>
              <w:left w:val="nil"/>
              <w:bottom w:val="single" w:sz="8" w:space="0" w:color="auto"/>
              <w:right w:val="nil"/>
            </w:tcBorders>
            <w:shd w:val="clear" w:color="auto" w:fill="auto"/>
            <w:noWrap/>
            <w:vAlign w:val="bottom"/>
            <w:hideMark/>
          </w:tcPr>
          <w:p w14:paraId="5C7FD8B1"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Zahod</w:t>
            </w:r>
          </w:p>
        </w:tc>
        <w:tc>
          <w:tcPr>
            <w:tcW w:w="1297" w:type="dxa"/>
            <w:tcBorders>
              <w:top w:val="nil"/>
              <w:left w:val="single" w:sz="8" w:space="0" w:color="auto"/>
              <w:bottom w:val="single" w:sz="8" w:space="0" w:color="auto"/>
              <w:right w:val="nil"/>
            </w:tcBorders>
            <w:shd w:val="clear" w:color="auto" w:fill="auto"/>
            <w:noWrap/>
            <w:vAlign w:val="bottom"/>
            <w:hideMark/>
          </w:tcPr>
          <w:p w14:paraId="2FA8DC1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3.050.266</w:t>
            </w:r>
          </w:p>
        </w:tc>
        <w:tc>
          <w:tcPr>
            <w:tcW w:w="1183" w:type="dxa"/>
            <w:tcBorders>
              <w:top w:val="nil"/>
              <w:left w:val="single" w:sz="8" w:space="0" w:color="auto"/>
              <w:bottom w:val="single" w:sz="8" w:space="0" w:color="auto"/>
              <w:right w:val="single" w:sz="4" w:space="0" w:color="auto"/>
            </w:tcBorders>
            <w:shd w:val="clear" w:color="auto" w:fill="auto"/>
            <w:noWrap/>
            <w:vAlign w:val="bottom"/>
            <w:hideMark/>
          </w:tcPr>
          <w:p w14:paraId="7C1107E4"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3.245.739</w:t>
            </w:r>
          </w:p>
        </w:tc>
        <w:tc>
          <w:tcPr>
            <w:tcW w:w="856" w:type="dxa"/>
            <w:tcBorders>
              <w:top w:val="nil"/>
              <w:left w:val="nil"/>
              <w:bottom w:val="single" w:sz="8" w:space="0" w:color="auto"/>
              <w:right w:val="single" w:sz="8" w:space="0" w:color="auto"/>
            </w:tcBorders>
            <w:shd w:val="clear" w:color="auto" w:fill="auto"/>
            <w:noWrap/>
            <w:vAlign w:val="bottom"/>
            <w:hideMark/>
          </w:tcPr>
          <w:p w14:paraId="3468C15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106%</w:t>
            </w:r>
          </w:p>
        </w:tc>
        <w:tc>
          <w:tcPr>
            <w:tcW w:w="1183" w:type="dxa"/>
            <w:tcBorders>
              <w:top w:val="nil"/>
              <w:left w:val="nil"/>
              <w:bottom w:val="nil"/>
              <w:right w:val="single" w:sz="4" w:space="0" w:color="auto"/>
            </w:tcBorders>
            <w:shd w:val="clear" w:color="auto" w:fill="auto"/>
            <w:noWrap/>
            <w:vAlign w:val="bottom"/>
            <w:hideMark/>
          </w:tcPr>
          <w:p w14:paraId="31CE2F33"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3.245.669</w:t>
            </w:r>
          </w:p>
        </w:tc>
        <w:tc>
          <w:tcPr>
            <w:tcW w:w="866" w:type="dxa"/>
            <w:tcBorders>
              <w:top w:val="nil"/>
              <w:left w:val="nil"/>
              <w:bottom w:val="nil"/>
              <w:right w:val="single" w:sz="8" w:space="0" w:color="auto"/>
            </w:tcBorders>
            <w:shd w:val="clear" w:color="auto" w:fill="auto"/>
            <w:noWrap/>
            <w:vAlign w:val="bottom"/>
            <w:hideMark/>
          </w:tcPr>
          <w:p w14:paraId="4DF59663"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106%</w:t>
            </w:r>
          </w:p>
        </w:tc>
        <w:tc>
          <w:tcPr>
            <w:tcW w:w="1183" w:type="dxa"/>
            <w:tcBorders>
              <w:top w:val="nil"/>
              <w:left w:val="nil"/>
              <w:bottom w:val="single" w:sz="8" w:space="0" w:color="auto"/>
              <w:right w:val="nil"/>
            </w:tcBorders>
            <w:shd w:val="clear" w:color="auto" w:fill="auto"/>
            <w:noWrap/>
            <w:vAlign w:val="bottom"/>
            <w:hideMark/>
          </w:tcPr>
          <w:p w14:paraId="61972C27"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2.805.158</w:t>
            </w:r>
          </w:p>
        </w:tc>
        <w:tc>
          <w:tcPr>
            <w:tcW w:w="866" w:type="dxa"/>
            <w:tcBorders>
              <w:top w:val="nil"/>
              <w:left w:val="single" w:sz="4" w:space="0" w:color="auto"/>
              <w:bottom w:val="single" w:sz="8" w:space="0" w:color="auto"/>
              <w:right w:val="single" w:sz="8" w:space="0" w:color="auto"/>
            </w:tcBorders>
            <w:shd w:val="clear" w:color="auto" w:fill="auto"/>
            <w:noWrap/>
            <w:vAlign w:val="bottom"/>
            <w:hideMark/>
          </w:tcPr>
          <w:p w14:paraId="7F85CC59"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92%</w:t>
            </w:r>
          </w:p>
        </w:tc>
      </w:tr>
      <w:tr w:rsidR="002A7E48" w:rsidRPr="002A7E48" w14:paraId="0749809A" w14:textId="77777777" w:rsidTr="0042240D">
        <w:trPr>
          <w:trHeight w:val="209"/>
        </w:trPr>
        <w:tc>
          <w:tcPr>
            <w:tcW w:w="355" w:type="dxa"/>
            <w:vMerge w:val="restart"/>
            <w:tcBorders>
              <w:top w:val="nil"/>
              <w:left w:val="single" w:sz="8" w:space="0" w:color="auto"/>
              <w:bottom w:val="single" w:sz="8" w:space="0" w:color="000000"/>
              <w:right w:val="single" w:sz="4" w:space="0" w:color="auto"/>
            </w:tcBorders>
            <w:shd w:val="clear" w:color="auto" w:fill="auto"/>
            <w:noWrap/>
            <w:vAlign w:val="bottom"/>
            <w:hideMark/>
          </w:tcPr>
          <w:p w14:paraId="7A252C3C"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14</w:t>
            </w:r>
          </w:p>
        </w:tc>
        <w:tc>
          <w:tcPr>
            <w:tcW w:w="557" w:type="dxa"/>
            <w:tcBorders>
              <w:top w:val="nil"/>
              <w:left w:val="nil"/>
              <w:bottom w:val="single" w:sz="4" w:space="0" w:color="auto"/>
              <w:right w:val="single" w:sz="4" w:space="0" w:color="auto"/>
            </w:tcBorders>
            <w:shd w:val="clear" w:color="auto" w:fill="auto"/>
            <w:noWrap/>
            <w:vAlign w:val="bottom"/>
            <w:hideMark/>
          </w:tcPr>
          <w:p w14:paraId="7F1EF3A0"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ESS</w:t>
            </w:r>
          </w:p>
        </w:tc>
        <w:tc>
          <w:tcPr>
            <w:tcW w:w="980" w:type="dxa"/>
            <w:tcBorders>
              <w:top w:val="nil"/>
              <w:left w:val="nil"/>
              <w:bottom w:val="single" w:sz="4" w:space="0" w:color="auto"/>
              <w:right w:val="nil"/>
            </w:tcBorders>
            <w:shd w:val="clear" w:color="auto" w:fill="auto"/>
            <w:noWrap/>
            <w:vAlign w:val="bottom"/>
            <w:hideMark/>
          </w:tcPr>
          <w:p w14:paraId="61754ED0"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Vzhod</w:t>
            </w:r>
          </w:p>
        </w:tc>
        <w:tc>
          <w:tcPr>
            <w:tcW w:w="1297" w:type="dxa"/>
            <w:tcBorders>
              <w:top w:val="nil"/>
              <w:left w:val="single" w:sz="8" w:space="0" w:color="auto"/>
              <w:bottom w:val="single" w:sz="4" w:space="0" w:color="auto"/>
              <w:right w:val="nil"/>
            </w:tcBorders>
            <w:shd w:val="clear" w:color="auto" w:fill="auto"/>
            <w:noWrap/>
            <w:vAlign w:val="bottom"/>
            <w:hideMark/>
          </w:tcPr>
          <w:p w14:paraId="6C5D6DFB"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9.072.157</w:t>
            </w:r>
          </w:p>
        </w:tc>
        <w:tc>
          <w:tcPr>
            <w:tcW w:w="1183" w:type="dxa"/>
            <w:tcBorders>
              <w:top w:val="nil"/>
              <w:left w:val="single" w:sz="8" w:space="0" w:color="auto"/>
              <w:bottom w:val="single" w:sz="4" w:space="0" w:color="auto"/>
              <w:right w:val="single" w:sz="4" w:space="0" w:color="auto"/>
            </w:tcBorders>
            <w:shd w:val="clear" w:color="auto" w:fill="auto"/>
            <w:noWrap/>
            <w:vAlign w:val="bottom"/>
            <w:hideMark/>
          </w:tcPr>
          <w:p w14:paraId="57513004"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9.389.408</w:t>
            </w:r>
          </w:p>
        </w:tc>
        <w:tc>
          <w:tcPr>
            <w:tcW w:w="856" w:type="dxa"/>
            <w:tcBorders>
              <w:top w:val="nil"/>
              <w:left w:val="nil"/>
              <w:bottom w:val="single" w:sz="4" w:space="0" w:color="auto"/>
              <w:right w:val="single" w:sz="8" w:space="0" w:color="auto"/>
            </w:tcBorders>
            <w:shd w:val="clear" w:color="auto" w:fill="auto"/>
            <w:noWrap/>
            <w:vAlign w:val="bottom"/>
            <w:hideMark/>
          </w:tcPr>
          <w:p w14:paraId="60ABF0C7"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103%</w:t>
            </w:r>
          </w:p>
        </w:tc>
        <w:tc>
          <w:tcPr>
            <w:tcW w:w="1183" w:type="dxa"/>
            <w:tcBorders>
              <w:top w:val="single" w:sz="8" w:space="0" w:color="auto"/>
              <w:left w:val="nil"/>
              <w:bottom w:val="single" w:sz="4" w:space="0" w:color="auto"/>
              <w:right w:val="single" w:sz="4" w:space="0" w:color="auto"/>
            </w:tcBorders>
            <w:shd w:val="clear" w:color="auto" w:fill="auto"/>
            <w:noWrap/>
            <w:vAlign w:val="bottom"/>
            <w:hideMark/>
          </w:tcPr>
          <w:p w14:paraId="3F40EEA4"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9.579.249</w:t>
            </w:r>
          </w:p>
        </w:tc>
        <w:tc>
          <w:tcPr>
            <w:tcW w:w="866" w:type="dxa"/>
            <w:tcBorders>
              <w:top w:val="single" w:sz="8" w:space="0" w:color="auto"/>
              <w:left w:val="nil"/>
              <w:bottom w:val="single" w:sz="4" w:space="0" w:color="auto"/>
              <w:right w:val="single" w:sz="8" w:space="0" w:color="auto"/>
            </w:tcBorders>
            <w:shd w:val="clear" w:color="auto" w:fill="auto"/>
            <w:noWrap/>
            <w:vAlign w:val="bottom"/>
            <w:hideMark/>
          </w:tcPr>
          <w:p w14:paraId="390FD615"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106%</w:t>
            </w:r>
          </w:p>
        </w:tc>
        <w:tc>
          <w:tcPr>
            <w:tcW w:w="1183" w:type="dxa"/>
            <w:tcBorders>
              <w:top w:val="nil"/>
              <w:left w:val="nil"/>
              <w:bottom w:val="single" w:sz="4" w:space="0" w:color="auto"/>
              <w:right w:val="nil"/>
            </w:tcBorders>
            <w:shd w:val="clear" w:color="auto" w:fill="auto"/>
            <w:noWrap/>
            <w:vAlign w:val="bottom"/>
            <w:hideMark/>
          </w:tcPr>
          <w:p w14:paraId="2F94A890"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8.390.401</w:t>
            </w:r>
          </w:p>
        </w:tc>
        <w:tc>
          <w:tcPr>
            <w:tcW w:w="866" w:type="dxa"/>
            <w:tcBorders>
              <w:top w:val="nil"/>
              <w:left w:val="single" w:sz="4" w:space="0" w:color="auto"/>
              <w:bottom w:val="single" w:sz="4" w:space="0" w:color="auto"/>
              <w:right w:val="single" w:sz="8" w:space="0" w:color="auto"/>
            </w:tcBorders>
            <w:shd w:val="clear" w:color="auto" w:fill="auto"/>
            <w:noWrap/>
            <w:vAlign w:val="bottom"/>
            <w:hideMark/>
          </w:tcPr>
          <w:p w14:paraId="75137A5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92%</w:t>
            </w:r>
          </w:p>
        </w:tc>
      </w:tr>
      <w:tr w:rsidR="002A7E48" w:rsidRPr="002A7E48" w14:paraId="2472EE10" w14:textId="77777777" w:rsidTr="0042240D">
        <w:trPr>
          <w:trHeight w:val="220"/>
        </w:trPr>
        <w:tc>
          <w:tcPr>
            <w:tcW w:w="355" w:type="dxa"/>
            <w:vMerge/>
            <w:tcBorders>
              <w:top w:val="nil"/>
              <w:left w:val="single" w:sz="8" w:space="0" w:color="auto"/>
              <w:bottom w:val="single" w:sz="8" w:space="0" w:color="000000"/>
              <w:right w:val="single" w:sz="4" w:space="0" w:color="auto"/>
            </w:tcBorders>
            <w:vAlign w:val="center"/>
            <w:hideMark/>
          </w:tcPr>
          <w:p w14:paraId="29D74686" w14:textId="77777777" w:rsidR="002A7E48" w:rsidRPr="002A7E48" w:rsidRDefault="002A7E48" w:rsidP="002A7E48">
            <w:pPr>
              <w:spacing w:after="0" w:line="240" w:lineRule="auto"/>
              <w:rPr>
                <w:rFonts w:ascii="Arial" w:eastAsia="Times New Roman" w:hAnsi="Arial" w:cs="Arial"/>
                <w:color w:val="000000"/>
                <w:sz w:val="16"/>
                <w:szCs w:val="16"/>
                <w:lang w:eastAsia="sl-SI"/>
              </w:rPr>
            </w:pPr>
          </w:p>
        </w:tc>
        <w:tc>
          <w:tcPr>
            <w:tcW w:w="557" w:type="dxa"/>
            <w:tcBorders>
              <w:top w:val="nil"/>
              <w:left w:val="nil"/>
              <w:bottom w:val="single" w:sz="8" w:space="0" w:color="auto"/>
              <w:right w:val="single" w:sz="4" w:space="0" w:color="auto"/>
            </w:tcBorders>
            <w:shd w:val="clear" w:color="auto" w:fill="auto"/>
            <w:noWrap/>
            <w:vAlign w:val="bottom"/>
            <w:hideMark/>
          </w:tcPr>
          <w:p w14:paraId="42B94D75"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ESS</w:t>
            </w:r>
          </w:p>
        </w:tc>
        <w:tc>
          <w:tcPr>
            <w:tcW w:w="980" w:type="dxa"/>
            <w:tcBorders>
              <w:top w:val="nil"/>
              <w:left w:val="nil"/>
              <w:bottom w:val="single" w:sz="8" w:space="0" w:color="auto"/>
              <w:right w:val="nil"/>
            </w:tcBorders>
            <w:shd w:val="clear" w:color="auto" w:fill="auto"/>
            <w:noWrap/>
            <w:vAlign w:val="bottom"/>
            <w:hideMark/>
          </w:tcPr>
          <w:p w14:paraId="59DD65FB"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Zahod</w:t>
            </w:r>
          </w:p>
        </w:tc>
        <w:tc>
          <w:tcPr>
            <w:tcW w:w="1297" w:type="dxa"/>
            <w:tcBorders>
              <w:top w:val="nil"/>
              <w:left w:val="single" w:sz="8" w:space="0" w:color="auto"/>
              <w:bottom w:val="single" w:sz="8" w:space="0" w:color="auto"/>
              <w:right w:val="nil"/>
            </w:tcBorders>
            <w:shd w:val="clear" w:color="auto" w:fill="auto"/>
            <w:noWrap/>
            <w:vAlign w:val="bottom"/>
            <w:hideMark/>
          </w:tcPr>
          <w:p w14:paraId="1D9E3E47"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3.795.887</w:t>
            </w:r>
          </w:p>
        </w:tc>
        <w:tc>
          <w:tcPr>
            <w:tcW w:w="1183" w:type="dxa"/>
            <w:tcBorders>
              <w:top w:val="nil"/>
              <w:left w:val="single" w:sz="8" w:space="0" w:color="auto"/>
              <w:bottom w:val="single" w:sz="8" w:space="0" w:color="auto"/>
              <w:right w:val="single" w:sz="4" w:space="0" w:color="auto"/>
            </w:tcBorders>
            <w:shd w:val="clear" w:color="auto" w:fill="auto"/>
            <w:noWrap/>
            <w:vAlign w:val="bottom"/>
            <w:hideMark/>
          </w:tcPr>
          <w:p w14:paraId="5AC7F971"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3.928.901</w:t>
            </w:r>
          </w:p>
        </w:tc>
        <w:tc>
          <w:tcPr>
            <w:tcW w:w="856" w:type="dxa"/>
            <w:tcBorders>
              <w:top w:val="nil"/>
              <w:left w:val="nil"/>
              <w:bottom w:val="single" w:sz="8" w:space="0" w:color="auto"/>
              <w:right w:val="single" w:sz="8" w:space="0" w:color="auto"/>
            </w:tcBorders>
            <w:shd w:val="clear" w:color="auto" w:fill="auto"/>
            <w:noWrap/>
            <w:vAlign w:val="bottom"/>
            <w:hideMark/>
          </w:tcPr>
          <w:p w14:paraId="44B9411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104%</w:t>
            </w:r>
          </w:p>
        </w:tc>
        <w:tc>
          <w:tcPr>
            <w:tcW w:w="1183" w:type="dxa"/>
            <w:tcBorders>
              <w:top w:val="nil"/>
              <w:left w:val="nil"/>
              <w:bottom w:val="single" w:sz="8" w:space="0" w:color="auto"/>
              <w:right w:val="single" w:sz="4" w:space="0" w:color="auto"/>
            </w:tcBorders>
            <w:shd w:val="clear" w:color="auto" w:fill="auto"/>
            <w:noWrap/>
            <w:vAlign w:val="bottom"/>
            <w:hideMark/>
          </w:tcPr>
          <w:p w14:paraId="1203BFF1"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4.008.338</w:t>
            </w:r>
          </w:p>
        </w:tc>
        <w:tc>
          <w:tcPr>
            <w:tcW w:w="866" w:type="dxa"/>
            <w:tcBorders>
              <w:top w:val="nil"/>
              <w:left w:val="nil"/>
              <w:bottom w:val="single" w:sz="8" w:space="0" w:color="auto"/>
              <w:right w:val="single" w:sz="8" w:space="0" w:color="auto"/>
            </w:tcBorders>
            <w:shd w:val="clear" w:color="auto" w:fill="auto"/>
            <w:noWrap/>
            <w:vAlign w:val="bottom"/>
            <w:hideMark/>
          </w:tcPr>
          <w:p w14:paraId="34E74230"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106%</w:t>
            </w:r>
          </w:p>
        </w:tc>
        <w:tc>
          <w:tcPr>
            <w:tcW w:w="1183" w:type="dxa"/>
            <w:tcBorders>
              <w:top w:val="nil"/>
              <w:left w:val="nil"/>
              <w:bottom w:val="single" w:sz="8" w:space="0" w:color="auto"/>
              <w:right w:val="nil"/>
            </w:tcBorders>
            <w:shd w:val="clear" w:color="auto" w:fill="auto"/>
            <w:noWrap/>
            <w:vAlign w:val="bottom"/>
            <w:hideMark/>
          </w:tcPr>
          <w:p w14:paraId="26E309C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3.506.499</w:t>
            </w:r>
          </w:p>
        </w:tc>
        <w:tc>
          <w:tcPr>
            <w:tcW w:w="866" w:type="dxa"/>
            <w:tcBorders>
              <w:top w:val="nil"/>
              <w:left w:val="single" w:sz="4" w:space="0" w:color="auto"/>
              <w:bottom w:val="single" w:sz="8" w:space="0" w:color="auto"/>
              <w:right w:val="single" w:sz="8" w:space="0" w:color="auto"/>
            </w:tcBorders>
            <w:shd w:val="clear" w:color="auto" w:fill="auto"/>
            <w:noWrap/>
            <w:vAlign w:val="bottom"/>
            <w:hideMark/>
          </w:tcPr>
          <w:p w14:paraId="6EFABEB4"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92%</w:t>
            </w:r>
          </w:p>
        </w:tc>
      </w:tr>
      <w:tr w:rsidR="002A7E48" w:rsidRPr="002A7E48" w14:paraId="19036073" w14:textId="77777777" w:rsidTr="0042240D">
        <w:trPr>
          <w:trHeight w:val="220"/>
        </w:trPr>
        <w:tc>
          <w:tcPr>
            <w:tcW w:w="1892" w:type="dxa"/>
            <w:gridSpan w:val="3"/>
            <w:tcBorders>
              <w:top w:val="single" w:sz="8" w:space="0" w:color="auto"/>
              <w:left w:val="single" w:sz="8" w:space="0" w:color="auto"/>
              <w:bottom w:val="single" w:sz="8" w:space="0" w:color="auto"/>
              <w:right w:val="single" w:sz="8" w:space="0" w:color="000000"/>
            </w:tcBorders>
            <w:shd w:val="clear" w:color="000000" w:fill="DDEBF7"/>
            <w:noWrap/>
            <w:vAlign w:val="bottom"/>
            <w:hideMark/>
          </w:tcPr>
          <w:p w14:paraId="68239A3A" w14:textId="77777777" w:rsidR="002A7E48" w:rsidRPr="002A7E48" w:rsidRDefault="002A7E48" w:rsidP="002A7E48">
            <w:pPr>
              <w:spacing w:after="0" w:line="240" w:lineRule="auto"/>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SKUPAJ 1 - 14</w:t>
            </w:r>
          </w:p>
        </w:tc>
        <w:tc>
          <w:tcPr>
            <w:tcW w:w="1297" w:type="dxa"/>
            <w:tcBorders>
              <w:top w:val="nil"/>
              <w:left w:val="nil"/>
              <w:bottom w:val="single" w:sz="8" w:space="0" w:color="auto"/>
              <w:right w:val="single" w:sz="8" w:space="0" w:color="auto"/>
            </w:tcBorders>
            <w:shd w:val="clear" w:color="000000" w:fill="DDEBF7"/>
            <w:noWrap/>
            <w:vAlign w:val="bottom"/>
            <w:hideMark/>
          </w:tcPr>
          <w:p w14:paraId="38E088AD" w14:textId="77777777" w:rsidR="002A7E48" w:rsidRPr="002A7E48" w:rsidRDefault="002A7E48" w:rsidP="002A7E48">
            <w:pPr>
              <w:spacing w:after="0" w:line="240" w:lineRule="auto"/>
              <w:jc w:val="right"/>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3.067.924.925</w:t>
            </w:r>
          </w:p>
        </w:tc>
        <w:tc>
          <w:tcPr>
            <w:tcW w:w="1183" w:type="dxa"/>
            <w:tcBorders>
              <w:top w:val="nil"/>
              <w:left w:val="nil"/>
              <w:bottom w:val="single" w:sz="8" w:space="0" w:color="auto"/>
              <w:right w:val="single" w:sz="4" w:space="0" w:color="auto"/>
            </w:tcBorders>
            <w:shd w:val="clear" w:color="000000" w:fill="DDEBF7"/>
            <w:noWrap/>
            <w:vAlign w:val="bottom"/>
            <w:hideMark/>
          </w:tcPr>
          <w:p w14:paraId="18E81404" w14:textId="77777777" w:rsidR="002A7E48" w:rsidRPr="002A7E48" w:rsidRDefault="002A7E48" w:rsidP="002A7E48">
            <w:pPr>
              <w:spacing w:after="0" w:line="240" w:lineRule="auto"/>
              <w:jc w:val="right"/>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3.549.539.942</w:t>
            </w:r>
          </w:p>
        </w:tc>
        <w:tc>
          <w:tcPr>
            <w:tcW w:w="856" w:type="dxa"/>
            <w:tcBorders>
              <w:top w:val="single" w:sz="4" w:space="0" w:color="auto"/>
              <w:left w:val="nil"/>
              <w:bottom w:val="single" w:sz="8" w:space="0" w:color="auto"/>
              <w:right w:val="single" w:sz="8" w:space="0" w:color="auto"/>
            </w:tcBorders>
            <w:shd w:val="clear" w:color="000000" w:fill="DDEBF7"/>
            <w:noWrap/>
            <w:vAlign w:val="bottom"/>
            <w:hideMark/>
          </w:tcPr>
          <w:p w14:paraId="1A5495A7" w14:textId="77777777" w:rsidR="002A7E48" w:rsidRPr="002A7E48" w:rsidRDefault="002A7E48" w:rsidP="002A7E48">
            <w:pPr>
              <w:spacing w:after="0" w:line="240" w:lineRule="auto"/>
              <w:jc w:val="right"/>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116%</w:t>
            </w:r>
          </w:p>
        </w:tc>
        <w:tc>
          <w:tcPr>
            <w:tcW w:w="1183" w:type="dxa"/>
            <w:tcBorders>
              <w:top w:val="nil"/>
              <w:left w:val="nil"/>
              <w:bottom w:val="single" w:sz="8" w:space="0" w:color="auto"/>
              <w:right w:val="single" w:sz="4" w:space="0" w:color="auto"/>
            </w:tcBorders>
            <w:shd w:val="clear" w:color="000000" w:fill="DDEBF7"/>
            <w:noWrap/>
            <w:vAlign w:val="bottom"/>
            <w:hideMark/>
          </w:tcPr>
          <w:p w14:paraId="39FDE3FC" w14:textId="77777777" w:rsidR="002A7E48" w:rsidRPr="002A7E48" w:rsidRDefault="002A7E48" w:rsidP="002A7E48">
            <w:pPr>
              <w:spacing w:after="0" w:line="240" w:lineRule="auto"/>
              <w:jc w:val="right"/>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3.336.051.329</w:t>
            </w:r>
          </w:p>
        </w:tc>
        <w:tc>
          <w:tcPr>
            <w:tcW w:w="866" w:type="dxa"/>
            <w:tcBorders>
              <w:top w:val="single" w:sz="4" w:space="0" w:color="auto"/>
              <w:left w:val="nil"/>
              <w:bottom w:val="single" w:sz="8" w:space="0" w:color="auto"/>
              <w:right w:val="single" w:sz="8" w:space="0" w:color="auto"/>
            </w:tcBorders>
            <w:shd w:val="clear" w:color="000000" w:fill="DDEBF7"/>
            <w:noWrap/>
            <w:vAlign w:val="bottom"/>
            <w:hideMark/>
          </w:tcPr>
          <w:p w14:paraId="5C201CDA" w14:textId="77777777" w:rsidR="002A7E48" w:rsidRPr="002A7E48" w:rsidRDefault="002A7E48" w:rsidP="002A7E48">
            <w:pPr>
              <w:spacing w:after="0" w:line="240" w:lineRule="auto"/>
              <w:jc w:val="right"/>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109%</w:t>
            </w:r>
          </w:p>
        </w:tc>
        <w:tc>
          <w:tcPr>
            <w:tcW w:w="1183" w:type="dxa"/>
            <w:tcBorders>
              <w:top w:val="nil"/>
              <w:left w:val="nil"/>
              <w:bottom w:val="single" w:sz="8" w:space="0" w:color="auto"/>
              <w:right w:val="nil"/>
            </w:tcBorders>
            <w:shd w:val="clear" w:color="000000" w:fill="DDEBF7"/>
            <w:noWrap/>
            <w:vAlign w:val="bottom"/>
            <w:hideMark/>
          </w:tcPr>
          <w:p w14:paraId="56FFBD06" w14:textId="77777777" w:rsidR="002A7E48" w:rsidRPr="002A7E48" w:rsidRDefault="002A7E48" w:rsidP="002A7E48">
            <w:pPr>
              <w:spacing w:after="0" w:line="240" w:lineRule="auto"/>
              <w:jc w:val="right"/>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2.810.406.135</w:t>
            </w:r>
          </w:p>
        </w:tc>
        <w:tc>
          <w:tcPr>
            <w:tcW w:w="866" w:type="dxa"/>
            <w:tcBorders>
              <w:top w:val="single" w:sz="4" w:space="0" w:color="auto"/>
              <w:left w:val="single" w:sz="4" w:space="0" w:color="auto"/>
              <w:bottom w:val="single" w:sz="8" w:space="0" w:color="auto"/>
              <w:right w:val="single" w:sz="8" w:space="0" w:color="auto"/>
            </w:tcBorders>
            <w:shd w:val="clear" w:color="000000" w:fill="DDEBF7"/>
            <w:noWrap/>
            <w:vAlign w:val="bottom"/>
            <w:hideMark/>
          </w:tcPr>
          <w:p w14:paraId="2C036340" w14:textId="77777777" w:rsidR="002A7E48" w:rsidRPr="002A7E48" w:rsidRDefault="002A7E48" w:rsidP="002A7E48">
            <w:pPr>
              <w:spacing w:after="0" w:line="240" w:lineRule="auto"/>
              <w:jc w:val="right"/>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92%</w:t>
            </w:r>
          </w:p>
        </w:tc>
      </w:tr>
      <w:tr w:rsidR="002A7E48" w:rsidRPr="002A7E48" w14:paraId="30E73D51" w14:textId="77777777" w:rsidTr="0042240D">
        <w:trPr>
          <w:trHeight w:val="220"/>
        </w:trPr>
        <w:tc>
          <w:tcPr>
            <w:tcW w:w="355" w:type="dxa"/>
            <w:tcBorders>
              <w:top w:val="nil"/>
              <w:left w:val="single" w:sz="8" w:space="0" w:color="auto"/>
              <w:bottom w:val="single" w:sz="8" w:space="0" w:color="auto"/>
              <w:right w:val="nil"/>
            </w:tcBorders>
            <w:shd w:val="clear" w:color="auto" w:fill="auto"/>
            <w:noWrap/>
            <w:vAlign w:val="bottom"/>
            <w:hideMark/>
          </w:tcPr>
          <w:p w14:paraId="3197D93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15</w:t>
            </w:r>
          </w:p>
        </w:tc>
        <w:tc>
          <w:tcPr>
            <w:tcW w:w="557" w:type="dxa"/>
            <w:tcBorders>
              <w:top w:val="nil"/>
              <w:left w:val="single" w:sz="4" w:space="0" w:color="auto"/>
              <w:bottom w:val="single" w:sz="8" w:space="0" w:color="auto"/>
              <w:right w:val="single" w:sz="4" w:space="0" w:color="auto"/>
            </w:tcBorders>
            <w:shd w:val="clear" w:color="auto" w:fill="auto"/>
            <w:noWrap/>
            <w:vAlign w:val="bottom"/>
            <w:hideMark/>
          </w:tcPr>
          <w:p w14:paraId="29751116"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ESRR</w:t>
            </w:r>
          </w:p>
        </w:tc>
        <w:tc>
          <w:tcPr>
            <w:tcW w:w="980" w:type="dxa"/>
            <w:tcBorders>
              <w:top w:val="nil"/>
              <w:left w:val="nil"/>
              <w:bottom w:val="single" w:sz="8" w:space="0" w:color="auto"/>
              <w:right w:val="single" w:sz="8" w:space="0" w:color="auto"/>
            </w:tcBorders>
            <w:shd w:val="clear" w:color="auto" w:fill="auto"/>
            <w:noWrap/>
            <w:vAlign w:val="bottom"/>
            <w:hideMark/>
          </w:tcPr>
          <w:p w14:paraId="0B1D475F"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Celotna SI</w:t>
            </w:r>
          </w:p>
        </w:tc>
        <w:tc>
          <w:tcPr>
            <w:tcW w:w="1297" w:type="dxa"/>
            <w:tcBorders>
              <w:top w:val="nil"/>
              <w:left w:val="nil"/>
              <w:bottom w:val="single" w:sz="8" w:space="0" w:color="auto"/>
              <w:right w:val="single" w:sz="8" w:space="0" w:color="auto"/>
            </w:tcBorders>
            <w:shd w:val="clear" w:color="auto" w:fill="auto"/>
            <w:noWrap/>
            <w:vAlign w:val="bottom"/>
            <w:hideMark/>
          </w:tcPr>
          <w:p w14:paraId="7D47BAD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255.741.210</w:t>
            </w:r>
          </w:p>
        </w:tc>
        <w:tc>
          <w:tcPr>
            <w:tcW w:w="1183" w:type="dxa"/>
            <w:tcBorders>
              <w:top w:val="nil"/>
              <w:left w:val="nil"/>
              <w:bottom w:val="single" w:sz="8" w:space="0" w:color="auto"/>
              <w:right w:val="single" w:sz="4" w:space="0" w:color="auto"/>
            </w:tcBorders>
            <w:shd w:val="clear" w:color="auto" w:fill="auto"/>
            <w:noWrap/>
            <w:vAlign w:val="bottom"/>
            <w:hideMark/>
          </w:tcPr>
          <w:p w14:paraId="43D78DD7"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219.798.600</w:t>
            </w:r>
          </w:p>
        </w:tc>
        <w:tc>
          <w:tcPr>
            <w:tcW w:w="856" w:type="dxa"/>
            <w:tcBorders>
              <w:top w:val="single" w:sz="4" w:space="0" w:color="auto"/>
              <w:left w:val="nil"/>
              <w:bottom w:val="single" w:sz="8" w:space="0" w:color="auto"/>
              <w:right w:val="single" w:sz="8" w:space="0" w:color="auto"/>
            </w:tcBorders>
            <w:shd w:val="clear" w:color="auto" w:fill="auto"/>
            <w:noWrap/>
            <w:vAlign w:val="bottom"/>
            <w:hideMark/>
          </w:tcPr>
          <w:p w14:paraId="3F6952B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86%</w:t>
            </w:r>
          </w:p>
        </w:tc>
        <w:tc>
          <w:tcPr>
            <w:tcW w:w="1183" w:type="dxa"/>
            <w:tcBorders>
              <w:top w:val="nil"/>
              <w:left w:val="nil"/>
              <w:bottom w:val="single" w:sz="8" w:space="0" w:color="auto"/>
              <w:right w:val="single" w:sz="4" w:space="0" w:color="auto"/>
            </w:tcBorders>
            <w:shd w:val="clear" w:color="auto" w:fill="auto"/>
            <w:noWrap/>
            <w:vAlign w:val="bottom"/>
            <w:hideMark/>
          </w:tcPr>
          <w:p w14:paraId="4697EA23"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219.642.032</w:t>
            </w:r>
          </w:p>
        </w:tc>
        <w:tc>
          <w:tcPr>
            <w:tcW w:w="866" w:type="dxa"/>
            <w:tcBorders>
              <w:top w:val="single" w:sz="4" w:space="0" w:color="auto"/>
              <w:left w:val="nil"/>
              <w:bottom w:val="single" w:sz="8" w:space="0" w:color="auto"/>
              <w:right w:val="single" w:sz="8" w:space="0" w:color="auto"/>
            </w:tcBorders>
            <w:shd w:val="clear" w:color="auto" w:fill="auto"/>
            <w:noWrap/>
            <w:vAlign w:val="bottom"/>
            <w:hideMark/>
          </w:tcPr>
          <w:p w14:paraId="4CFE1383"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86%</w:t>
            </w:r>
          </w:p>
        </w:tc>
        <w:tc>
          <w:tcPr>
            <w:tcW w:w="1183" w:type="dxa"/>
            <w:tcBorders>
              <w:top w:val="nil"/>
              <w:left w:val="nil"/>
              <w:bottom w:val="single" w:sz="8" w:space="0" w:color="auto"/>
              <w:right w:val="nil"/>
            </w:tcBorders>
            <w:shd w:val="clear" w:color="auto" w:fill="auto"/>
            <w:noWrap/>
            <w:vAlign w:val="bottom"/>
            <w:hideMark/>
          </w:tcPr>
          <w:p w14:paraId="4A3F576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95.507.422</w:t>
            </w:r>
          </w:p>
        </w:tc>
        <w:tc>
          <w:tcPr>
            <w:tcW w:w="866" w:type="dxa"/>
            <w:tcBorders>
              <w:top w:val="single" w:sz="4" w:space="0" w:color="auto"/>
              <w:left w:val="single" w:sz="4" w:space="0" w:color="auto"/>
              <w:bottom w:val="single" w:sz="8" w:space="0" w:color="auto"/>
              <w:right w:val="single" w:sz="8" w:space="0" w:color="auto"/>
            </w:tcBorders>
            <w:shd w:val="clear" w:color="auto" w:fill="auto"/>
            <w:noWrap/>
            <w:vAlign w:val="bottom"/>
            <w:hideMark/>
          </w:tcPr>
          <w:p w14:paraId="7B095AA4"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37%</w:t>
            </w:r>
          </w:p>
        </w:tc>
      </w:tr>
      <w:tr w:rsidR="002A7E48" w:rsidRPr="002A7E48" w14:paraId="4C62CE6B" w14:textId="77777777" w:rsidTr="0042240D">
        <w:trPr>
          <w:trHeight w:val="220"/>
        </w:trPr>
        <w:tc>
          <w:tcPr>
            <w:tcW w:w="355" w:type="dxa"/>
            <w:tcBorders>
              <w:top w:val="nil"/>
              <w:left w:val="single" w:sz="8" w:space="0" w:color="auto"/>
              <w:bottom w:val="single" w:sz="8" w:space="0" w:color="auto"/>
              <w:right w:val="nil"/>
            </w:tcBorders>
            <w:shd w:val="clear" w:color="auto" w:fill="auto"/>
            <w:noWrap/>
            <w:vAlign w:val="bottom"/>
            <w:hideMark/>
          </w:tcPr>
          <w:p w14:paraId="32280A1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16</w:t>
            </w:r>
          </w:p>
        </w:tc>
        <w:tc>
          <w:tcPr>
            <w:tcW w:w="557" w:type="dxa"/>
            <w:tcBorders>
              <w:top w:val="nil"/>
              <w:left w:val="single" w:sz="4" w:space="0" w:color="auto"/>
              <w:bottom w:val="single" w:sz="8" w:space="0" w:color="auto"/>
              <w:right w:val="single" w:sz="4" w:space="0" w:color="auto"/>
            </w:tcBorders>
            <w:shd w:val="clear" w:color="auto" w:fill="auto"/>
            <w:noWrap/>
            <w:vAlign w:val="bottom"/>
            <w:hideMark/>
          </w:tcPr>
          <w:p w14:paraId="45180100"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ESS</w:t>
            </w:r>
          </w:p>
        </w:tc>
        <w:tc>
          <w:tcPr>
            <w:tcW w:w="980" w:type="dxa"/>
            <w:tcBorders>
              <w:top w:val="nil"/>
              <w:left w:val="nil"/>
              <w:bottom w:val="single" w:sz="8" w:space="0" w:color="auto"/>
              <w:right w:val="single" w:sz="8" w:space="0" w:color="auto"/>
            </w:tcBorders>
            <w:shd w:val="clear" w:color="auto" w:fill="auto"/>
            <w:noWrap/>
            <w:vAlign w:val="bottom"/>
            <w:hideMark/>
          </w:tcPr>
          <w:p w14:paraId="44EB4560"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Celotna SI</w:t>
            </w:r>
          </w:p>
        </w:tc>
        <w:tc>
          <w:tcPr>
            <w:tcW w:w="1297" w:type="dxa"/>
            <w:tcBorders>
              <w:top w:val="nil"/>
              <w:left w:val="nil"/>
              <w:bottom w:val="single" w:sz="8" w:space="0" w:color="auto"/>
              <w:right w:val="single" w:sz="8" w:space="0" w:color="auto"/>
            </w:tcBorders>
            <w:shd w:val="clear" w:color="auto" w:fill="auto"/>
            <w:noWrap/>
            <w:vAlign w:val="bottom"/>
            <w:hideMark/>
          </w:tcPr>
          <w:p w14:paraId="10D14EB1"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13.205.000</w:t>
            </w:r>
          </w:p>
        </w:tc>
        <w:tc>
          <w:tcPr>
            <w:tcW w:w="1183" w:type="dxa"/>
            <w:tcBorders>
              <w:top w:val="nil"/>
              <w:left w:val="nil"/>
              <w:bottom w:val="single" w:sz="8" w:space="0" w:color="auto"/>
              <w:right w:val="single" w:sz="4" w:space="0" w:color="auto"/>
            </w:tcBorders>
            <w:shd w:val="clear" w:color="auto" w:fill="auto"/>
            <w:noWrap/>
            <w:vAlign w:val="bottom"/>
            <w:hideMark/>
          </w:tcPr>
          <w:p w14:paraId="48C49579"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9.160.526</w:t>
            </w:r>
          </w:p>
        </w:tc>
        <w:tc>
          <w:tcPr>
            <w:tcW w:w="856" w:type="dxa"/>
            <w:tcBorders>
              <w:top w:val="single" w:sz="4" w:space="0" w:color="auto"/>
              <w:left w:val="nil"/>
              <w:bottom w:val="single" w:sz="8" w:space="0" w:color="auto"/>
              <w:right w:val="single" w:sz="8" w:space="0" w:color="auto"/>
            </w:tcBorders>
            <w:shd w:val="clear" w:color="auto" w:fill="auto"/>
            <w:noWrap/>
            <w:vAlign w:val="bottom"/>
            <w:hideMark/>
          </w:tcPr>
          <w:p w14:paraId="38A70D23"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69%</w:t>
            </w:r>
          </w:p>
        </w:tc>
        <w:tc>
          <w:tcPr>
            <w:tcW w:w="1183" w:type="dxa"/>
            <w:tcBorders>
              <w:top w:val="nil"/>
              <w:left w:val="nil"/>
              <w:bottom w:val="single" w:sz="8" w:space="0" w:color="auto"/>
              <w:right w:val="single" w:sz="4" w:space="0" w:color="auto"/>
            </w:tcBorders>
            <w:shd w:val="clear" w:color="auto" w:fill="auto"/>
            <w:noWrap/>
            <w:vAlign w:val="bottom"/>
            <w:hideMark/>
          </w:tcPr>
          <w:p w14:paraId="7BAFCACF"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5.669.256</w:t>
            </w:r>
          </w:p>
        </w:tc>
        <w:tc>
          <w:tcPr>
            <w:tcW w:w="866" w:type="dxa"/>
            <w:tcBorders>
              <w:top w:val="single" w:sz="4" w:space="0" w:color="auto"/>
              <w:left w:val="nil"/>
              <w:bottom w:val="single" w:sz="8" w:space="0" w:color="auto"/>
              <w:right w:val="single" w:sz="8" w:space="0" w:color="auto"/>
            </w:tcBorders>
            <w:shd w:val="clear" w:color="auto" w:fill="auto"/>
            <w:noWrap/>
            <w:vAlign w:val="bottom"/>
            <w:hideMark/>
          </w:tcPr>
          <w:p w14:paraId="220451E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43%</w:t>
            </w:r>
          </w:p>
        </w:tc>
        <w:tc>
          <w:tcPr>
            <w:tcW w:w="1183" w:type="dxa"/>
            <w:tcBorders>
              <w:top w:val="nil"/>
              <w:left w:val="nil"/>
              <w:bottom w:val="single" w:sz="8" w:space="0" w:color="auto"/>
              <w:right w:val="nil"/>
            </w:tcBorders>
            <w:shd w:val="clear" w:color="auto" w:fill="auto"/>
            <w:noWrap/>
            <w:vAlign w:val="bottom"/>
            <w:hideMark/>
          </w:tcPr>
          <w:p w14:paraId="1AC6B135"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1.244.684</w:t>
            </w:r>
          </w:p>
        </w:tc>
        <w:tc>
          <w:tcPr>
            <w:tcW w:w="866" w:type="dxa"/>
            <w:tcBorders>
              <w:top w:val="single" w:sz="4" w:space="0" w:color="auto"/>
              <w:left w:val="single" w:sz="4" w:space="0" w:color="auto"/>
              <w:bottom w:val="single" w:sz="8" w:space="0" w:color="auto"/>
              <w:right w:val="single" w:sz="8" w:space="0" w:color="auto"/>
            </w:tcBorders>
            <w:shd w:val="clear" w:color="auto" w:fill="auto"/>
            <w:noWrap/>
            <w:vAlign w:val="bottom"/>
            <w:hideMark/>
          </w:tcPr>
          <w:p w14:paraId="53891120"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w:t>
            </w:r>
          </w:p>
        </w:tc>
      </w:tr>
      <w:tr w:rsidR="002A7E48" w:rsidRPr="002A7E48" w14:paraId="7A559F1B" w14:textId="77777777" w:rsidTr="0042240D">
        <w:trPr>
          <w:trHeight w:val="220"/>
        </w:trPr>
        <w:tc>
          <w:tcPr>
            <w:tcW w:w="1892" w:type="dxa"/>
            <w:gridSpan w:val="3"/>
            <w:tcBorders>
              <w:top w:val="single" w:sz="8" w:space="0" w:color="auto"/>
              <w:left w:val="single" w:sz="8" w:space="0" w:color="auto"/>
              <w:bottom w:val="single" w:sz="8" w:space="0" w:color="auto"/>
              <w:right w:val="single" w:sz="8" w:space="0" w:color="000000"/>
            </w:tcBorders>
            <w:shd w:val="clear" w:color="000000" w:fill="DDEBF7"/>
            <w:noWrap/>
            <w:vAlign w:val="bottom"/>
            <w:hideMark/>
          </w:tcPr>
          <w:p w14:paraId="0595B7E4" w14:textId="77777777" w:rsidR="002A7E48" w:rsidRPr="002A7E48" w:rsidRDefault="002A7E48" w:rsidP="002A7E48">
            <w:pPr>
              <w:spacing w:after="0" w:line="240" w:lineRule="auto"/>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SKUPAJ 15 - 16</w:t>
            </w:r>
          </w:p>
        </w:tc>
        <w:tc>
          <w:tcPr>
            <w:tcW w:w="1297" w:type="dxa"/>
            <w:tcBorders>
              <w:top w:val="nil"/>
              <w:left w:val="nil"/>
              <w:bottom w:val="single" w:sz="8" w:space="0" w:color="auto"/>
              <w:right w:val="single" w:sz="8" w:space="0" w:color="auto"/>
            </w:tcBorders>
            <w:shd w:val="clear" w:color="000000" w:fill="DDEBF7"/>
            <w:noWrap/>
            <w:vAlign w:val="bottom"/>
            <w:hideMark/>
          </w:tcPr>
          <w:p w14:paraId="5BBC5136" w14:textId="77777777" w:rsidR="002A7E48" w:rsidRPr="002A7E48" w:rsidRDefault="002A7E48" w:rsidP="002A7E48">
            <w:pPr>
              <w:spacing w:after="0" w:line="240" w:lineRule="auto"/>
              <w:jc w:val="right"/>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268.946.210</w:t>
            </w:r>
          </w:p>
        </w:tc>
        <w:tc>
          <w:tcPr>
            <w:tcW w:w="1183" w:type="dxa"/>
            <w:tcBorders>
              <w:top w:val="nil"/>
              <w:left w:val="nil"/>
              <w:bottom w:val="single" w:sz="8" w:space="0" w:color="auto"/>
              <w:right w:val="single" w:sz="4" w:space="0" w:color="auto"/>
            </w:tcBorders>
            <w:shd w:val="clear" w:color="000000" w:fill="DDEBF7"/>
            <w:noWrap/>
            <w:vAlign w:val="bottom"/>
            <w:hideMark/>
          </w:tcPr>
          <w:p w14:paraId="628464F9" w14:textId="77777777" w:rsidR="002A7E48" w:rsidRPr="002A7E48" w:rsidRDefault="002A7E48" w:rsidP="002A7E48">
            <w:pPr>
              <w:spacing w:after="0" w:line="240" w:lineRule="auto"/>
              <w:jc w:val="right"/>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228.959.126</w:t>
            </w:r>
          </w:p>
        </w:tc>
        <w:tc>
          <w:tcPr>
            <w:tcW w:w="856" w:type="dxa"/>
            <w:tcBorders>
              <w:top w:val="single" w:sz="4" w:space="0" w:color="auto"/>
              <w:left w:val="nil"/>
              <w:bottom w:val="single" w:sz="8" w:space="0" w:color="auto"/>
              <w:right w:val="single" w:sz="8" w:space="0" w:color="auto"/>
            </w:tcBorders>
            <w:shd w:val="clear" w:color="000000" w:fill="DDEBF7"/>
            <w:noWrap/>
            <w:vAlign w:val="bottom"/>
            <w:hideMark/>
          </w:tcPr>
          <w:p w14:paraId="0C2294EE" w14:textId="77777777" w:rsidR="002A7E48" w:rsidRPr="002A7E48" w:rsidRDefault="002A7E48" w:rsidP="002A7E48">
            <w:pPr>
              <w:spacing w:after="0" w:line="240" w:lineRule="auto"/>
              <w:jc w:val="right"/>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85%</w:t>
            </w:r>
          </w:p>
        </w:tc>
        <w:tc>
          <w:tcPr>
            <w:tcW w:w="1183" w:type="dxa"/>
            <w:tcBorders>
              <w:top w:val="nil"/>
              <w:left w:val="nil"/>
              <w:bottom w:val="single" w:sz="8" w:space="0" w:color="auto"/>
              <w:right w:val="single" w:sz="4" w:space="0" w:color="auto"/>
            </w:tcBorders>
            <w:shd w:val="clear" w:color="000000" w:fill="DDEBF7"/>
            <w:noWrap/>
            <w:vAlign w:val="bottom"/>
            <w:hideMark/>
          </w:tcPr>
          <w:p w14:paraId="25B8143A" w14:textId="77777777" w:rsidR="002A7E48" w:rsidRPr="002A7E48" w:rsidRDefault="002A7E48" w:rsidP="002A7E48">
            <w:pPr>
              <w:spacing w:after="0" w:line="240" w:lineRule="auto"/>
              <w:jc w:val="right"/>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225.311.287</w:t>
            </w:r>
          </w:p>
        </w:tc>
        <w:tc>
          <w:tcPr>
            <w:tcW w:w="866" w:type="dxa"/>
            <w:tcBorders>
              <w:top w:val="single" w:sz="4" w:space="0" w:color="auto"/>
              <w:left w:val="nil"/>
              <w:bottom w:val="single" w:sz="8" w:space="0" w:color="auto"/>
              <w:right w:val="single" w:sz="8" w:space="0" w:color="auto"/>
            </w:tcBorders>
            <w:shd w:val="clear" w:color="000000" w:fill="DDEBF7"/>
            <w:noWrap/>
            <w:vAlign w:val="bottom"/>
            <w:hideMark/>
          </w:tcPr>
          <w:p w14:paraId="21ECBD87" w14:textId="77777777" w:rsidR="002A7E48" w:rsidRPr="002A7E48" w:rsidRDefault="002A7E48" w:rsidP="002A7E48">
            <w:pPr>
              <w:spacing w:after="0" w:line="240" w:lineRule="auto"/>
              <w:jc w:val="right"/>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84%</w:t>
            </w:r>
          </w:p>
        </w:tc>
        <w:tc>
          <w:tcPr>
            <w:tcW w:w="1183" w:type="dxa"/>
            <w:tcBorders>
              <w:top w:val="nil"/>
              <w:left w:val="nil"/>
              <w:bottom w:val="single" w:sz="8" w:space="0" w:color="auto"/>
              <w:right w:val="nil"/>
            </w:tcBorders>
            <w:shd w:val="clear" w:color="000000" w:fill="DDEBF7"/>
            <w:noWrap/>
            <w:vAlign w:val="bottom"/>
            <w:hideMark/>
          </w:tcPr>
          <w:p w14:paraId="122FB053" w14:textId="77777777" w:rsidR="002A7E48" w:rsidRPr="002A7E48" w:rsidRDefault="002A7E48" w:rsidP="002A7E48">
            <w:pPr>
              <w:spacing w:after="0" w:line="240" w:lineRule="auto"/>
              <w:jc w:val="right"/>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96.752.105</w:t>
            </w:r>
          </w:p>
        </w:tc>
        <w:tc>
          <w:tcPr>
            <w:tcW w:w="866" w:type="dxa"/>
            <w:tcBorders>
              <w:top w:val="single" w:sz="4" w:space="0" w:color="auto"/>
              <w:left w:val="single" w:sz="4" w:space="0" w:color="auto"/>
              <w:bottom w:val="single" w:sz="8" w:space="0" w:color="auto"/>
              <w:right w:val="single" w:sz="8" w:space="0" w:color="auto"/>
            </w:tcBorders>
            <w:shd w:val="clear" w:color="000000" w:fill="DDEBF7"/>
            <w:noWrap/>
            <w:vAlign w:val="bottom"/>
            <w:hideMark/>
          </w:tcPr>
          <w:p w14:paraId="4A8C102E" w14:textId="77777777" w:rsidR="002A7E48" w:rsidRPr="002A7E48" w:rsidRDefault="002A7E48" w:rsidP="002A7E48">
            <w:pPr>
              <w:spacing w:after="0" w:line="240" w:lineRule="auto"/>
              <w:jc w:val="right"/>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36%</w:t>
            </w:r>
          </w:p>
        </w:tc>
      </w:tr>
      <w:tr w:rsidR="002A7E48" w:rsidRPr="002A7E48" w14:paraId="6526D983" w14:textId="77777777" w:rsidTr="0042240D">
        <w:trPr>
          <w:trHeight w:val="304"/>
        </w:trPr>
        <w:tc>
          <w:tcPr>
            <w:tcW w:w="1892" w:type="dxa"/>
            <w:gridSpan w:val="3"/>
            <w:tcBorders>
              <w:top w:val="single" w:sz="8" w:space="0" w:color="auto"/>
              <w:left w:val="single" w:sz="8" w:space="0" w:color="auto"/>
              <w:bottom w:val="single" w:sz="8" w:space="0" w:color="auto"/>
              <w:right w:val="nil"/>
            </w:tcBorders>
            <w:shd w:val="clear" w:color="000000" w:fill="DDEBF7"/>
            <w:noWrap/>
            <w:vAlign w:val="center"/>
            <w:hideMark/>
          </w:tcPr>
          <w:p w14:paraId="41C5CC50" w14:textId="77777777" w:rsidR="002A7E48" w:rsidRPr="002A7E48" w:rsidRDefault="002A7E48" w:rsidP="002A7E48">
            <w:pPr>
              <w:spacing w:after="0" w:line="240" w:lineRule="auto"/>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SKUPAJ</w:t>
            </w:r>
          </w:p>
        </w:tc>
        <w:tc>
          <w:tcPr>
            <w:tcW w:w="1297" w:type="dxa"/>
            <w:tcBorders>
              <w:top w:val="nil"/>
              <w:left w:val="single" w:sz="8" w:space="0" w:color="auto"/>
              <w:bottom w:val="single" w:sz="8" w:space="0" w:color="auto"/>
              <w:right w:val="single" w:sz="8" w:space="0" w:color="auto"/>
            </w:tcBorders>
            <w:shd w:val="clear" w:color="000000" w:fill="DDEBF7"/>
            <w:noWrap/>
            <w:vAlign w:val="center"/>
            <w:hideMark/>
          </w:tcPr>
          <w:p w14:paraId="5C3BFC7E" w14:textId="77777777" w:rsidR="002A7E48" w:rsidRPr="002A7E48" w:rsidRDefault="002A7E48" w:rsidP="002A7E48">
            <w:pPr>
              <w:spacing w:after="0" w:line="240" w:lineRule="auto"/>
              <w:jc w:val="right"/>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3.336.871.135</w:t>
            </w:r>
          </w:p>
        </w:tc>
        <w:tc>
          <w:tcPr>
            <w:tcW w:w="1183" w:type="dxa"/>
            <w:tcBorders>
              <w:top w:val="nil"/>
              <w:left w:val="nil"/>
              <w:bottom w:val="single" w:sz="8" w:space="0" w:color="auto"/>
              <w:right w:val="single" w:sz="4" w:space="0" w:color="auto"/>
            </w:tcBorders>
            <w:shd w:val="clear" w:color="000000" w:fill="DDEBF7"/>
            <w:noWrap/>
            <w:vAlign w:val="center"/>
            <w:hideMark/>
          </w:tcPr>
          <w:p w14:paraId="0452490A" w14:textId="77777777" w:rsidR="002A7E48" w:rsidRPr="002A7E48" w:rsidRDefault="002A7E48" w:rsidP="002A7E48">
            <w:pPr>
              <w:spacing w:after="0" w:line="240" w:lineRule="auto"/>
              <w:jc w:val="right"/>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3.778.499.068</w:t>
            </w:r>
          </w:p>
        </w:tc>
        <w:tc>
          <w:tcPr>
            <w:tcW w:w="856" w:type="dxa"/>
            <w:tcBorders>
              <w:top w:val="nil"/>
              <w:left w:val="nil"/>
              <w:bottom w:val="single" w:sz="8" w:space="0" w:color="auto"/>
              <w:right w:val="single" w:sz="8" w:space="0" w:color="auto"/>
            </w:tcBorders>
            <w:shd w:val="clear" w:color="000000" w:fill="DDEBF7"/>
            <w:noWrap/>
            <w:vAlign w:val="center"/>
            <w:hideMark/>
          </w:tcPr>
          <w:p w14:paraId="63C8C13F" w14:textId="77777777" w:rsidR="002A7E48" w:rsidRPr="002A7E48" w:rsidRDefault="002A7E48" w:rsidP="002A7E48">
            <w:pPr>
              <w:spacing w:after="0" w:line="240" w:lineRule="auto"/>
              <w:jc w:val="right"/>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113%</w:t>
            </w:r>
          </w:p>
        </w:tc>
        <w:tc>
          <w:tcPr>
            <w:tcW w:w="1183" w:type="dxa"/>
            <w:tcBorders>
              <w:top w:val="nil"/>
              <w:left w:val="nil"/>
              <w:bottom w:val="single" w:sz="8" w:space="0" w:color="auto"/>
              <w:right w:val="single" w:sz="4" w:space="0" w:color="auto"/>
            </w:tcBorders>
            <w:shd w:val="clear" w:color="000000" w:fill="DDEBF7"/>
            <w:noWrap/>
            <w:vAlign w:val="center"/>
            <w:hideMark/>
          </w:tcPr>
          <w:p w14:paraId="27AA8C11" w14:textId="77777777" w:rsidR="002A7E48" w:rsidRPr="002A7E48" w:rsidRDefault="002A7E48" w:rsidP="002A7E48">
            <w:pPr>
              <w:spacing w:after="0" w:line="240" w:lineRule="auto"/>
              <w:jc w:val="right"/>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3.561.362.616</w:t>
            </w:r>
          </w:p>
        </w:tc>
        <w:tc>
          <w:tcPr>
            <w:tcW w:w="866" w:type="dxa"/>
            <w:tcBorders>
              <w:top w:val="nil"/>
              <w:left w:val="nil"/>
              <w:bottom w:val="single" w:sz="8" w:space="0" w:color="auto"/>
              <w:right w:val="single" w:sz="8" w:space="0" w:color="auto"/>
            </w:tcBorders>
            <w:shd w:val="clear" w:color="000000" w:fill="DDEBF7"/>
            <w:noWrap/>
            <w:vAlign w:val="center"/>
            <w:hideMark/>
          </w:tcPr>
          <w:p w14:paraId="54CC3D85" w14:textId="77777777" w:rsidR="002A7E48" w:rsidRPr="002A7E48" w:rsidRDefault="002A7E48" w:rsidP="002A7E48">
            <w:pPr>
              <w:spacing w:after="0" w:line="240" w:lineRule="auto"/>
              <w:jc w:val="right"/>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107%</w:t>
            </w:r>
          </w:p>
        </w:tc>
        <w:tc>
          <w:tcPr>
            <w:tcW w:w="1183" w:type="dxa"/>
            <w:tcBorders>
              <w:top w:val="nil"/>
              <w:left w:val="single" w:sz="4" w:space="0" w:color="auto"/>
              <w:bottom w:val="single" w:sz="8" w:space="0" w:color="auto"/>
              <w:right w:val="single" w:sz="4" w:space="0" w:color="auto"/>
            </w:tcBorders>
            <w:shd w:val="clear" w:color="000000" w:fill="DDEBF7"/>
            <w:noWrap/>
            <w:vAlign w:val="center"/>
            <w:hideMark/>
          </w:tcPr>
          <w:p w14:paraId="3A60ECE3" w14:textId="77777777" w:rsidR="002A7E48" w:rsidRPr="002A7E48" w:rsidRDefault="002A7E48" w:rsidP="002A7E48">
            <w:pPr>
              <w:spacing w:after="0" w:line="240" w:lineRule="auto"/>
              <w:jc w:val="right"/>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2.907.158.240</w:t>
            </w:r>
          </w:p>
        </w:tc>
        <w:tc>
          <w:tcPr>
            <w:tcW w:w="866" w:type="dxa"/>
            <w:tcBorders>
              <w:top w:val="nil"/>
              <w:left w:val="nil"/>
              <w:bottom w:val="single" w:sz="8" w:space="0" w:color="auto"/>
              <w:right w:val="single" w:sz="8" w:space="0" w:color="auto"/>
            </w:tcBorders>
            <w:shd w:val="clear" w:color="000000" w:fill="DDEBF7"/>
            <w:noWrap/>
            <w:vAlign w:val="center"/>
            <w:hideMark/>
          </w:tcPr>
          <w:p w14:paraId="336C8493" w14:textId="77777777" w:rsidR="002A7E48" w:rsidRPr="002A7E48" w:rsidRDefault="002A7E48" w:rsidP="002A7E48">
            <w:pPr>
              <w:spacing w:after="0" w:line="240" w:lineRule="auto"/>
              <w:jc w:val="right"/>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87%</w:t>
            </w:r>
          </w:p>
        </w:tc>
      </w:tr>
    </w:tbl>
    <w:p w14:paraId="1E7355D3" w14:textId="77777777" w:rsidR="002A7E48" w:rsidRPr="002A7E48" w:rsidRDefault="002A7E48" w:rsidP="002A7E48">
      <w:pPr>
        <w:spacing w:after="0" w:line="240" w:lineRule="auto"/>
        <w:rPr>
          <w:rFonts w:ascii="Arial" w:eastAsia="Calibri" w:hAnsi="Arial" w:cs="Arial"/>
          <w:b/>
          <w:sz w:val="20"/>
          <w:szCs w:val="20"/>
        </w:rPr>
      </w:pPr>
    </w:p>
    <w:p w14:paraId="49B05452" w14:textId="77777777" w:rsidR="002A7E48" w:rsidRPr="002A7E48" w:rsidRDefault="002A7E48" w:rsidP="002A7E48">
      <w:pPr>
        <w:spacing w:after="0" w:line="240" w:lineRule="auto"/>
        <w:rPr>
          <w:rFonts w:ascii="Arial" w:eastAsia="Calibri" w:hAnsi="Arial" w:cs="Arial"/>
          <w:b/>
          <w:sz w:val="20"/>
          <w:szCs w:val="20"/>
        </w:rPr>
      </w:pPr>
    </w:p>
    <w:p w14:paraId="0C9FB15F" w14:textId="77777777" w:rsidR="002A7E48" w:rsidRPr="002A7E48" w:rsidRDefault="002A7E48" w:rsidP="002A7E48">
      <w:pPr>
        <w:spacing w:after="0" w:line="240" w:lineRule="auto"/>
        <w:rPr>
          <w:rFonts w:ascii="Arial" w:eastAsia="Calibri" w:hAnsi="Arial" w:cs="Arial"/>
          <w:b/>
          <w:sz w:val="20"/>
          <w:szCs w:val="20"/>
        </w:rPr>
      </w:pPr>
    </w:p>
    <w:p w14:paraId="65644C59" w14:textId="576E6C46" w:rsidR="002A7E48" w:rsidRDefault="002A7E48" w:rsidP="002A7E48">
      <w:pPr>
        <w:spacing w:after="0" w:line="240" w:lineRule="auto"/>
        <w:rPr>
          <w:rFonts w:ascii="Arial" w:eastAsia="Calibri" w:hAnsi="Arial" w:cs="Arial"/>
          <w:b/>
          <w:sz w:val="20"/>
          <w:szCs w:val="20"/>
        </w:rPr>
      </w:pPr>
    </w:p>
    <w:p w14:paraId="423CAF5E" w14:textId="0008DF1F" w:rsidR="002A7E48" w:rsidRDefault="002A7E48" w:rsidP="002A7E48">
      <w:pPr>
        <w:spacing w:after="0" w:line="240" w:lineRule="auto"/>
        <w:rPr>
          <w:rFonts w:ascii="Arial" w:eastAsia="Calibri" w:hAnsi="Arial" w:cs="Arial"/>
          <w:b/>
          <w:sz w:val="20"/>
          <w:szCs w:val="20"/>
        </w:rPr>
      </w:pPr>
    </w:p>
    <w:p w14:paraId="6F646241" w14:textId="77777777" w:rsidR="002A7E48" w:rsidRPr="002A7E48" w:rsidRDefault="002A7E48" w:rsidP="002A7E48">
      <w:pPr>
        <w:spacing w:after="0" w:line="240" w:lineRule="auto"/>
        <w:rPr>
          <w:rFonts w:ascii="Arial" w:eastAsia="Calibri" w:hAnsi="Arial" w:cs="Arial"/>
          <w:b/>
          <w:sz w:val="20"/>
          <w:szCs w:val="20"/>
        </w:rPr>
      </w:pPr>
    </w:p>
    <w:p w14:paraId="53D1CD12" w14:textId="77777777" w:rsidR="002A7E48" w:rsidRPr="002A7E48" w:rsidRDefault="002A7E48" w:rsidP="002A7E48">
      <w:pPr>
        <w:spacing w:after="0" w:line="240" w:lineRule="auto"/>
        <w:rPr>
          <w:rFonts w:ascii="Arial" w:eastAsia="Calibri" w:hAnsi="Arial" w:cs="Arial"/>
          <w:b/>
          <w:sz w:val="20"/>
          <w:szCs w:val="20"/>
        </w:rPr>
      </w:pPr>
      <w:r w:rsidRPr="002A7E48">
        <w:rPr>
          <w:rFonts w:ascii="Arial" w:eastAsia="Calibri" w:hAnsi="Arial" w:cs="Arial"/>
          <w:b/>
          <w:sz w:val="20"/>
          <w:szCs w:val="20"/>
        </w:rPr>
        <w:lastRenderedPageBreak/>
        <w:t>Tabela 2: Stanje izvajanja glede na sklad in regijo</w:t>
      </w:r>
    </w:p>
    <w:tbl>
      <w:tblPr>
        <w:tblW w:w="9763" w:type="dxa"/>
        <w:tblCellMar>
          <w:left w:w="70" w:type="dxa"/>
          <w:right w:w="70" w:type="dxa"/>
        </w:tblCellMar>
        <w:tblLook w:val="04A0" w:firstRow="1" w:lastRow="0" w:firstColumn="1" w:lastColumn="0" w:noHBand="0" w:noVBand="1"/>
      </w:tblPr>
      <w:tblGrid>
        <w:gridCol w:w="696"/>
        <w:gridCol w:w="1134"/>
        <w:gridCol w:w="12"/>
        <w:gridCol w:w="1408"/>
        <w:gridCol w:w="12"/>
        <w:gridCol w:w="1468"/>
        <w:gridCol w:w="12"/>
        <w:gridCol w:w="768"/>
        <w:gridCol w:w="1420"/>
        <w:gridCol w:w="713"/>
        <w:gridCol w:w="1420"/>
        <w:gridCol w:w="700"/>
      </w:tblGrid>
      <w:tr w:rsidR="002A7E48" w:rsidRPr="002A7E48" w14:paraId="1EE3B319" w14:textId="77777777" w:rsidTr="0042240D">
        <w:trPr>
          <w:trHeight w:val="690"/>
        </w:trPr>
        <w:tc>
          <w:tcPr>
            <w:tcW w:w="696" w:type="dxa"/>
            <w:vMerge w:val="restart"/>
            <w:tcBorders>
              <w:top w:val="single" w:sz="8" w:space="0" w:color="auto"/>
              <w:left w:val="single" w:sz="8" w:space="0" w:color="auto"/>
              <w:bottom w:val="single" w:sz="8" w:space="0" w:color="000000"/>
              <w:right w:val="single" w:sz="4" w:space="0" w:color="auto"/>
            </w:tcBorders>
            <w:shd w:val="clear" w:color="000000" w:fill="DDEBF7"/>
            <w:vAlign w:val="center"/>
            <w:hideMark/>
          </w:tcPr>
          <w:p w14:paraId="32B5041B"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Sklad</w:t>
            </w:r>
          </w:p>
        </w:tc>
        <w:tc>
          <w:tcPr>
            <w:tcW w:w="1134" w:type="dxa"/>
            <w:vMerge w:val="restart"/>
            <w:tcBorders>
              <w:top w:val="single" w:sz="8" w:space="0" w:color="auto"/>
              <w:left w:val="single" w:sz="4" w:space="0" w:color="auto"/>
              <w:bottom w:val="single" w:sz="8" w:space="0" w:color="000000"/>
              <w:right w:val="single" w:sz="4" w:space="0" w:color="auto"/>
            </w:tcBorders>
            <w:shd w:val="clear" w:color="000000" w:fill="DDEBF7"/>
            <w:vAlign w:val="center"/>
            <w:hideMark/>
          </w:tcPr>
          <w:p w14:paraId="656B4E1B"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Regija</w:t>
            </w:r>
          </w:p>
        </w:tc>
        <w:tc>
          <w:tcPr>
            <w:tcW w:w="1420" w:type="dxa"/>
            <w:gridSpan w:val="2"/>
            <w:vMerge w:val="restart"/>
            <w:tcBorders>
              <w:top w:val="single" w:sz="8" w:space="0" w:color="auto"/>
              <w:left w:val="single" w:sz="4" w:space="0" w:color="auto"/>
              <w:bottom w:val="single" w:sz="4" w:space="0" w:color="auto"/>
              <w:right w:val="single" w:sz="4" w:space="0" w:color="auto"/>
            </w:tcBorders>
            <w:shd w:val="clear" w:color="000000" w:fill="DDEBF7"/>
            <w:vAlign w:val="center"/>
            <w:hideMark/>
          </w:tcPr>
          <w:p w14:paraId="60A05AE4"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 xml:space="preserve">Pravice porabe </w:t>
            </w:r>
          </w:p>
        </w:tc>
        <w:tc>
          <w:tcPr>
            <w:tcW w:w="2260" w:type="dxa"/>
            <w:gridSpan w:val="4"/>
            <w:vMerge w:val="restart"/>
            <w:tcBorders>
              <w:top w:val="single" w:sz="8" w:space="0" w:color="auto"/>
              <w:left w:val="single" w:sz="4" w:space="0" w:color="auto"/>
              <w:bottom w:val="single" w:sz="4" w:space="0" w:color="auto"/>
              <w:right w:val="single" w:sz="4" w:space="0" w:color="auto"/>
            </w:tcBorders>
            <w:shd w:val="clear" w:color="000000" w:fill="DDEBF7"/>
            <w:vAlign w:val="center"/>
            <w:hideMark/>
          </w:tcPr>
          <w:p w14:paraId="02CBCB0D"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Odločitve o podpori 30.4.2023</w:t>
            </w:r>
          </w:p>
        </w:tc>
        <w:tc>
          <w:tcPr>
            <w:tcW w:w="2133" w:type="dxa"/>
            <w:gridSpan w:val="2"/>
            <w:vMerge w:val="restart"/>
            <w:tcBorders>
              <w:top w:val="single" w:sz="8" w:space="0" w:color="auto"/>
              <w:left w:val="single" w:sz="4" w:space="0" w:color="auto"/>
              <w:bottom w:val="single" w:sz="4" w:space="0" w:color="auto"/>
              <w:right w:val="single" w:sz="4" w:space="0" w:color="auto"/>
            </w:tcBorders>
            <w:shd w:val="clear" w:color="000000" w:fill="DDEBF7"/>
            <w:vAlign w:val="center"/>
            <w:hideMark/>
          </w:tcPr>
          <w:p w14:paraId="5F396C9D"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Potrjene operacije 30.4.2023</w:t>
            </w:r>
          </w:p>
        </w:tc>
        <w:tc>
          <w:tcPr>
            <w:tcW w:w="2120" w:type="dxa"/>
            <w:gridSpan w:val="2"/>
            <w:vMerge w:val="restart"/>
            <w:tcBorders>
              <w:top w:val="single" w:sz="8" w:space="0" w:color="auto"/>
              <w:left w:val="single" w:sz="4" w:space="0" w:color="auto"/>
              <w:bottom w:val="single" w:sz="4" w:space="0" w:color="auto"/>
              <w:right w:val="single" w:sz="8" w:space="0" w:color="000000"/>
            </w:tcBorders>
            <w:shd w:val="clear" w:color="000000" w:fill="DDEBF7"/>
            <w:vAlign w:val="center"/>
            <w:hideMark/>
          </w:tcPr>
          <w:p w14:paraId="3908BA66"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 xml:space="preserve">Izplačila iz DP 30.4.2023 </w:t>
            </w:r>
          </w:p>
        </w:tc>
      </w:tr>
      <w:tr w:rsidR="002A7E48" w:rsidRPr="002A7E48" w14:paraId="3D78791D" w14:textId="77777777" w:rsidTr="0042240D">
        <w:trPr>
          <w:trHeight w:val="450"/>
        </w:trPr>
        <w:tc>
          <w:tcPr>
            <w:tcW w:w="696" w:type="dxa"/>
            <w:vMerge/>
            <w:tcBorders>
              <w:top w:val="single" w:sz="8" w:space="0" w:color="auto"/>
              <w:left w:val="single" w:sz="8" w:space="0" w:color="auto"/>
              <w:bottom w:val="single" w:sz="8" w:space="0" w:color="000000"/>
              <w:right w:val="single" w:sz="4" w:space="0" w:color="auto"/>
            </w:tcBorders>
            <w:vAlign w:val="center"/>
            <w:hideMark/>
          </w:tcPr>
          <w:p w14:paraId="205A89F8" w14:textId="77777777" w:rsidR="002A7E48" w:rsidRPr="002A7E48" w:rsidRDefault="002A7E48" w:rsidP="002A7E48">
            <w:pPr>
              <w:spacing w:after="0" w:line="240" w:lineRule="auto"/>
              <w:rPr>
                <w:rFonts w:ascii="Arial" w:eastAsia="Calibri" w:hAnsi="Arial" w:cs="Arial"/>
                <w:b/>
                <w:bCs/>
                <w:sz w:val="18"/>
                <w:szCs w:val="18"/>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14:paraId="4C6BB84C" w14:textId="77777777" w:rsidR="002A7E48" w:rsidRPr="002A7E48" w:rsidRDefault="002A7E48" w:rsidP="002A7E48">
            <w:pPr>
              <w:spacing w:after="0" w:line="240" w:lineRule="auto"/>
              <w:rPr>
                <w:rFonts w:ascii="Arial" w:eastAsia="Calibri" w:hAnsi="Arial" w:cs="Arial"/>
                <w:b/>
                <w:bCs/>
                <w:sz w:val="18"/>
                <w:szCs w:val="18"/>
              </w:rPr>
            </w:pPr>
          </w:p>
        </w:tc>
        <w:tc>
          <w:tcPr>
            <w:tcW w:w="1420" w:type="dxa"/>
            <w:gridSpan w:val="2"/>
            <w:vMerge/>
            <w:tcBorders>
              <w:top w:val="single" w:sz="8" w:space="0" w:color="auto"/>
              <w:left w:val="single" w:sz="4" w:space="0" w:color="auto"/>
              <w:bottom w:val="single" w:sz="4" w:space="0" w:color="auto"/>
              <w:right w:val="single" w:sz="4" w:space="0" w:color="auto"/>
            </w:tcBorders>
            <w:vAlign w:val="center"/>
            <w:hideMark/>
          </w:tcPr>
          <w:p w14:paraId="5B8A2734" w14:textId="77777777" w:rsidR="002A7E48" w:rsidRPr="002A7E48" w:rsidRDefault="002A7E48" w:rsidP="002A7E48">
            <w:pPr>
              <w:spacing w:after="0" w:line="240" w:lineRule="auto"/>
              <w:rPr>
                <w:rFonts w:ascii="Arial" w:eastAsia="Calibri" w:hAnsi="Arial" w:cs="Arial"/>
                <w:b/>
                <w:bCs/>
                <w:sz w:val="18"/>
                <w:szCs w:val="18"/>
              </w:rPr>
            </w:pPr>
          </w:p>
        </w:tc>
        <w:tc>
          <w:tcPr>
            <w:tcW w:w="2260" w:type="dxa"/>
            <w:gridSpan w:val="4"/>
            <w:vMerge/>
            <w:tcBorders>
              <w:top w:val="single" w:sz="8" w:space="0" w:color="auto"/>
              <w:left w:val="single" w:sz="4" w:space="0" w:color="auto"/>
              <w:bottom w:val="single" w:sz="4" w:space="0" w:color="auto"/>
              <w:right w:val="single" w:sz="4" w:space="0" w:color="auto"/>
            </w:tcBorders>
            <w:vAlign w:val="center"/>
            <w:hideMark/>
          </w:tcPr>
          <w:p w14:paraId="5E0EEFCC" w14:textId="77777777" w:rsidR="002A7E48" w:rsidRPr="002A7E48" w:rsidRDefault="002A7E48" w:rsidP="002A7E48">
            <w:pPr>
              <w:spacing w:after="0" w:line="240" w:lineRule="auto"/>
              <w:rPr>
                <w:rFonts w:ascii="Arial" w:eastAsia="Calibri" w:hAnsi="Arial" w:cs="Arial"/>
                <w:b/>
                <w:bCs/>
                <w:sz w:val="18"/>
                <w:szCs w:val="18"/>
              </w:rPr>
            </w:pPr>
          </w:p>
        </w:tc>
        <w:tc>
          <w:tcPr>
            <w:tcW w:w="2133" w:type="dxa"/>
            <w:gridSpan w:val="2"/>
            <w:vMerge/>
            <w:tcBorders>
              <w:top w:val="single" w:sz="8" w:space="0" w:color="auto"/>
              <w:left w:val="single" w:sz="4" w:space="0" w:color="auto"/>
              <w:bottom w:val="single" w:sz="4" w:space="0" w:color="auto"/>
              <w:right w:val="single" w:sz="4" w:space="0" w:color="auto"/>
            </w:tcBorders>
            <w:vAlign w:val="center"/>
            <w:hideMark/>
          </w:tcPr>
          <w:p w14:paraId="7E125340" w14:textId="77777777" w:rsidR="002A7E48" w:rsidRPr="002A7E48" w:rsidRDefault="002A7E48" w:rsidP="002A7E48">
            <w:pPr>
              <w:spacing w:after="0" w:line="240" w:lineRule="auto"/>
              <w:rPr>
                <w:rFonts w:ascii="Arial" w:eastAsia="Calibri" w:hAnsi="Arial" w:cs="Arial"/>
                <w:b/>
                <w:bCs/>
                <w:sz w:val="18"/>
                <w:szCs w:val="18"/>
              </w:rPr>
            </w:pPr>
          </w:p>
        </w:tc>
        <w:tc>
          <w:tcPr>
            <w:tcW w:w="2120" w:type="dxa"/>
            <w:gridSpan w:val="2"/>
            <w:vMerge/>
            <w:tcBorders>
              <w:top w:val="single" w:sz="8" w:space="0" w:color="auto"/>
              <w:left w:val="single" w:sz="4" w:space="0" w:color="auto"/>
              <w:bottom w:val="single" w:sz="4" w:space="0" w:color="auto"/>
              <w:right w:val="single" w:sz="8" w:space="0" w:color="000000"/>
            </w:tcBorders>
            <w:vAlign w:val="center"/>
            <w:hideMark/>
          </w:tcPr>
          <w:p w14:paraId="2010BEE7" w14:textId="77777777" w:rsidR="002A7E48" w:rsidRPr="002A7E48" w:rsidRDefault="002A7E48" w:rsidP="002A7E48">
            <w:pPr>
              <w:spacing w:after="0" w:line="240" w:lineRule="auto"/>
              <w:rPr>
                <w:rFonts w:ascii="Arial" w:eastAsia="Calibri" w:hAnsi="Arial" w:cs="Arial"/>
                <w:b/>
                <w:bCs/>
                <w:sz w:val="18"/>
                <w:szCs w:val="18"/>
              </w:rPr>
            </w:pPr>
          </w:p>
        </w:tc>
      </w:tr>
      <w:tr w:rsidR="002A7E48" w:rsidRPr="002A7E48" w14:paraId="53E5F65A" w14:textId="77777777" w:rsidTr="0042240D">
        <w:trPr>
          <w:trHeight w:val="450"/>
        </w:trPr>
        <w:tc>
          <w:tcPr>
            <w:tcW w:w="696" w:type="dxa"/>
            <w:vMerge/>
            <w:tcBorders>
              <w:top w:val="single" w:sz="8" w:space="0" w:color="auto"/>
              <w:left w:val="single" w:sz="8" w:space="0" w:color="auto"/>
              <w:bottom w:val="single" w:sz="8" w:space="0" w:color="000000"/>
              <w:right w:val="single" w:sz="4" w:space="0" w:color="auto"/>
            </w:tcBorders>
            <w:vAlign w:val="center"/>
            <w:hideMark/>
          </w:tcPr>
          <w:p w14:paraId="51CB152A" w14:textId="77777777" w:rsidR="002A7E48" w:rsidRPr="002A7E48" w:rsidRDefault="002A7E48" w:rsidP="002A7E48">
            <w:pPr>
              <w:spacing w:after="0" w:line="240" w:lineRule="auto"/>
              <w:rPr>
                <w:rFonts w:ascii="Arial" w:eastAsia="Calibri" w:hAnsi="Arial" w:cs="Arial"/>
                <w:b/>
                <w:bCs/>
                <w:sz w:val="18"/>
                <w:szCs w:val="18"/>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14:paraId="76F7DEF8" w14:textId="77777777" w:rsidR="002A7E48" w:rsidRPr="002A7E48" w:rsidRDefault="002A7E48" w:rsidP="002A7E48">
            <w:pPr>
              <w:spacing w:after="0" w:line="240" w:lineRule="auto"/>
              <w:rPr>
                <w:rFonts w:ascii="Arial" w:eastAsia="Calibri" w:hAnsi="Arial" w:cs="Arial"/>
                <w:b/>
                <w:bCs/>
                <w:sz w:val="18"/>
                <w:szCs w:val="18"/>
              </w:rPr>
            </w:pPr>
          </w:p>
        </w:tc>
        <w:tc>
          <w:tcPr>
            <w:tcW w:w="1420" w:type="dxa"/>
            <w:gridSpan w:val="2"/>
            <w:vMerge w:val="restart"/>
            <w:tcBorders>
              <w:top w:val="nil"/>
              <w:left w:val="single" w:sz="4" w:space="0" w:color="auto"/>
              <w:bottom w:val="single" w:sz="8" w:space="0" w:color="000000"/>
              <w:right w:val="single" w:sz="4" w:space="0" w:color="auto"/>
            </w:tcBorders>
            <w:shd w:val="clear" w:color="000000" w:fill="DDEBF7"/>
            <w:vAlign w:val="center"/>
            <w:hideMark/>
          </w:tcPr>
          <w:p w14:paraId="1E31D3D2"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EU del (EUR)</w:t>
            </w:r>
          </w:p>
        </w:tc>
        <w:tc>
          <w:tcPr>
            <w:tcW w:w="1480" w:type="dxa"/>
            <w:gridSpan w:val="2"/>
            <w:vMerge w:val="restart"/>
            <w:tcBorders>
              <w:top w:val="nil"/>
              <w:left w:val="single" w:sz="4" w:space="0" w:color="auto"/>
              <w:bottom w:val="single" w:sz="8" w:space="0" w:color="000000"/>
              <w:right w:val="single" w:sz="4" w:space="0" w:color="auto"/>
            </w:tcBorders>
            <w:shd w:val="clear" w:color="000000" w:fill="DDEBF7"/>
            <w:vAlign w:val="center"/>
            <w:hideMark/>
          </w:tcPr>
          <w:p w14:paraId="7897DF5A"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EU del (EUR)</w:t>
            </w:r>
          </w:p>
        </w:tc>
        <w:tc>
          <w:tcPr>
            <w:tcW w:w="780" w:type="dxa"/>
            <w:gridSpan w:val="2"/>
            <w:vMerge w:val="restart"/>
            <w:tcBorders>
              <w:top w:val="nil"/>
              <w:left w:val="single" w:sz="4" w:space="0" w:color="auto"/>
              <w:bottom w:val="single" w:sz="8" w:space="0" w:color="000000"/>
              <w:right w:val="single" w:sz="4" w:space="0" w:color="auto"/>
            </w:tcBorders>
            <w:shd w:val="clear" w:color="000000" w:fill="DDEBF7"/>
            <w:vAlign w:val="center"/>
            <w:hideMark/>
          </w:tcPr>
          <w:p w14:paraId="75606525"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w:t>
            </w:r>
          </w:p>
        </w:tc>
        <w:tc>
          <w:tcPr>
            <w:tcW w:w="1420" w:type="dxa"/>
            <w:vMerge w:val="restart"/>
            <w:tcBorders>
              <w:top w:val="nil"/>
              <w:left w:val="single" w:sz="4" w:space="0" w:color="auto"/>
              <w:bottom w:val="single" w:sz="8" w:space="0" w:color="000000"/>
              <w:right w:val="single" w:sz="4" w:space="0" w:color="auto"/>
            </w:tcBorders>
            <w:shd w:val="clear" w:color="000000" w:fill="DDEBF7"/>
            <w:vAlign w:val="center"/>
            <w:hideMark/>
          </w:tcPr>
          <w:p w14:paraId="0E153A8D"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EU del (EUR)</w:t>
            </w:r>
          </w:p>
        </w:tc>
        <w:tc>
          <w:tcPr>
            <w:tcW w:w="713" w:type="dxa"/>
            <w:vMerge w:val="restart"/>
            <w:tcBorders>
              <w:top w:val="nil"/>
              <w:left w:val="single" w:sz="4" w:space="0" w:color="auto"/>
              <w:bottom w:val="single" w:sz="8" w:space="0" w:color="000000"/>
              <w:right w:val="single" w:sz="4" w:space="0" w:color="auto"/>
            </w:tcBorders>
            <w:shd w:val="clear" w:color="000000" w:fill="DDEBF7"/>
            <w:vAlign w:val="center"/>
            <w:hideMark/>
          </w:tcPr>
          <w:p w14:paraId="5F73DB4F"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w:t>
            </w:r>
          </w:p>
        </w:tc>
        <w:tc>
          <w:tcPr>
            <w:tcW w:w="1420" w:type="dxa"/>
            <w:vMerge w:val="restart"/>
            <w:tcBorders>
              <w:top w:val="nil"/>
              <w:left w:val="single" w:sz="4" w:space="0" w:color="auto"/>
              <w:bottom w:val="single" w:sz="8" w:space="0" w:color="000000"/>
              <w:right w:val="single" w:sz="4" w:space="0" w:color="auto"/>
            </w:tcBorders>
            <w:shd w:val="clear" w:color="000000" w:fill="DDEBF7"/>
            <w:vAlign w:val="center"/>
            <w:hideMark/>
          </w:tcPr>
          <w:p w14:paraId="7AB1465A"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EU del (EUR)</w:t>
            </w:r>
          </w:p>
        </w:tc>
        <w:tc>
          <w:tcPr>
            <w:tcW w:w="700" w:type="dxa"/>
            <w:vMerge w:val="restart"/>
            <w:tcBorders>
              <w:top w:val="nil"/>
              <w:left w:val="single" w:sz="4" w:space="0" w:color="auto"/>
              <w:bottom w:val="single" w:sz="8" w:space="0" w:color="000000"/>
              <w:right w:val="single" w:sz="8" w:space="0" w:color="auto"/>
            </w:tcBorders>
            <w:shd w:val="clear" w:color="000000" w:fill="DDEBF7"/>
            <w:vAlign w:val="center"/>
            <w:hideMark/>
          </w:tcPr>
          <w:p w14:paraId="7DE4F708"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w:t>
            </w:r>
          </w:p>
        </w:tc>
      </w:tr>
      <w:tr w:rsidR="002A7E48" w:rsidRPr="002A7E48" w14:paraId="716FBB0A" w14:textId="77777777" w:rsidTr="0042240D">
        <w:trPr>
          <w:trHeight w:val="450"/>
        </w:trPr>
        <w:tc>
          <w:tcPr>
            <w:tcW w:w="696" w:type="dxa"/>
            <w:vMerge/>
            <w:tcBorders>
              <w:top w:val="single" w:sz="8" w:space="0" w:color="auto"/>
              <w:left w:val="single" w:sz="8" w:space="0" w:color="auto"/>
              <w:bottom w:val="single" w:sz="8" w:space="0" w:color="000000"/>
              <w:right w:val="single" w:sz="4" w:space="0" w:color="auto"/>
            </w:tcBorders>
            <w:vAlign w:val="center"/>
            <w:hideMark/>
          </w:tcPr>
          <w:p w14:paraId="3828ABB2" w14:textId="77777777" w:rsidR="002A7E48" w:rsidRPr="002A7E48" w:rsidRDefault="002A7E48" w:rsidP="002A7E48">
            <w:pPr>
              <w:spacing w:after="0" w:line="240" w:lineRule="auto"/>
              <w:rPr>
                <w:rFonts w:ascii="Arial" w:eastAsia="Calibri" w:hAnsi="Arial" w:cs="Arial"/>
                <w:b/>
                <w:bCs/>
                <w:sz w:val="18"/>
                <w:szCs w:val="18"/>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14:paraId="0B4F8CB5" w14:textId="77777777" w:rsidR="002A7E48" w:rsidRPr="002A7E48" w:rsidRDefault="002A7E48" w:rsidP="002A7E48">
            <w:pPr>
              <w:spacing w:after="0" w:line="240" w:lineRule="auto"/>
              <w:rPr>
                <w:rFonts w:ascii="Arial" w:eastAsia="Calibri" w:hAnsi="Arial" w:cs="Arial"/>
                <w:b/>
                <w:bCs/>
                <w:sz w:val="18"/>
                <w:szCs w:val="18"/>
              </w:rPr>
            </w:pPr>
          </w:p>
        </w:tc>
        <w:tc>
          <w:tcPr>
            <w:tcW w:w="1420" w:type="dxa"/>
            <w:gridSpan w:val="2"/>
            <w:vMerge/>
            <w:tcBorders>
              <w:top w:val="nil"/>
              <w:left w:val="single" w:sz="4" w:space="0" w:color="auto"/>
              <w:bottom w:val="single" w:sz="8" w:space="0" w:color="000000"/>
              <w:right w:val="single" w:sz="4" w:space="0" w:color="auto"/>
            </w:tcBorders>
            <w:vAlign w:val="center"/>
            <w:hideMark/>
          </w:tcPr>
          <w:p w14:paraId="05D5A259" w14:textId="77777777" w:rsidR="002A7E48" w:rsidRPr="002A7E48" w:rsidRDefault="002A7E48" w:rsidP="002A7E48">
            <w:pPr>
              <w:spacing w:after="0" w:line="240" w:lineRule="auto"/>
              <w:rPr>
                <w:rFonts w:ascii="Arial" w:eastAsia="Calibri" w:hAnsi="Arial" w:cs="Arial"/>
                <w:b/>
                <w:bCs/>
                <w:sz w:val="18"/>
                <w:szCs w:val="18"/>
              </w:rPr>
            </w:pPr>
          </w:p>
        </w:tc>
        <w:tc>
          <w:tcPr>
            <w:tcW w:w="1480" w:type="dxa"/>
            <w:gridSpan w:val="2"/>
            <w:vMerge/>
            <w:tcBorders>
              <w:top w:val="nil"/>
              <w:left w:val="single" w:sz="4" w:space="0" w:color="auto"/>
              <w:bottom w:val="single" w:sz="8" w:space="0" w:color="000000"/>
              <w:right w:val="single" w:sz="4" w:space="0" w:color="auto"/>
            </w:tcBorders>
            <w:vAlign w:val="center"/>
            <w:hideMark/>
          </w:tcPr>
          <w:p w14:paraId="6FC1D259" w14:textId="77777777" w:rsidR="002A7E48" w:rsidRPr="002A7E48" w:rsidRDefault="002A7E48" w:rsidP="002A7E48">
            <w:pPr>
              <w:spacing w:after="0" w:line="240" w:lineRule="auto"/>
              <w:rPr>
                <w:rFonts w:ascii="Arial" w:eastAsia="Calibri" w:hAnsi="Arial" w:cs="Arial"/>
                <w:b/>
                <w:bCs/>
                <w:sz w:val="18"/>
                <w:szCs w:val="18"/>
              </w:rPr>
            </w:pPr>
          </w:p>
        </w:tc>
        <w:tc>
          <w:tcPr>
            <w:tcW w:w="780" w:type="dxa"/>
            <w:gridSpan w:val="2"/>
            <w:vMerge/>
            <w:tcBorders>
              <w:top w:val="nil"/>
              <w:left w:val="single" w:sz="4" w:space="0" w:color="auto"/>
              <w:bottom w:val="single" w:sz="8" w:space="0" w:color="000000"/>
              <w:right w:val="single" w:sz="4" w:space="0" w:color="auto"/>
            </w:tcBorders>
            <w:vAlign w:val="center"/>
            <w:hideMark/>
          </w:tcPr>
          <w:p w14:paraId="79AF8C00" w14:textId="77777777" w:rsidR="002A7E48" w:rsidRPr="002A7E48" w:rsidRDefault="002A7E48" w:rsidP="002A7E48">
            <w:pPr>
              <w:spacing w:after="0" w:line="240" w:lineRule="auto"/>
              <w:rPr>
                <w:rFonts w:ascii="Arial" w:eastAsia="Calibri" w:hAnsi="Arial" w:cs="Arial"/>
                <w:b/>
                <w:bCs/>
                <w:sz w:val="18"/>
                <w:szCs w:val="18"/>
              </w:rPr>
            </w:pPr>
          </w:p>
        </w:tc>
        <w:tc>
          <w:tcPr>
            <w:tcW w:w="1420" w:type="dxa"/>
            <w:vMerge/>
            <w:tcBorders>
              <w:top w:val="nil"/>
              <w:left w:val="single" w:sz="4" w:space="0" w:color="auto"/>
              <w:bottom w:val="single" w:sz="8" w:space="0" w:color="000000"/>
              <w:right w:val="single" w:sz="4" w:space="0" w:color="auto"/>
            </w:tcBorders>
            <w:vAlign w:val="center"/>
            <w:hideMark/>
          </w:tcPr>
          <w:p w14:paraId="5E9ADCF3" w14:textId="77777777" w:rsidR="002A7E48" w:rsidRPr="002A7E48" w:rsidRDefault="002A7E48" w:rsidP="002A7E48">
            <w:pPr>
              <w:spacing w:after="0" w:line="240" w:lineRule="auto"/>
              <w:rPr>
                <w:rFonts w:ascii="Arial" w:eastAsia="Calibri" w:hAnsi="Arial" w:cs="Arial"/>
                <w:b/>
                <w:bCs/>
                <w:sz w:val="18"/>
                <w:szCs w:val="18"/>
              </w:rPr>
            </w:pPr>
          </w:p>
        </w:tc>
        <w:tc>
          <w:tcPr>
            <w:tcW w:w="713" w:type="dxa"/>
            <w:vMerge/>
            <w:tcBorders>
              <w:top w:val="nil"/>
              <w:left w:val="single" w:sz="4" w:space="0" w:color="auto"/>
              <w:bottom w:val="single" w:sz="8" w:space="0" w:color="000000"/>
              <w:right w:val="single" w:sz="4" w:space="0" w:color="auto"/>
            </w:tcBorders>
            <w:vAlign w:val="center"/>
            <w:hideMark/>
          </w:tcPr>
          <w:p w14:paraId="761B4757" w14:textId="77777777" w:rsidR="002A7E48" w:rsidRPr="002A7E48" w:rsidRDefault="002A7E48" w:rsidP="002A7E48">
            <w:pPr>
              <w:spacing w:after="0" w:line="240" w:lineRule="auto"/>
              <w:rPr>
                <w:rFonts w:ascii="Arial" w:eastAsia="Calibri" w:hAnsi="Arial" w:cs="Arial"/>
                <w:b/>
                <w:bCs/>
                <w:sz w:val="18"/>
                <w:szCs w:val="18"/>
              </w:rPr>
            </w:pPr>
          </w:p>
        </w:tc>
        <w:tc>
          <w:tcPr>
            <w:tcW w:w="1420" w:type="dxa"/>
            <w:vMerge/>
            <w:tcBorders>
              <w:top w:val="nil"/>
              <w:left w:val="single" w:sz="4" w:space="0" w:color="auto"/>
              <w:bottom w:val="single" w:sz="8" w:space="0" w:color="000000"/>
              <w:right w:val="single" w:sz="4" w:space="0" w:color="auto"/>
            </w:tcBorders>
            <w:vAlign w:val="center"/>
            <w:hideMark/>
          </w:tcPr>
          <w:p w14:paraId="0F8CD87C" w14:textId="77777777" w:rsidR="002A7E48" w:rsidRPr="002A7E48" w:rsidRDefault="002A7E48" w:rsidP="002A7E48">
            <w:pPr>
              <w:spacing w:after="0" w:line="240" w:lineRule="auto"/>
              <w:rPr>
                <w:rFonts w:ascii="Arial" w:eastAsia="Calibri" w:hAnsi="Arial" w:cs="Arial"/>
                <w:b/>
                <w:bCs/>
                <w:sz w:val="18"/>
                <w:szCs w:val="18"/>
              </w:rPr>
            </w:pPr>
          </w:p>
        </w:tc>
        <w:tc>
          <w:tcPr>
            <w:tcW w:w="700" w:type="dxa"/>
            <w:vMerge/>
            <w:tcBorders>
              <w:top w:val="nil"/>
              <w:left w:val="single" w:sz="4" w:space="0" w:color="auto"/>
              <w:bottom w:val="single" w:sz="8" w:space="0" w:color="000000"/>
              <w:right w:val="single" w:sz="8" w:space="0" w:color="auto"/>
            </w:tcBorders>
            <w:vAlign w:val="center"/>
            <w:hideMark/>
          </w:tcPr>
          <w:p w14:paraId="2959B489" w14:textId="77777777" w:rsidR="002A7E48" w:rsidRPr="002A7E48" w:rsidRDefault="002A7E48" w:rsidP="002A7E48">
            <w:pPr>
              <w:spacing w:after="0" w:line="240" w:lineRule="auto"/>
              <w:rPr>
                <w:rFonts w:ascii="Arial" w:eastAsia="Calibri" w:hAnsi="Arial" w:cs="Arial"/>
                <w:b/>
                <w:bCs/>
                <w:sz w:val="18"/>
                <w:szCs w:val="18"/>
              </w:rPr>
            </w:pPr>
          </w:p>
        </w:tc>
      </w:tr>
      <w:tr w:rsidR="002A7E48" w:rsidRPr="002A7E48" w14:paraId="55C34BC0" w14:textId="77777777" w:rsidTr="0042240D">
        <w:trPr>
          <w:trHeight w:val="315"/>
        </w:trPr>
        <w:tc>
          <w:tcPr>
            <w:tcW w:w="696" w:type="dxa"/>
            <w:vMerge w:val="restart"/>
            <w:tcBorders>
              <w:top w:val="nil"/>
              <w:left w:val="single" w:sz="8" w:space="0" w:color="auto"/>
              <w:bottom w:val="single" w:sz="8" w:space="0" w:color="000000"/>
              <w:right w:val="single" w:sz="4" w:space="0" w:color="auto"/>
            </w:tcBorders>
            <w:shd w:val="clear" w:color="auto" w:fill="auto"/>
            <w:vAlign w:val="center"/>
            <w:hideMark/>
          </w:tcPr>
          <w:p w14:paraId="66677594"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ESRR</w:t>
            </w:r>
          </w:p>
        </w:tc>
        <w:tc>
          <w:tcPr>
            <w:tcW w:w="1134" w:type="dxa"/>
            <w:tcBorders>
              <w:top w:val="nil"/>
              <w:left w:val="nil"/>
              <w:bottom w:val="single" w:sz="4" w:space="0" w:color="auto"/>
              <w:right w:val="single" w:sz="4" w:space="0" w:color="auto"/>
            </w:tcBorders>
            <w:shd w:val="clear" w:color="auto" w:fill="auto"/>
            <w:noWrap/>
            <w:vAlign w:val="center"/>
            <w:hideMark/>
          </w:tcPr>
          <w:p w14:paraId="2A168DDA"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Vzhodna</w:t>
            </w:r>
          </w:p>
        </w:tc>
        <w:tc>
          <w:tcPr>
            <w:tcW w:w="1420" w:type="dxa"/>
            <w:gridSpan w:val="2"/>
            <w:tcBorders>
              <w:top w:val="nil"/>
              <w:left w:val="nil"/>
              <w:bottom w:val="single" w:sz="4" w:space="0" w:color="auto"/>
              <w:right w:val="single" w:sz="4" w:space="0" w:color="auto"/>
            </w:tcBorders>
            <w:shd w:val="clear" w:color="auto" w:fill="auto"/>
            <w:noWrap/>
            <w:vAlign w:val="center"/>
            <w:hideMark/>
          </w:tcPr>
          <w:p w14:paraId="3E4CAAEE"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907.392.844</w:t>
            </w:r>
          </w:p>
        </w:tc>
        <w:tc>
          <w:tcPr>
            <w:tcW w:w="1480" w:type="dxa"/>
            <w:gridSpan w:val="2"/>
            <w:tcBorders>
              <w:top w:val="nil"/>
              <w:left w:val="nil"/>
              <w:bottom w:val="single" w:sz="4" w:space="0" w:color="auto"/>
              <w:right w:val="single" w:sz="4" w:space="0" w:color="auto"/>
            </w:tcBorders>
            <w:shd w:val="clear" w:color="auto" w:fill="auto"/>
            <w:noWrap/>
            <w:vAlign w:val="center"/>
            <w:hideMark/>
          </w:tcPr>
          <w:p w14:paraId="1E4631EC"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1.006.117.297</w:t>
            </w:r>
          </w:p>
        </w:tc>
        <w:tc>
          <w:tcPr>
            <w:tcW w:w="780" w:type="dxa"/>
            <w:gridSpan w:val="2"/>
            <w:tcBorders>
              <w:top w:val="nil"/>
              <w:left w:val="nil"/>
              <w:bottom w:val="single" w:sz="4" w:space="0" w:color="auto"/>
              <w:right w:val="single" w:sz="4" w:space="0" w:color="auto"/>
            </w:tcBorders>
            <w:shd w:val="clear" w:color="auto" w:fill="auto"/>
            <w:noWrap/>
            <w:vAlign w:val="center"/>
            <w:hideMark/>
          </w:tcPr>
          <w:p w14:paraId="05F5ECD3"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111%</w:t>
            </w:r>
          </w:p>
        </w:tc>
        <w:tc>
          <w:tcPr>
            <w:tcW w:w="1420" w:type="dxa"/>
            <w:tcBorders>
              <w:top w:val="nil"/>
              <w:left w:val="nil"/>
              <w:bottom w:val="single" w:sz="4" w:space="0" w:color="auto"/>
              <w:right w:val="single" w:sz="4" w:space="0" w:color="auto"/>
            </w:tcBorders>
            <w:shd w:val="clear" w:color="auto" w:fill="auto"/>
            <w:noWrap/>
            <w:vAlign w:val="center"/>
            <w:hideMark/>
          </w:tcPr>
          <w:p w14:paraId="468B1612"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967.887.537</w:t>
            </w:r>
          </w:p>
        </w:tc>
        <w:tc>
          <w:tcPr>
            <w:tcW w:w="713" w:type="dxa"/>
            <w:tcBorders>
              <w:top w:val="nil"/>
              <w:left w:val="nil"/>
              <w:bottom w:val="single" w:sz="4" w:space="0" w:color="auto"/>
              <w:right w:val="single" w:sz="4" w:space="0" w:color="auto"/>
            </w:tcBorders>
            <w:shd w:val="clear" w:color="auto" w:fill="auto"/>
            <w:noWrap/>
            <w:vAlign w:val="center"/>
            <w:hideMark/>
          </w:tcPr>
          <w:p w14:paraId="60DA8BF3"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107%</w:t>
            </w:r>
          </w:p>
        </w:tc>
        <w:tc>
          <w:tcPr>
            <w:tcW w:w="1420" w:type="dxa"/>
            <w:tcBorders>
              <w:top w:val="nil"/>
              <w:left w:val="nil"/>
              <w:bottom w:val="single" w:sz="4" w:space="0" w:color="auto"/>
              <w:right w:val="single" w:sz="4" w:space="0" w:color="auto"/>
            </w:tcBorders>
            <w:shd w:val="clear" w:color="auto" w:fill="auto"/>
            <w:noWrap/>
            <w:vAlign w:val="center"/>
            <w:hideMark/>
          </w:tcPr>
          <w:p w14:paraId="3B37DA32"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802.428.212</w:t>
            </w:r>
          </w:p>
        </w:tc>
        <w:tc>
          <w:tcPr>
            <w:tcW w:w="700" w:type="dxa"/>
            <w:tcBorders>
              <w:top w:val="nil"/>
              <w:left w:val="nil"/>
              <w:bottom w:val="single" w:sz="4" w:space="0" w:color="auto"/>
              <w:right w:val="single" w:sz="8" w:space="0" w:color="auto"/>
            </w:tcBorders>
            <w:shd w:val="clear" w:color="auto" w:fill="auto"/>
            <w:noWrap/>
            <w:vAlign w:val="center"/>
            <w:hideMark/>
          </w:tcPr>
          <w:p w14:paraId="68BA7FBC"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88%</w:t>
            </w:r>
          </w:p>
        </w:tc>
      </w:tr>
      <w:tr w:rsidR="002A7E48" w:rsidRPr="002A7E48" w14:paraId="30DAB0D4" w14:textId="77777777" w:rsidTr="0042240D">
        <w:trPr>
          <w:trHeight w:val="315"/>
        </w:trPr>
        <w:tc>
          <w:tcPr>
            <w:tcW w:w="696" w:type="dxa"/>
            <w:vMerge/>
            <w:tcBorders>
              <w:top w:val="nil"/>
              <w:left w:val="single" w:sz="8" w:space="0" w:color="auto"/>
              <w:bottom w:val="single" w:sz="8" w:space="0" w:color="000000"/>
              <w:right w:val="single" w:sz="4" w:space="0" w:color="auto"/>
            </w:tcBorders>
            <w:vAlign w:val="center"/>
            <w:hideMark/>
          </w:tcPr>
          <w:p w14:paraId="403DF9A3" w14:textId="77777777" w:rsidR="002A7E48" w:rsidRPr="002A7E48" w:rsidRDefault="002A7E48" w:rsidP="002A7E48">
            <w:pPr>
              <w:spacing w:after="0" w:line="240" w:lineRule="auto"/>
              <w:rPr>
                <w:rFonts w:ascii="Arial" w:eastAsia="Calibri" w:hAnsi="Arial" w:cs="Arial"/>
                <w:b/>
                <w:bCs/>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249EC9D8"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Zahodna</w:t>
            </w:r>
          </w:p>
        </w:tc>
        <w:tc>
          <w:tcPr>
            <w:tcW w:w="1420" w:type="dxa"/>
            <w:gridSpan w:val="2"/>
            <w:tcBorders>
              <w:top w:val="nil"/>
              <w:left w:val="nil"/>
              <w:bottom w:val="single" w:sz="4" w:space="0" w:color="auto"/>
              <w:right w:val="single" w:sz="4" w:space="0" w:color="auto"/>
            </w:tcBorders>
            <w:shd w:val="clear" w:color="auto" w:fill="auto"/>
            <w:noWrap/>
            <w:vAlign w:val="center"/>
            <w:hideMark/>
          </w:tcPr>
          <w:p w14:paraId="7AB21EF5"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509.292.519</w:t>
            </w:r>
          </w:p>
        </w:tc>
        <w:tc>
          <w:tcPr>
            <w:tcW w:w="1480" w:type="dxa"/>
            <w:gridSpan w:val="2"/>
            <w:tcBorders>
              <w:top w:val="nil"/>
              <w:left w:val="nil"/>
              <w:bottom w:val="single" w:sz="4" w:space="0" w:color="auto"/>
              <w:right w:val="single" w:sz="4" w:space="0" w:color="auto"/>
            </w:tcBorders>
            <w:shd w:val="clear" w:color="auto" w:fill="auto"/>
            <w:noWrap/>
            <w:vAlign w:val="center"/>
            <w:hideMark/>
          </w:tcPr>
          <w:p w14:paraId="1E5AA5C0"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643.008.260</w:t>
            </w:r>
          </w:p>
        </w:tc>
        <w:tc>
          <w:tcPr>
            <w:tcW w:w="780" w:type="dxa"/>
            <w:gridSpan w:val="2"/>
            <w:tcBorders>
              <w:top w:val="nil"/>
              <w:left w:val="nil"/>
              <w:bottom w:val="single" w:sz="4" w:space="0" w:color="auto"/>
              <w:right w:val="single" w:sz="4" w:space="0" w:color="auto"/>
            </w:tcBorders>
            <w:shd w:val="clear" w:color="auto" w:fill="auto"/>
            <w:noWrap/>
            <w:vAlign w:val="center"/>
            <w:hideMark/>
          </w:tcPr>
          <w:p w14:paraId="16957D43"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126%</w:t>
            </w:r>
          </w:p>
        </w:tc>
        <w:tc>
          <w:tcPr>
            <w:tcW w:w="1420" w:type="dxa"/>
            <w:tcBorders>
              <w:top w:val="nil"/>
              <w:left w:val="nil"/>
              <w:bottom w:val="single" w:sz="4" w:space="0" w:color="auto"/>
              <w:right w:val="single" w:sz="4" w:space="0" w:color="auto"/>
            </w:tcBorders>
            <w:shd w:val="clear" w:color="auto" w:fill="auto"/>
            <w:noWrap/>
            <w:vAlign w:val="center"/>
            <w:hideMark/>
          </w:tcPr>
          <w:p w14:paraId="7FF323E4"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632.046.941</w:t>
            </w:r>
          </w:p>
        </w:tc>
        <w:tc>
          <w:tcPr>
            <w:tcW w:w="713" w:type="dxa"/>
            <w:tcBorders>
              <w:top w:val="nil"/>
              <w:left w:val="nil"/>
              <w:bottom w:val="single" w:sz="4" w:space="0" w:color="auto"/>
              <w:right w:val="single" w:sz="4" w:space="0" w:color="auto"/>
            </w:tcBorders>
            <w:shd w:val="clear" w:color="auto" w:fill="auto"/>
            <w:noWrap/>
            <w:vAlign w:val="center"/>
            <w:hideMark/>
          </w:tcPr>
          <w:p w14:paraId="2DB4D6A5"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124%</w:t>
            </w:r>
          </w:p>
        </w:tc>
        <w:tc>
          <w:tcPr>
            <w:tcW w:w="1420" w:type="dxa"/>
            <w:tcBorders>
              <w:top w:val="nil"/>
              <w:left w:val="nil"/>
              <w:bottom w:val="single" w:sz="4" w:space="0" w:color="auto"/>
              <w:right w:val="single" w:sz="4" w:space="0" w:color="auto"/>
            </w:tcBorders>
            <w:shd w:val="clear" w:color="auto" w:fill="auto"/>
            <w:noWrap/>
            <w:vAlign w:val="center"/>
            <w:hideMark/>
          </w:tcPr>
          <w:p w14:paraId="0D9B3250"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546.993.223</w:t>
            </w:r>
          </w:p>
        </w:tc>
        <w:tc>
          <w:tcPr>
            <w:tcW w:w="700" w:type="dxa"/>
            <w:tcBorders>
              <w:top w:val="nil"/>
              <w:left w:val="nil"/>
              <w:bottom w:val="single" w:sz="4" w:space="0" w:color="auto"/>
              <w:right w:val="single" w:sz="8" w:space="0" w:color="auto"/>
            </w:tcBorders>
            <w:shd w:val="clear" w:color="auto" w:fill="auto"/>
            <w:noWrap/>
            <w:vAlign w:val="center"/>
            <w:hideMark/>
          </w:tcPr>
          <w:p w14:paraId="15E5EDA6"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107%</w:t>
            </w:r>
          </w:p>
        </w:tc>
      </w:tr>
      <w:tr w:rsidR="002A7E48" w:rsidRPr="002A7E48" w14:paraId="4BEAC733" w14:textId="77777777" w:rsidTr="0042240D">
        <w:trPr>
          <w:trHeight w:val="315"/>
        </w:trPr>
        <w:tc>
          <w:tcPr>
            <w:tcW w:w="696" w:type="dxa"/>
            <w:vMerge/>
            <w:tcBorders>
              <w:top w:val="nil"/>
              <w:left w:val="single" w:sz="8" w:space="0" w:color="auto"/>
              <w:bottom w:val="single" w:sz="8" w:space="0" w:color="000000"/>
              <w:right w:val="single" w:sz="4" w:space="0" w:color="auto"/>
            </w:tcBorders>
            <w:vAlign w:val="center"/>
            <w:hideMark/>
          </w:tcPr>
          <w:p w14:paraId="50BE7F58" w14:textId="77777777" w:rsidR="002A7E48" w:rsidRPr="002A7E48" w:rsidRDefault="002A7E48" w:rsidP="002A7E48">
            <w:pPr>
              <w:spacing w:after="0" w:line="240" w:lineRule="auto"/>
              <w:rPr>
                <w:rFonts w:ascii="Arial" w:eastAsia="Calibri" w:hAnsi="Arial" w:cs="Arial"/>
                <w:b/>
                <w:bCs/>
                <w:sz w:val="18"/>
                <w:szCs w:val="18"/>
              </w:rPr>
            </w:pPr>
          </w:p>
        </w:tc>
        <w:tc>
          <w:tcPr>
            <w:tcW w:w="1134" w:type="dxa"/>
            <w:tcBorders>
              <w:top w:val="nil"/>
              <w:left w:val="nil"/>
              <w:bottom w:val="single" w:sz="8" w:space="0" w:color="auto"/>
              <w:right w:val="nil"/>
            </w:tcBorders>
            <w:shd w:val="clear" w:color="auto" w:fill="auto"/>
            <w:noWrap/>
            <w:vAlign w:val="bottom"/>
            <w:hideMark/>
          </w:tcPr>
          <w:p w14:paraId="37283400"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Celotna SI</w:t>
            </w:r>
          </w:p>
        </w:tc>
        <w:tc>
          <w:tcPr>
            <w:tcW w:w="1420" w:type="dxa"/>
            <w:gridSpan w:val="2"/>
            <w:tcBorders>
              <w:top w:val="nil"/>
              <w:left w:val="single" w:sz="4" w:space="0" w:color="auto"/>
              <w:bottom w:val="single" w:sz="8" w:space="0" w:color="auto"/>
              <w:right w:val="single" w:sz="4" w:space="0" w:color="auto"/>
            </w:tcBorders>
            <w:shd w:val="clear" w:color="auto" w:fill="auto"/>
            <w:noWrap/>
            <w:vAlign w:val="center"/>
            <w:hideMark/>
          </w:tcPr>
          <w:p w14:paraId="1C5FC675"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255.741.210</w:t>
            </w:r>
          </w:p>
        </w:tc>
        <w:tc>
          <w:tcPr>
            <w:tcW w:w="1480" w:type="dxa"/>
            <w:gridSpan w:val="2"/>
            <w:tcBorders>
              <w:top w:val="nil"/>
              <w:left w:val="nil"/>
              <w:bottom w:val="single" w:sz="8" w:space="0" w:color="auto"/>
              <w:right w:val="single" w:sz="4" w:space="0" w:color="auto"/>
            </w:tcBorders>
            <w:shd w:val="clear" w:color="auto" w:fill="auto"/>
            <w:noWrap/>
            <w:vAlign w:val="center"/>
            <w:hideMark/>
          </w:tcPr>
          <w:p w14:paraId="214D43E8"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219.798.600</w:t>
            </w:r>
          </w:p>
        </w:tc>
        <w:tc>
          <w:tcPr>
            <w:tcW w:w="780" w:type="dxa"/>
            <w:gridSpan w:val="2"/>
            <w:tcBorders>
              <w:top w:val="nil"/>
              <w:left w:val="nil"/>
              <w:bottom w:val="single" w:sz="4" w:space="0" w:color="auto"/>
              <w:right w:val="single" w:sz="4" w:space="0" w:color="auto"/>
            </w:tcBorders>
            <w:shd w:val="clear" w:color="auto" w:fill="auto"/>
            <w:noWrap/>
            <w:vAlign w:val="center"/>
            <w:hideMark/>
          </w:tcPr>
          <w:p w14:paraId="2C32E71C"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86%</w:t>
            </w:r>
          </w:p>
        </w:tc>
        <w:tc>
          <w:tcPr>
            <w:tcW w:w="1420" w:type="dxa"/>
            <w:tcBorders>
              <w:top w:val="nil"/>
              <w:left w:val="nil"/>
              <w:bottom w:val="single" w:sz="8" w:space="0" w:color="auto"/>
              <w:right w:val="single" w:sz="4" w:space="0" w:color="auto"/>
            </w:tcBorders>
            <w:shd w:val="clear" w:color="auto" w:fill="auto"/>
            <w:noWrap/>
            <w:vAlign w:val="center"/>
            <w:hideMark/>
          </w:tcPr>
          <w:p w14:paraId="37D8F01E"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219.642.032</w:t>
            </w:r>
          </w:p>
        </w:tc>
        <w:tc>
          <w:tcPr>
            <w:tcW w:w="713" w:type="dxa"/>
            <w:tcBorders>
              <w:top w:val="nil"/>
              <w:left w:val="nil"/>
              <w:bottom w:val="single" w:sz="4" w:space="0" w:color="auto"/>
              <w:right w:val="single" w:sz="4" w:space="0" w:color="auto"/>
            </w:tcBorders>
            <w:shd w:val="clear" w:color="auto" w:fill="auto"/>
            <w:noWrap/>
            <w:vAlign w:val="center"/>
            <w:hideMark/>
          </w:tcPr>
          <w:p w14:paraId="18808BAA"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86%</w:t>
            </w:r>
          </w:p>
        </w:tc>
        <w:tc>
          <w:tcPr>
            <w:tcW w:w="1420" w:type="dxa"/>
            <w:tcBorders>
              <w:top w:val="nil"/>
              <w:left w:val="nil"/>
              <w:bottom w:val="single" w:sz="8" w:space="0" w:color="auto"/>
              <w:right w:val="single" w:sz="4" w:space="0" w:color="auto"/>
            </w:tcBorders>
            <w:shd w:val="clear" w:color="auto" w:fill="auto"/>
            <w:noWrap/>
            <w:vAlign w:val="center"/>
            <w:hideMark/>
          </w:tcPr>
          <w:p w14:paraId="167AA74B"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95.507.422</w:t>
            </w:r>
          </w:p>
        </w:tc>
        <w:tc>
          <w:tcPr>
            <w:tcW w:w="700" w:type="dxa"/>
            <w:tcBorders>
              <w:top w:val="nil"/>
              <w:left w:val="nil"/>
              <w:bottom w:val="single" w:sz="4" w:space="0" w:color="auto"/>
              <w:right w:val="single" w:sz="8" w:space="0" w:color="auto"/>
            </w:tcBorders>
            <w:shd w:val="clear" w:color="auto" w:fill="auto"/>
            <w:noWrap/>
            <w:vAlign w:val="center"/>
            <w:hideMark/>
          </w:tcPr>
          <w:p w14:paraId="7A709400"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37%</w:t>
            </w:r>
          </w:p>
        </w:tc>
      </w:tr>
      <w:tr w:rsidR="002A7E48" w:rsidRPr="002A7E48" w14:paraId="5CBCAEA9" w14:textId="77777777" w:rsidTr="0042240D">
        <w:trPr>
          <w:trHeight w:val="315"/>
        </w:trPr>
        <w:tc>
          <w:tcPr>
            <w:tcW w:w="1842" w:type="dxa"/>
            <w:gridSpan w:val="3"/>
            <w:tcBorders>
              <w:top w:val="single" w:sz="8" w:space="0" w:color="auto"/>
              <w:left w:val="single" w:sz="8" w:space="0" w:color="auto"/>
              <w:bottom w:val="single" w:sz="8" w:space="0" w:color="auto"/>
              <w:right w:val="single" w:sz="4" w:space="0" w:color="auto"/>
            </w:tcBorders>
            <w:shd w:val="clear" w:color="000000" w:fill="DDEBF7"/>
            <w:vAlign w:val="center"/>
            <w:hideMark/>
          </w:tcPr>
          <w:p w14:paraId="08E8CB78"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Skupaj ESRR</w:t>
            </w:r>
          </w:p>
        </w:tc>
        <w:tc>
          <w:tcPr>
            <w:tcW w:w="1420" w:type="dxa"/>
            <w:gridSpan w:val="2"/>
            <w:tcBorders>
              <w:top w:val="nil"/>
              <w:left w:val="nil"/>
              <w:bottom w:val="single" w:sz="8" w:space="0" w:color="auto"/>
              <w:right w:val="single" w:sz="4" w:space="0" w:color="auto"/>
            </w:tcBorders>
            <w:shd w:val="clear" w:color="000000" w:fill="DDEBF7"/>
            <w:noWrap/>
            <w:vAlign w:val="center"/>
            <w:hideMark/>
          </w:tcPr>
          <w:p w14:paraId="65D26932"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1.672.426.573</w:t>
            </w:r>
          </w:p>
        </w:tc>
        <w:tc>
          <w:tcPr>
            <w:tcW w:w="1480" w:type="dxa"/>
            <w:gridSpan w:val="2"/>
            <w:tcBorders>
              <w:top w:val="nil"/>
              <w:left w:val="nil"/>
              <w:bottom w:val="single" w:sz="8" w:space="0" w:color="auto"/>
              <w:right w:val="single" w:sz="4" w:space="0" w:color="auto"/>
            </w:tcBorders>
            <w:shd w:val="clear" w:color="000000" w:fill="DDEBF7"/>
            <w:noWrap/>
            <w:vAlign w:val="center"/>
            <w:hideMark/>
          </w:tcPr>
          <w:p w14:paraId="541AA29E"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1.868.924.157</w:t>
            </w:r>
          </w:p>
        </w:tc>
        <w:tc>
          <w:tcPr>
            <w:tcW w:w="768" w:type="dxa"/>
            <w:tcBorders>
              <w:top w:val="single" w:sz="8" w:space="0" w:color="auto"/>
              <w:left w:val="nil"/>
              <w:bottom w:val="single" w:sz="8" w:space="0" w:color="auto"/>
              <w:right w:val="single" w:sz="4" w:space="0" w:color="auto"/>
            </w:tcBorders>
            <w:shd w:val="clear" w:color="000000" w:fill="DDEBF7"/>
            <w:noWrap/>
            <w:vAlign w:val="center"/>
            <w:hideMark/>
          </w:tcPr>
          <w:p w14:paraId="1CDD601E"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112%</w:t>
            </w:r>
          </w:p>
        </w:tc>
        <w:tc>
          <w:tcPr>
            <w:tcW w:w="1420" w:type="dxa"/>
            <w:tcBorders>
              <w:top w:val="nil"/>
              <w:left w:val="nil"/>
              <w:bottom w:val="single" w:sz="8" w:space="0" w:color="auto"/>
              <w:right w:val="single" w:sz="4" w:space="0" w:color="auto"/>
            </w:tcBorders>
            <w:shd w:val="clear" w:color="000000" w:fill="DDEBF7"/>
            <w:noWrap/>
            <w:vAlign w:val="center"/>
            <w:hideMark/>
          </w:tcPr>
          <w:p w14:paraId="73BD14C5"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1.819.576.509</w:t>
            </w:r>
          </w:p>
        </w:tc>
        <w:tc>
          <w:tcPr>
            <w:tcW w:w="713" w:type="dxa"/>
            <w:tcBorders>
              <w:top w:val="single" w:sz="8" w:space="0" w:color="auto"/>
              <w:left w:val="nil"/>
              <w:bottom w:val="single" w:sz="8" w:space="0" w:color="auto"/>
              <w:right w:val="single" w:sz="4" w:space="0" w:color="auto"/>
            </w:tcBorders>
            <w:shd w:val="clear" w:color="000000" w:fill="DDEBF7"/>
            <w:noWrap/>
            <w:vAlign w:val="center"/>
            <w:hideMark/>
          </w:tcPr>
          <w:p w14:paraId="37D2BA69"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109%</w:t>
            </w:r>
          </w:p>
        </w:tc>
        <w:tc>
          <w:tcPr>
            <w:tcW w:w="1420" w:type="dxa"/>
            <w:tcBorders>
              <w:top w:val="nil"/>
              <w:left w:val="nil"/>
              <w:bottom w:val="single" w:sz="8" w:space="0" w:color="auto"/>
              <w:right w:val="single" w:sz="4" w:space="0" w:color="auto"/>
            </w:tcBorders>
            <w:shd w:val="clear" w:color="000000" w:fill="DDEBF7"/>
            <w:noWrap/>
            <w:vAlign w:val="center"/>
            <w:hideMark/>
          </w:tcPr>
          <w:p w14:paraId="2A4616E7"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1.444.928.857</w:t>
            </w:r>
          </w:p>
        </w:tc>
        <w:tc>
          <w:tcPr>
            <w:tcW w:w="700" w:type="dxa"/>
            <w:tcBorders>
              <w:top w:val="single" w:sz="8" w:space="0" w:color="auto"/>
              <w:left w:val="nil"/>
              <w:bottom w:val="single" w:sz="8" w:space="0" w:color="auto"/>
              <w:right w:val="single" w:sz="8" w:space="0" w:color="auto"/>
            </w:tcBorders>
            <w:shd w:val="clear" w:color="000000" w:fill="DDEBF7"/>
            <w:noWrap/>
            <w:vAlign w:val="center"/>
            <w:hideMark/>
          </w:tcPr>
          <w:p w14:paraId="5DE95DB4"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86%</w:t>
            </w:r>
          </w:p>
        </w:tc>
      </w:tr>
      <w:tr w:rsidR="002A7E48" w:rsidRPr="002A7E48" w14:paraId="7B3DA1A3" w14:textId="77777777" w:rsidTr="0042240D">
        <w:trPr>
          <w:trHeight w:val="315"/>
        </w:trPr>
        <w:tc>
          <w:tcPr>
            <w:tcW w:w="696" w:type="dxa"/>
            <w:vMerge w:val="restart"/>
            <w:tcBorders>
              <w:top w:val="nil"/>
              <w:left w:val="single" w:sz="8" w:space="0" w:color="auto"/>
              <w:bottom w:val="single" w:sz="8" w:space="0" w:color="000000"/>
              <w:right w:val="single" w:sz="4" w:space="0" w:color="auto"/>
            </w:tcBorders>
            <w:shd w:val="clear" w:color="auto" w:fill="auto"/>
            <w:vAlign w:val="center"/>
            <w:hideMark/>
          </w:tcPr>
          <w:p w14:paraId="4D85754A"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ESS</w:t>
            </w:r>
          </w:p>
        </w:tc>
        <w:tc>
          <w:tcPr>
            <w:tcW w:w="1134" w:type="dxa"/>
            <w:tcBorders>
              <w:top w:val="nil"/>
              <w:left w:val="nil"/>
              <w:bottom w:val="single" w:sz="4" w:space="0" w:color="auto"/>
              <w:right w:val="single" w:sz="4" w:space="0" w:color="auto"/>
            </w:tcBorders>
            <w:shd w:val="clear" w:color="auto" w:fill="auto"/>
            <w:noWrap/>
            <w:vAlign w:val="center"/>
            <w:hideMark/>
          </w:tcPr>
          <w:p w14:paraId="13F1874E"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Vzhodna</w:t>
            </w:r>
          </w:p>
        </w:tc>
        <w:tc>
          <w:tcPr>
            <w:tcW w:w="1420" w:type="dxa"/>
            <w:gridSpan w:val="2"/>
            <w:tcBorders>
              <w:top w:val="nil"/>
              <w:left w:val="nil"/>
              <w:bottom w:val="single" w:sz="4" w:space="0" w:color="auto"/>
              <w:right w:val="single" w:sz="4" w:space="0" w:color="auto"/>
            </w:tcBorders>
            <w:shd w:val="clear" w:color="auto" w:fill="auto"/>
            <w:noWrap/>
            <w:vAlign w:val="center"/>
            <w:hideMark/>
          </w:tcPr>
          <w:p w14:paraId="33E072A2"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379.473.557</w:t>
            </w:r>
          </w:p>
        </w:tc>
        <w:tc>
          <w:tcPr>
            <w:tcW w:w="1480" w:type="dxa"/>
            <w:gridSpan w:val="2"/>
            <w:tcBorders>
              <w:top w:val="nil"/>
              <w:left w:val="nil"/>
              <w:bottom w:val="single" w:sz="4" w:space="0" w:color="auto"/>
              <w:right w:val="single" w:sz="4" w:space="0" w:color="auto"/>
            </w:tcBorders>
            <w:shd w:val="clear" w:color="auto" w:fill="auto"/>
            <w:noWrap/>
            <w:vAlign w:val="center"/>
            <w:hideMark/>
          </w:tcPr>
          <w:p w14:paraId="449A8CA4"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403.390.006</w:t>
            </w:r>
          </w:p>
        </w:tc>
        <w:tc>
          <w:tcPr>
            <w:tcW w:w="780" w:type="dxa"/>
            <w:gridSpan w:val="2"/>
            <w:tcBorders>
              <w:top w:val="nil"/>
              <w:left w:val="nil"/>
              <w:bottom w:val="single" w:sz="4" w:space="0" w:color="auto"/>
              <w:right w:val="single" w:sz="4" w:space="0" w:color="auto"/>
            </w:tcBorders>
            <w:shd w:val="clear" w:color="auto" w:fill="auto"/>
            <w:noWrap/>
            <w:vAlign w:val="center"/>
            <w:hideMark/>
          </w:tcPr>
          <w:p w14:paraId="7812369B"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106%</w:t>
            </w:r>
          </w:p>
        </w:tc>
        <w:tc>
          <w:tcPr>
            <w:tcW w:w="1420" w:type="dxa"/>
            <w:tcBorders>
              <w:top w:val="nil"/>
              <w:left w:val="nil"/>
              <w:bottom w:val="single" w:sz="4" w:space="0" w:color="auto"/>
              <w:right w:val="single" w:sz="4" w:space="0" w:color="auto"/>
            </w:tcBorders>
            <w:shd w:val="clear" w:color="auto" w:fill="auto"/>
            <w:noWrap/>
            <w:vAlign w:val="center"/>
            <w:hideMark/>
          </w:tcPr>
          <w:p w14:paraId="6DC5E000"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388.166.589</w:t>
            </w:r>
          </w:p>
        </w:tc>
        <w:tc>
          <w:tcPr>
            <w:tcW w:w="713" w:type="dxa"/>
            <w:tcBorders>
              <w:top w:val="nil"/>
              <w:left w:val="nil"/>
              <w:bottom w:val="single" w:sz="4" w:space="0" w:color="auto"/>
              <w:right w:val="single" w:sz="4" w:space="0" w:color="auto"/>
            </w:tcBorders>
            <w:shd w:val="clear" w:color="auto" w:fill="auto"/>
            <w:noWrap/>
            <w:vAlign w:val="center"/>
            <w:hideMark/>
          </w:tcPr>
          <w:p w14:paraId="5B2F5E67"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102%</w:t>
            </w:r>
          </w:p>
        </w:tc>
        <w:tc>
          <w:tcPr>
            <w:tcW w:w="1420" w:type="dxa"/>
            <w:tcBorders>
              <w:top w:val="nil"/>
              <w:left w:val="nil"/>
              <w:bottom w:val="single" w:sz="4" w:space="0" w:color="auto"/>
              <w:right w:val="single" w:sz="4" w:space="0" w:color="auto"/>
            </w:tcBorders>
            <w:shd w:val="clear" w:color="auto" w:fill="auto"/>
            <w:noWrap/>
            <w:vAlign w:val="center"/>
            <w:hideMark/>
          </w:tcPr>
          <w:p w14:paraId="43457FBE"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372.918.267</w:t>
            </w:r>
          </w:p>
        </w:tc>
        <w:tc>
          <w:tcPr>
            <w:tcW w:w="700" w:type="dxa"/>
            <w:tcBorders>
              <w:top w:val="nil"/>
              <w:left w:val="nil"/>
              <w:bottom w:val="single" w:sz="4" w:space="0" w:color="auto"/>
              <w:right w:val="single" w:sz="8" w:space="0" w:color="auto"/>
            </w:tcBorders>
            <w:shd w:val="clear" w:color="auto" w:fill="auto"/>
            <w:noWrap/>
            <w:vAlign w:val="center"/>
            <w:hideMark/>
          </w:tcPr>
          <w:p w14:paraId="5C426C32"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98%</w:t>
            </w:r>
          </w:p>
        </w:tc>
      </w:tr>
      <w:tr w:rsidR="002A7E48" w:rsidRPr="002A7E48" w14:paraId="28D9CC66" w14:textId="77777777" w:rsidTr="0042240D">
        <w:trPr>
          <w:trHeight w:val="315"/>
        </w:trPr>
        <w:tc>
          <w:tcPr>
            <w:tcW w:w="696" w:type="dxa"/>
            <w:vMerge/>
            <w:tcBorders>
              <w:top w:val="nil"/>
              <w:left w:val="single" w:sz="8" w:space="0" w:color="auto"/>
              <w:bottom w:val="single" w:sz="8" w:space="0" w:color="000000"/>
              <w:right w:val="single" w:sz="4" w:space="0" w:color="auto"/>
            </w:tcBorders>
            <w:vAlign w:val="center"/>
            <w:hideMark/>
          </w:tcPr>
          <w:p w14:paraId="066EE480" w14:textId="77777777" w:rsidR="002A7E48" w:rsidRPr="002A7E48" w:rsidRDefault="002A7E48" w:rsidP="002A7E48">
            <w:pPr>
              <w:spacing w:after="0" w:line="240" w:lineRule="auto"/>
              <w:rPr>
                <w:rFonts w:ascii="Arial" w:eastAsia="Calibri" w:hAnsi="Arial" w:cs="Arial"/>
                <w:b/>
                <w:bCs/>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6740C6C2"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Zahodna</w:t>
            </w:r>
          </w:p>
        </w:tc>
        <w:tc>
          <w:tcPr>
            <w:tcW w:w="1420" w:type="dxa"/>
            <w:gridSpan w:val="2"/>
            <w:tcBorders>
              <w:top w:val="nil"/>
              <w:left w:val="nil"/>
              <w:bottom w:val="single" w:sz="4" w:space="0" w:color="auto"/>
              <w:right w:val="single" w:sz="4" w:space="0" w:color="auto"/>
            </w:tcBorders>
            <w:shd w:val="clear" w:color="auto" w:fill="auto"/>
            <w:noWrap/>
            <w:vAlign w:val="center"/>
            <w:hideMark/>
          </w:tcPr>
          <w:p w14:paraId="3B15EC86"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339.296.038</w:t>
            </w:r>
          </w:p>
        </w:tc>
        <w:tc>
          <w:tcPr>
            <w:tcW w:w="1480" w:type="dxa"/>
            <w:gridSpan w:val="2"/>
            <w:tcBorders>
              <w:top w:val="nil"/>
              <w:left w:val="nil"/>
              <w:bottom w:val="single" w:sz="4" w:space="0" w:color="auto"/>
              <w:right w:val="single" w:sz="4" w:space="0" w:color="auto"/>
            </w:tcBorders>
            <w:shd w:val="clear" w:color="auto" w:fill="auto"/>
            <w:noWrap/>
            <w:vAlign w:val="center"/>
            <w:hideMark/>
          </w:tcPr>
          <w:p w14:paraId="531FA7AC"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366.623.396</w:t>
            </w:r>
          </w:p>
        </w:tc>
        <w:tc>
          <w:tcPr>
            <w:tcW w:w="780" w:type="dxa"/>
            <w:gridSpan w:val="2"/>
            <w:tcBorders>
              <w:top w:val="nil"/>
              <w:left w:val="nil"/>
              <w:bottom w:val="single" w:sz="4" w:space="0" w:color="auto"/>
              <w:right w:val="single" w:sz="4" w:space="0" w:color="auto"/>
            </w:tcBorders>
            <w:shd w:val="clear" w:color="auto" w:fill="auto"/>
            <w:noWrap/>
            <w:vAlign w:val="center"/>
            <w:hideMark/>
          </w:tcPr>
          <w:p w14:paraId="007046E8"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108%</w:t>
            </w:r>
          </w:p>
        </w:tc>
        <w:tc>
          <w:tcPr>
            <w:tcW w:w="1420" w:type="dxa"/>
            <w:tcBorders>
              <w:top w:val="nil"/>
              <w:left w:val="nil"/>
              <w:bottom w:val="single" w:sz="4" w:space="0" w:color="auto"/>
              <w:right w:val="single" w:sz="4" w:space="0" w:color="auto"/>
            </w:tcBorders>
            <w:shd w:val="clear" w:color="auto" w:fill="auto"/>
            <w:noWrap/>
            <w:vAlign w:val="center"/>
            <w:hideMark/>
          </w:tcPr>
          <w:p w14:paraId="6E5CE874"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356.055.869</w:t>
            </w:r>
          </w:p>
        </w:tc>
        <w:tc>
          <w:tcPr>
            <w:tcW w:w="713" w:type="dxa"/>
            <w:tcBorders>
              <w:top w:val="nil"/>
              <w:left w:val="nil"/>
              <w:bottom w:val="single" w:sz="4" w:space="0" w:color="auto"/>
              <w:right w:val="single" w:sz="4" w:space="0" w:color="auto"/>
            </w:tcBorders>
            <w:shd w:val="clear" w:color="auto" w:fill="auto"/>
            <w:noWrap/>
            <w:vAlign w:val="center"/>
            <w:hideMark/>
          </w:tcPr>
          <w:p w14:paraId="7D4E907E"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105%</w:t>
            </w:r>
          </w:p>
        </w:tc>
        <w:tc>
          <w:tcPr>
            <w:tcW w:w="1420" w:type="dxa"/>
            <w:tcBorders>
              <w:top w:val="nil"/>
              <w:left w:val="nil"/>
              <w:bottom w:val="single" w:sz="4" w:space="0" w:color="auto"/>
              <w:right w:val="single" w:sz="4" w:space="0" w:color="auto"/>
            </w:tcBorders>
            <w:shd w:val="clear" w:color="auto" w:fill="auto"/>
            <w:noWrap/>
            <w:vAlign w:val="center"/>
            <w:hideMark/>
          </w:tcPr>
          <w:p w14:paraId="4A0A1BCC"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344.232.444</w:t>
            </w:r>
          </w:p>
        </w:tc>
        <w:tc>
          <w:tcPr>
            <w:tcW w:w="700" w:type="dxa"/>
            <w:tcBorders>
              <w:top w:val="nil"/>
              <w:left w:val="nil"/>
              <w:bottom w:val="single" w:sz="4" w:space="0" w:color="auto"/>
              <w:right w:val="single" w:sz="8" w:space="0" w:color="auto"/>
            </w:tcBorders>
            <w:shd w:val="clear" w:color="auto" w:fill="auto"/>
            <w:noWrap/>
            <w:vAlign w:val="center"/>
            <w:hideMark/>
          </w:tcPr>
          <w:p w14:paraId="00D93BDA"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101%</w:t>
            </w:r>
          </w:p>
        </w:tc>
      </w:tr>
      <w:tr w:rsidR="002A7E48" w:rsidRPr="002A7E48" w14:paraId="0A15F4CA" w14:textId="77777777" w:rsidTr="0042240D">
        <w:trPr>
          <w:trHeight w:val="315"/>
        </w:trPr>
        <w:tc>
          <w:tcPr>
            <w:tcW w:w="696" w:type="dxa"/>
            <w:vMerge/>
            <w:tcBorders>
              <w:top w:val="nil"/>
              <w:left w:val="single" w:sz="8" w:space="0" w:color="auto"/>
              <w:bottom w:val="single" w:sz="8" w:space="0" w:color="000000"/>
              <w:right w:val="single" w:sz="4" w:space="0" w:color="auto"/>
            </w:tcBorders>
            <w:vAlign w:val="center"/>
            <w:hideMark/>
          </w:tcPr>
          <w:p w14:paraId="4683335B" w14:textId="77777777" w:rsidR="002A7E48" w:rsidRPr="002A7E48" w:rsidRDefault="002A7E48" w:rsidP="002A7E48">
            <w:pPr>
              <w:spacing w:after="0" w:line="240" w:lineRule="auto"/>
              <w:rPr>
                <w:rFonts w:ascii="Arial" w:eastAsia="Calibri" w:hAnsi="Arial" w:cs="Arial"/>
                <w:b/>
                <w:bCs/>
                <w:sz w:val="18"/>
                <w:szCs w:val="18"/>
              </w:rPr>
            </w:pPr>
          </w:p>
        </w:tc>
        <w:tc>
          <w:tcPr>
            <w:tcW w:w="1134" w:type="dxa"/>
            <w:tcBorders>
              <w:top w:val="nil"/>
              <w:left w:val="nil"/>
              <w:bottom w:val="single" w:sz="8" w:space="0" w:color="auto"/>
              <w:right w:val="nil"/>
            </w:tcBorders>
            <w:shd w:val="clear" w:color="auto" w:fill="auto"/>
            <w:noWrap/>
            <w:vAlign w:val="bottom"/>
            <w:hideMark/>
          </w:tcPr>
          <w:p w14:paraId="32560848"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Celotna SI</w:t>
            </w:r>
          </w:p>
        </w:tc>
        <w:tc>
          <w:tcPr>
            <w:tcW w:w="1420" w:type="dxa"/>
            <w:gridSpan w:val="2"/>
            <w:tcBorders>
              <w:top w:val="nil"/>
              <w:left w:val="single" w:sz="4" w:space="0" w:color="auto"/>
              <w:bottom w:val="single" w:sz="8" w:space="0" w:color="auto"/>
              <w:right w:val="single" w:sz="4" w:space="0" w:color="auto"/>
            </w:tcBorders>
            <w:shd w:val="clear" w:color="auto" w:fill="auto"/>
            <w:noWrap/>
            <w:vAlign w:val="center"/>
            <w:hideMark/>
          </w:tcPr>
          <w:p w14:paraId="298888A0"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13.205.000</w:t>
            </w:r>
          </w:p>
        </w:tc>
        <w:tc>
          <w:tcPr>
            <w:tcW w:w="1480" w:type="dxa"/>
            <w:gridSpan w:val="2"/>
            <w:tcBorders>
              <w:top w:val="nil"/>
              <w:left w:val="nil"/>
              <w:bottom w:val="single" w:sz="8" w:space="0" w:color="auto"/>
              <w:right w:val="single" w:sz="4" w:space="0" w:color="auto"/>
            </w:tcBorders>
            <w:shd w:val="clear" w:color="auto" w:fill="auto"/>
            <w:noWrap/>
            <w:vAlign w:val="center"/>
            <w:hideMark/>
          </w:tcPr>
          <w:p w14:paraId="75EE2D20"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9.160.526</w:t>
            </w:r>
          </w:p>
        </w:tc>
        <w:tc>
          <w:tcPr>
            <w:tcW w:w="780" w:type="dxa"/>
            <w:gridSpan w:val="2"/>
            <w:tcBorders>
              <w:top w:val="nil"/>
              <w:left w:val="nil"/>
              <w:bottom w:val="single" w:sz="4" w:space="0" w:color="auto"/>
              <w:right w:val="single" w:sz="4" w:space="0" w:color="auto"/>
            </w:tcBorders>
            <w:shd w:val="clear" w:color="auto" w:fill="auto"/>
            <w:noWrap/>
            <w:vAlign w:val="center"/>
            <w:hideMark/>
          </w:tcPr>
          <w:p w14:paraId="4D461E02"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69%</w:t>
            </w:r>
          </w:p>
        </w:tc>
        <w:tc>
          <w:tcPr>
            <w:tcW w:w="1420" w:type="dxa"/>
            <w:tcBorders>
              <w:top w:val="nil"/>
              <w:left w:val="nil"/>
              <w:bottom w:val="single" w:sz="8" w:space="0" w:color="auto"/>
              <w:right w:val="single" w:sz="4" w:space="0" w:color="auto"/>
            </w:tcBorders>
            <w:shd w:val="clear" w:color="auto" w:fill="auto"/>
            <w:noWrap/>
            <w:vAlign w:val="center"/>
            <w:hideMark/>
          </w:tcPr>
          <w:p w14:paraId="15FA1676"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5.669.256</w:t>
            </w:r>
          </w:p>
        </w:tc>
        <w:tc>
          <w:tcPr>
            <w:tcW w:w="713" w:type="dxa"/>
            <w:tcBorders>
              <w:top w:val="nil"/>
              <w:left w:val="nil"/>
              <w:bottom w:val="single" w:sz="4" w:space="0" w:color="auto"/>
              <w:right w:val="single" w:sz="4" w:space="0" w:color="auto"/>
            </w:tcBorders>
            <w:shd w:val="clear" w:color="auto" w:fill="auto"/>
            <w:noWrap/>
            <w:vAlign w:val="center"/>
            <w:hideMark/>
          </w:tcPr>
          <w:p w14:paraId="363C5747"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43%</w:t>
            </w:r>
          </w:p>
        </w:tc>
        <w:tc>
          <w:tcPr>
            <w:tcW w:w="1420" w:type="dxa"/>
            <w:tcBorders>
              <w:top w:val="nil"/>
              <w:left w:val="nil"/>
              <w:bottom w:val="single" w:sz="8" w:space="0" w:color="auto"/>
              <w:right w:val="single" w:sz="4" w:space="0" w:color="auto"/>
            </w:tcBorders>
            <w:shd w:val="clear" w:color="auto" w:fill="auto"/>
            <w:noWrap/>
            <w:vAlign w:val="center"/>
            <w:hideMark/>
          </w:tcPr>
          <w:p w14:paraId="43ED114A"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1.244.684</w:t>
            </w:r>
          </w:p>
        </w:tc>
        <w:tc>
          <w:tcPr>
            <w:tcW w:w="700" w:type="dxa"/>
            <w:tcBorders>
              <w:top w:val="nil"/>
              <w:left w:val="nil"/>
              <w:bottom w:val="single" w:sz="4" w:space="0" w:color="auto"/>
              <w:right w:val="single" w:sz="8" w:space="0" w:color="auto"/>
            </w:tcBorders>
            <w:shd w:val="clear" w:color="auto" w:fill="auto"/>
            <w:noWrap/>
            <w:vAlign w:val="center"/>
            <w:hideMark/>
          </w:tcPr>
          <w:p w14:paraId="78BD1D32"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9%</w:t>
            </w:r>
          </w:p>
        </w:tc>
      </w:tr>
      <w:tr w:rsidR="002A7E48" w:rsidRPr="002A7E48" w14:paraId="50388D78" w14:textId="77777777" w:rsidTr="0042240D">
        <w:trPr>
          <w:trHeight w:val="315"/>
        </w:trPr>
        <w:tc>
          <w:tcPr>
            <w:tcW w:w="1842" w:type="dxa"/>
            <w:gridSpan w:val="3"/>
            <w:tcBorders>
              <w:top w:val="single" w:sz="8" w:space="0" w:color="auto"/>
              <w:left w:val="single" w:sz="8" w:space="0" w:color="auto"/>
              <w:bottom w:val="single" w:sz="8" w:space="0" w:color="auto"/>
              <w:right w:val="single" w:sz="4" w:space="0" w:color="auto"/>
            </w:tcBorders>
            <w:shd w:val="clear" w:color="000000" w:fill="DDEBF7"/>
            <w:vAlign w:val="center"/>
            <w:hideMark/>
          </w:tcPr>
          <w:p w14:paraId="075C92F9"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Skupaj ESS</w:t>
            </w:r>
          </w:p>
        </w:tc>
        <w:tc>
          <w:tcPr>
            <w:tcW w:w="1420" w:type="dxa"/>
            <w:gridSpan w:val="2"/>
            <w:tcBorders>
              <w:top w:val="nil"/>
              <w:left w:val="nil"/>
              <w:bottom w:val="single" w:sz="8" w:space="0" w:color="auto"/>
              <w:right w:val="single" w:sz="4" w:space="0" w:color="auto"/>
            </w:tcBorders>
            <w:shd w:val="clear" w:color="000000" w:fill="DDEBF7"/>
            <w:noWrap/>
            <w:vAlign w:val="center"/>
            <w:hideMark/>
          </w:tcPr>
          <w:p w14:paraId="057F06AB"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731.974.595</w:t>
            </w:r>
          </w:p>
        </w:tc>
        <w:tc>
          <w:tcPr>
            <w:tcW w:w="1480" w:type="dxa"/>
            <w:gridSpan w:val="2"/>
            <w:tcBorders>
              <w:top w:val="nil"/>
              <w:left w:val="nil"/>
              <w:bottom w:val="single" w:sz="8" w:space="0" w:color="auto"/>
              <w:right w:val="single" w:sz="4" w:space="0" w:color="auto"/>
            </w:tcBorders>
            <w:shd w:val="clear" w:color="000000" w:fill="DDEBF7"/>
            <w:noWrap/>
            <w:vAlign w:val="center"/>
            <w:hideMark/>
          </w:tcPr>
          <w:p w14:paraId="752F880A"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779.173.928</w:t>
            </w:r>
          </w:p>
        </w:tc>
        <w:tc>
          <w:tcPr>
            <w:tcW w:w="768" w:type="dxa"/>
            <w:tcBorders>
              <w:top w:val="single" w:sz="8" w:space="0" w:color="auto"/>
              <w:left w:val="nil"/>
              <w:bottom w:val="single" w:sz="8" w:space="0" w:color="auto"/>
              <w:right w:val="single" w:sz="4" w:space="0" w:color="auto"/>
            </w:tcBorders>
            <w:shd w:val="clear" w:color="000000" w:fill="DDEBF7"/>
            <w:noWrap/>
            <w:vAlign w:val="center"/>
            <w:hideMark/>
          </w:tcPr>
          <w:p w14:paraId="3B82D122"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106%</w:t>
            </w:r>
          </w:p>
        </w:tc>
        <w:tc>
          <w:tcPr>
            <w:tcW w:w="1420" w:type="dxa"/>
            <w:tcBorders>
              <w:top w:val="nil"/>
              <w:left w:val="nil"/>
              <w:bottom w:val="single" w:sz="8" w:space="0" w:color="auto"/>
              <w:right w:val="single" w:sz="4" w:space="0" w:color="auto"/>
            </w:tcBorders>
            <w:shd w:val="clear" w:color="000000" w:fill="DDEBF7"/>
            <w:noWrap/>
            <w:vAlign w:val="center"/>
            <w:hideMark/>
          </w:tcPr>
          <w:p w14:paraId="249DD59A"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749.891.715</w:t>
            </w:r>
          </w:p>
        </w:tc>
        <w:tc>
          <w:tcPr>
            <w:tcW w:w="713" w:type="dxa"/>
            <w:tcBorders>
              <w:top w:val="single" w:sz="8" w:space="0" w:color="auto"/>
              <w:left w:val="nil"/>
              <w:bottom w:val="single" w:sz="8" w:space="0" w:color="auto"/>
              <w:right w:val="single" w:sz="4" w:space="0" w:color="auto"/>
            </w:tcBorders>
            <w:shd w:val="clear" w:color="000000" w:fill="DDEBF7"/>
            <w:noWrap/>
            <w:vAlign w:val="center"/>
            <w:hideMark/>
          </w:tcPr>
          <w:p w14:paraId="56183D06"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102%</w:t>
            </w:r>
          </w:p>
        </w:tc>
        <w:tc>
          <w:tcPr>
            <w:tcW w:w="1420" w:type="dxa"/>
            <w:tcBorders>
              <w:top w:val="nil"/>
              <w:left w:val="nil"/>
              <w:bottom w:val="single" w:sz="8" w:space="0" w:color="auto"/>
              <w:right w:val="single" w:sz="4" w:space="0" w:color="auto"/>
            </w:tcBorders>
            <w:shd w:val="clear" w:color="000000" w:fill="DDEBF7"/>
            <w:noWrap/>
            <w:vAlign w:val="center"/>
            <w:hideMark/>
          </w:tcPr>
          <w:p w14:paraId="7AEA0557"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718.395.395</w:t>
            </w:r>
          </w:p>
        </w:tc>
        <w:tc>
          <w:tcPr>
            <w:tcW w:w="700" w:type="dxa"/>
            <w:tcBorders>
              <w:top w:val="single" w:sz="8" w:space="0" w:color="auto"/>
              <w:left w:val="nil"/>
              <w:bottom w:val="single" w:sz="8" w:space="0" w:color="auto"/>
              <w:right w:val="single" w:sz="8" w:space="0" w:color="auto"/>
            </w:tcBorders>
            <w:shd w:val="clear" w:color="000000" w:fill="DDEBF7"/>
            <w:noWrap/>
            <w:vAlign w:val="center"/>
            <w:hideMark/>
          </w:tcPr>
          <w:p w14:paraId="7EDBC599"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98%</w:t>
            </w:r>
          </w:p>
        </w:tc>
      </w:tr>
      <w:tr w:rsidR="002A7E48" w:rsidRPr="002A7E48" w14:paraId="7CC0C81C" w14:textId="77777777" w:rsidTr="0042240D">
        <w:trPr>
          <w:trHeight w:val="315"/>
        </w:trPr>
        <w:tc>
          <w:tcPr>
            <w:tcW w:w="696" w:type="dxa"/>
            <w:tcBorders>
              <w:top w:val="nil"/>
              <w:left w:val="single" w:sz="8" w:space="0" w:color="auto"/>
              <w:bottom w:val="single" w:sz="8" w:space="0" w:color="auto"/>
              <w:right w:val="single" w:sz="4" w:space="0" w:color="auto"/>
            </w:tcBorders>
            <w:shd w:val="clear" w:color="auto" w:fill="auto"/>
            <w:vAlign w:val="center"/>
            <w:hideMark/>
          </w:tcPr>
          <w:p w14:paraId="24981D6C"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KS</w:t>
            </w:r>
          </w:p>
        </w:tc>
        <w:tc>
          <w:tcPr>
            <w:tcW w:w="1134" w:type="dxa"/>
            <w:tcBorders>
              <w:top w:val="nil"/>
              <w:left w:val="nil"/>
              <w:bottom w:val="single" w:sz="8" w:space="0" w:color="auto"/>
              <w:right w:val="nil"/>
            </w:tcBorders>
            <w:shd w:val="clear" w:color="auto" w:fill="auto"/>
            <w:noWrap/>
            <w:vAlign w:val="bottom"/>
            <w:hideMark/>
          </w:tcPr>
          <w:p w14:paraId="7AAD7021"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Celotna SI</w:t>
            </w:r>
          </w:p>
        </w:tc>
        <w:tc>
          <w:tcPr>
            <w:tcW w:w="1420" w:type="dxa"/>
            <w:gridSpan w:val="2"/>
            <w:tcBorders>
              <w:top w:val="nil"/>
              <w:left w:val="single" w:sz="4" w:space="0" w:color="auto"/>
              <w:bottom w:val="single" w:sz="8" w:space="0" w:color="auto"/>
              <w:right w:val="single" w:sz="4" w:space="0" w:color="auto"/>
            </w:tcBorders>
            <w:shd w:val="clear" w:color="auto" w:fill="auto"/>
            <w:noWrap/>
            <w:vAlign w:val="center"/>
            <w:hideMark/>
          </w:tcPr>
          <w:p w14:paraId="6AB38F28"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914.046.895</w:t>
            </w:r>
          </w:p>
        </w:tc>
        <w:tc>
          <w:tcPr>
            <w:tcW w:w="1480" w:type="dxa"/>
            <w:gridSpan w:val="2"/>
            <w:tcBorders>
              <w:top w:val="nil"/>
              <w:left w:val="nil"/>
              <w:bottom w:val="single" w:sz="8" w:space="0" w:color="auto"/>
              <w:right w:val="single" w:sz="4" w:space="0" w:color="auto"/>
            </w:tcBorders>
            <w:shd w:val="clear" w:color="auto" w:fill="auto"/>
            <w:noWrap/>
            <w:vAlign w:val="center"/>
            <w:hideMark/>
          </w:tcPr>
          <w:p w14:paraId="0587E466"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1.111.977.911</w:t>
            </w:r>
          </w:p>
        </w:tc>
        <w:tc>
          <w:tcPr>
            <w:tcW w:w="780" w:type="dxa"/>
            <w:gridSpan w:val="2"/>
            <w:tcBorders>
              <w:top w:val="nil"/>
              <w:left w:val="nil"/>
              <w:bottom w:val="single" w:sz="8" w:space="0" w:color="auto"/>
              <w:right w:val="single" w:sz="4" w:space="0" w:color="auto"/>
            </w:tcBorders>
            <w:shd w:val="clear" w:color="auto" w:fill="auto"/>
            <w:noWrap/>
            <w:vAlign w:val="center"/>
            <w:hideMark/>
          </w:tcPr>
          <w:p w14:paraId="4951E1FD"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122%</w:t>
            </w:r>
          </w:p>
        </w:tc>
        <w:tc>
          <w:tcPr>
            <w:tcW w:w="1420" w:type="dxa"/>
            <w:tcBorders>
              <w:top w:val="nil"/>
              <w:left w:val="nil"/>
              <w:bottom w:val="single" w:sz="8" w:space="0" w:color="auto"/>
              <w:right w:val="single" w:sz="4" w:space="0" w:color="auto"/>
            </w:tcBorders>
            <w:shd w:val="clear" w:color="auto" w:fill="auto"/>
            <w:noWrap/>
            <w:vAlign w:val="center"/>
            <w:hideMark/>
          </w:tcPr>
          <w:p w14:paraId="655784F1"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973.471.321</w:t>
            </w:r>
          </w:p>
        </w:tc>
        <w:tc>
          <w:tcPr>
            <w:tcW w:w="713" w:type="dxa"/>
            <w:tcBorders>
              <w:top w:val="nil"/>
              <w:left w:val="nil"/>
              <w:bottom w:val="single" w:sz="8" w:space="0" w:color="auto"/>
              <w:right w:val="single" w:sz="4" w:space="0" w:color="auto"/>
            </w:tcBorders>
            <w:shd w:val="clear" w:color="auto" w:fill="auto"/>
            <w:noWrap/>
            <w:vAlign w:val="center"/>
            <w:hideMark/>
          </w:tcPr>
          <w:p w14:paraId="6994102D"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107%</w:t>
            </w:r>
          </w:p>
        </w:tc>
        <w:tc>
          <w:tcPr>
            <w:tcW w:w="1420" w:type="dxa"/>
            <w:tcBorders>
              <w:top w:val="nil"/>
              <w:left w:val="nil"/>
              <w:bottom w:val="single" w:sz="8" w:space="0" w:color="auto"/>
              <w:right w:val="single" w:sz="4" w:space="0" w:color="auto"/>
            </w:tcBorders>
            <w:shd w:val="clear" w:color="auto" w:fill="auto"/>
            <w:noWrap/>
            <w:vAlign w:val="center"/>
            <w:hideMark/>
          </w:tcPr>
          <w:p w14:paraId="703D8D80"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726.525.691</w:t>
            </w:r>
          </w:p>
        </w:tc>
        <w:tc>
          <w:tcPr>
            <w:tcW w:w="700" w:type="dxa"/>
            <w:tcBorders>
              <w:top w:val="nil"/>
              <w:left w:val="nil"/>
              <w:bottom w:val="single" w:sz="8" w:space="0" w:color="auto"/>
              <w:right w:val="single" w:sz="8" w:space="0" w:color="auto"/>
            </w:tcBorders>
            <w:shd w:val="clear" w:color="auto" w:fill="auto"/>
            <w:noWrap/>
            <w:vAlign w:val="center"/>
            <w:hideMark/>
          </w:tcPr>
          <w:p w14:paraId="046A4AB6"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79%</w:t>
            </w:r>
          </w:p>
        </w:tc>
      </w:tr>
      <w:tr w:rsidR="002A7E48" w:rsidRPr="002A7E48" w14:paraId="4FE401F2" w14:textId="77777777" w:rsidTr="0042240D">
        <w:trPr>
          <w:trHeight w:val="315"/>
        </w:trPr>
        <w:tc>
          <w:tcPr>
            <w:tcW w:w="1842" w:type="dxa"/>
            <w:gridSpan w:val="3"/>
            <w:tcBorders>
              <w:top w:val="single" w:sz="8" w:space="0" w:color="auto"/>
              <w:left w:val="single" w:sz="8" w:space="0" w:color="auto"/>
              <w:bottom w:val="single" w:sz="8" w:space="0" w:color="auto"/>
              <w:right w:val="single" w:sz="4" w:space="0" w:color="auto"/>
            </w:tcBorders>
            <w:shd w:val="clear" w:color="000000" w:fill="DDEBF7"/>
            <w:vAlign w:val="center"/>
            <w:hideMark/>
          </w:tcPr>
          <w:p w14:paraId="0AC9C985"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Skupaj KS</w:t>
            </w:r>
          </w:p>
        </w:tc>
        <w:tc>
          <w:tcPr>
            <w:tcW w:w="1420" w:type="dxa"/>
            <w:gridSpan w:val="2"/>
            <w:tcBorders>
              <w:top w:val="nil"/>
              <w:left w:val="nil"/>
              <w:bottom w:val="single" w:sz="8" w:space="0" w:color="auto"/>
              <w:right w:val="single" w:sz="4" w:space="0" w:color="auto"/>
            </w:tcBorders>
            <w:shd w:val="clear" w:color="000000" w:fill="DDEBF7"/>
            <w:noWrap/>
            <w:vAlign w:val="center"/>
            <w:hideMark/>
          </w:tcPr>
          <w:p w14:paraId="7A44A3CB"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914.046.895</w:t>
            </w:r>
          </w:p>
        </w:tc>
        <w:tc>
          <w:tcPr>
            <w:tcW w:w="1480" w:type="dxa"/>
            <w:gridSpan w:val="2"/>
            <w:tcBorders>
              <w:top w:val="nil"/>
              <w:left w:val="nil"/>
              <w:bottom w:val="single" w:sz="8" w:space="0" w:color="auto"/>
              <w:right w:val="single" w:sz="4" w:space="0" w:color="auto"/>
            </w:tcBorders>
            <w:shd w:val="clear" w:color="000000" w:fill="DDEBF7"/>
            <w:noWrap/>
            <w:vAlign w:val="center"/>
            <w:hideMark/>
          </w:tcPr>
          <w:p w14:paraId="364C9098"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1.111.977.911</w:t>
            </w:r>
          </w:p>
        </w:tc>
        <w:tc>
          <w:tcPr>
            <w:tcW w:w="768" w:type="dxa"/>
            <w:tcBorders>
              <w:top w:val="nil"/>
              <w:left w:val="nil"/>
              <w:bottom w:val="single" w:sz="8" w:space="0" w:color="auto"/>
              <w:right w:val="single" w:sz="4" w:space="0" w:color="auto"/>
            </w:tcBorders>
            <w:shd w:val="clear" w:color="000000" w:fill="DDEBF7"/>
            <w:noWrap/>
            <w:vAlign w:val="center"/>
            <w:hideMark/>
          </w:tcPr>
          <w:p w14:paraId="3253D5C9"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122%</w:t>
            </w:r>
          </w:p>
        </w:tc>
        <w:tc>
          <w:tcPr>
            <w:tcW w:w="1420" w:type="dxa"/>
            <w:tcBorders>
              <w:top w:val="nil"/>
              <w:left w:val="nil"/>
              <w:bottom w:val="single" w:sz="8" w:space="0" w:color="auto"/>
              <w:right w:val="single" w:sz="4" w:space="0" w:color="auto"/>
            </w:tcBorders>
            <w:shd w:val="clear" w:color="000000" w:fill="DDEBF7"/>
            <w:noWrap/>
            <w:vAlign w:val="center"/>
            <w:hideMark/>
          </w:tcPr>
          <w:p w14:paraId="553D4D32"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973.471.321</w:t>
            </w:r>
          </w:p>
        </w:tc>
        <w:tc>
          <w:tcPr>
            <w:tcW w:w="713" w:type="dxa"/>
            <w:tcBorders>
              <w:top w:val="nil"/>
              <w:left w:val="nil"/>
              <w:bottom w:val="single" w:sz="8" w:space="0" w:color="auto"/>
              <w:right w:val="single" w:sz="4" w:space="0" w:color="auto"/>
            </w:tcBorders>
            <w:shd w:val="clear" w:color="000000" w:fill="DDEBF7"/>
            <w:noWrap/>
            <w:vAlign w:val="center"/>
            <w:hideMark/>
          </w:tcPr>
          <w:p w14:paraId="2BC75474"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107%</w:t>
            </w:r>
          </w:p>
        </w:tc>
        <w:tc>
          <w:tcPr>
            <w:tcW w:w="1420" w:type="dxa"/>
            <w:tcBorders>
              <w:top w:val="nil"/>
              <w:left w:val="nil"/>
              <w:bottom w:val="single" w:sz="8" w:space="0" w:color="auto"/>
              <w:right w:val="single" w:sz="4" w:space="0" w:color="auto"/>
            </w:tcBorders>
            <w:shd w:val="clear" w:color="000000" w:fill="DDEBF7"/>
            <w:noWrap/>
            <w:vAlign w:val="center"/>
            <w:hideMark/>
          </w:tcPr>
          <w:p w14:paraId="18FF9F17"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726.525.691</w:t>
            </w:r>
          </w:p>
        </w:tc>
        <w:tc>
          <w:tcPr>
            <w:tcW w:w="700" w:type="dxa"/>
            <w:tcBorders>
              <w:top w:val="nil"/>
              <w:left w:val="nil"/>
              <w:bottom w:val="single" w:sz="8" w:space="0" w:color="auto"/>
              <w:right w:val="single" w:sz="8" w:space="0" w:color="auto"/>
            </w:tcBorders>
            <w:shd w:val="clear" w:color="000000" w:fill="DDEBF7"/>
            <w:noWrap/>
            <w:vAlign w:val="center"/>
            <w:hideMark/>
          </w:tcPr>
          <w:p w14:paraId="2186EAA2"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79%</w:t>
            </w:r>
          </w:p>
        </w:tc>
      </w:tr>
      <w:tr w:rsidR="002A7E48" w:rsidRPr="002A7E48" w14:paraId="639498C0" w14:textId="77777777" w:rsidTr="0042240D">
        <w:trPr>
          <w:trHeight w:val="315"/>
        </w:trPr>
        <w:tc>
          <w:tcPr>
            <w:tcW w:w="696" w:type="dxa"/>
            <w:tcBorders>
              <w:top w:val="nil"/>
              <w:left w:val="single" w:sz="8" w:space="0" w:color="auto"/>
              <w:bottom w:val="single" w:sz="8" w:space="0" w:color="auto"/>
              <w:right w:val="single" w:sz="4" w:space="0" w:color="auto"/>
            </w:tcBorders>
            <w:shd w:val="clear" w:color="auto" w:fill="auto"/>
            <w:vAlign w:val="center"/>
            <w:hideMark/>
          </w:tcPr>
          <w:p w14:paraId="792B8A7C"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YEI</w:t>
            </w:r>
          </w:p>
        </w:tc>
        <w:tc>
          <w:tcPr>
            <w:tcW w:w="1134" w:type="dxa"/>
            <w:tcBorders>
              <w:top w:val="nil"/>
              <w:left w:val="nil"/>
              <w:bottom w:val="single" w:sz="8" w:space="0" w:color="auto"/>
              <w:right w:val="single" w:sz="4" w:space="0" w:color="auto"/>
            </w:tcBorders>
            <w:shd w:val="clear" w:color="auto" w:fill="auto"/>
            <w:noWrap/>
            <w:vAlign w:val="center"/>
            <w:hideMark/>
          </w:tcPr>
          <w:p w14:paraId="166CB4A1"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Vzhodna</w:t>
            </w:r>
          </w:p>
        </w:tc>
        <w:tc>
          <w:tcPr>
            <w:tcW w:w="1420" w:type="dxa"/>
            <w:gridSpan w:val="2"/>
            <w:tcBorders>
              <w:top w:val="nil"/>
              <w:left w:val="nil"/>
              <w:bottom w:val="single" w:sz="8" w:space="0" w:color="auto"/>
              <w:right w:val="single" w:sz="4" w:space="0" w:color="auto"/>
            </w:tcBorders>
            <w:shd w:val="clear" w:color="auto" w:fill="auto"/>
            <w:noWrap/>
            <w:vAlign w:val="center"/>
            <w:hideMark/>
          </w:tcPr>
          <w:p w14:paraId="635A4872"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18.423.072</w:t>
            </w:r>
          </w:p>
        </w:tc>
        <w:tc>
          <w:tcPr>
            <w:tcW w:w="1480" w:type="dxa"/>
            <w:gridSpan w:val="2"/>
            <w:tcBorders>
              <w:top w:val="nil"/>
              <w:left w:val="nil"/>
              <w:bottom w:val="single" w:sz="8" w:space="0" w:color="auto"/>
              <w:right w:val="single" w:sz="4" w:space="0" w:color="auto"/>
            </w:tcBorders>
            <w:shd w:val="clear" w:color="auto" w:fill="auto"/>
            <w:noWrap/>
            <w:vAlign w:val="center"/>
            <w:hideMark/>
          </w:tcPr>
          <w:p w14:paraId="199A33F4"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18.423.072</w:t>
            </w:r>
          </w:p>
        </w:tc>
        <w:tc>
          <w:tcPr>
            <w:tcW w:w="780" w:type="dxa"/>
            <w:gridSpan w:val="2"/>
            <w:tcBorders>
              <w:top w:val="nil"/>
              <w:left w:val="nil"/>
              <w:bottom w:val="single" w:sz="8" w:space="0" w:color="auto"/>
              <w:right w:val="single" w:sz="4" w:space="0" w:color="auto"/>
            </w:tcBorders>
            <w:shd w:val="clear" w:color="auto" w:fill="auto"/>
            <w:noWrap/>
            <w:vAlign w:val="center"/>
            <w:hideMark/>
          </w:tcPr>
          <w:p w14:paraId="4BC7D8C1"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100%</w:t>
            </w:r>
          </w:p>
        </w:tc>
        <w:tc>
          <w:tcPr>
            <w:tcW w:w="1420" w:type="dxa"/>
            <w:tcBorders>
              <w:top w:val="nil"/>
              <w:left w:val="nil"/>
              <w:bottom w:val="single" w:sz="8" w:space="0" w:color="auto"/>
              <w:right w:val="single" w:sz="4" w:space="0" w:color="auto"/>
            </w:tcBorders>
            <w:shd w:val="clear" w:color="auto" w:fill="auto"/>
            <w:noWrap/>
            <w:vAlign w:val="center"/>
            <w:hideMark/>
          </w:tcPr>
          <w:p w14:paraId="4CD33808"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18.423.072</w:t>
            </w:r>
          </w:p>
        </w:tc>
        <w:tc>
          <w:tcPr>
            <w:tcW w:w="713" w:type="dxa"/>
            <w:tcBorders>
              <w:top w:val="nil"/>
              <w:left w:val="nil"/>
              <w:bottom w:val="single" w:sz="8" w:space="0" w:color="auto"/>
              <w:right w:val="single" w:sz="4" w:space="0" w:color="auto"/>
            </w:tcBorders>
            <w:shd w:val="clear" w:color="auto" w:fill="auto"/>
            <w:noWrap/>
            <w:vAlign w:val="center"/>
            <w:hideMark/>
          </w:tcPr>
          <w:p w14:paraId="5E197587"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100%</w:t>
            </w:r>
          </w:p>
        </w:tc>
        <w:tc>
          <w:tcPr>
            <w:tcW w:w="1420" w:type="dxa"/>
            <w:tcBorders>
              <w:top w:val="nil"/>
              <w:left w:val="nil"/>
              <w:bottom w:val="single" w:sz="8" w:space="0" w:color="auto"/>
              <w:right w:val="single" w:sz="4" w:space="0" w:color="auto"/>
            </w:tcBorders>
            <w:shd w:val="clear" w:color="auto" w:fill="auto"/>
            <w:noWrap/>
            <w:vAlign w:val="center"/>
            <w:hideMark/>
          </w:tcPr>
          <w:p w14:paraId="11BEA818"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17.308.298</w:t>
            </w:r>
          </w:p>
        </w:tc>
        <w:tc>
          <w:tcPr>
            <w:tcW w:w="700" w:type="dxa"/>
            <w:tcBorders>
              <w:top w:val="nil"/>
              <w:left w:val="nil"/>
              <w:bottom w:val="single" w:sz="8" w:space="0" w:color="auto"/>
              <w:right w:val="single" w:sz="8" w:space="0" w:color="auto"/>
            </w:tcBorders>
            <w:shd w:val="clear" w:color="auto" w:fill="auto"/>
            <w:noWrap/>
            <w:vAlign w:val="center"/>
            <w:hideMark/>
          </w:tcPr>
          <w:p w14:paraId="5A435159"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94%</w:t>
            </w:r>
          </w:p>
        </w:tc>
      </w:tr>
      <w:tr w:rsidR="002A7E48" w:rsidRPr="002A7E48" w14:paraId="0118AE30" w14:textId="77777777" w:rsidTr="0042240D">
        <w:trPr>
          <w:trHeight w:val="315"/>
        </w:trPr>
        <w:tc>
          <w:tcPr>
            <w:tcW w:w="1842" w:type="dxa"/>
            <w:gridSpan w:val="3"/>
            <w:tcBorders>
              <w:top w:val="single" w:sz="8" w:space="0" w:color="auto"/>
              <w:left w:val="single" w:sz="8" w:space="0" w:color="auto"/>
              <w:bottom w:val="single" w:sz="8" w:space="0" w:color="auto"/>
              <w:right w:val="single" w:sz="4" w:space="0" w:color="auto"/>
            </w:tcBorders>
            <w:shd w:val="clear" w:color="000000" w:fill="DDEBF7"/>
            <w:noWrap/>
            <w:vAlign w:val="center"/>
            <w:hideMark/>
          </w:tcPr>
          <w:p w14:paraId="56B4DA49"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Skupaj YEI</w:t>
            </w:r>
          </w:p>
        </w:tc>
        <w:tc>
          <w:tcPr>
            <w:tcW w:w="1420" w:type="dxa"/>
            <w:gridSpan w:val="2"/>
            <w:tcBorders>
              <w:top w:val="nil"/>
              <w:left w:val="nil"/>
              <w:bottom w:val="single" w:sz="8" w:space="0" w:color="auto"/>
              <w:right w:val="single" w:sz="4" w:space="0" w:color="auto"/>
            </w:tcBorders>
            <w:shd w:val="clear" w:color="000000" w:fill="DDEBF7"/>
            <w:noWrap/>
            <w:vAlign w:val="center"/>
            <w:hideMark/>
          </w:tcPr>
          <w:p w14:paraId="732708DE"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18.423.072</w:t>
            </w:r>
          </w:p>
        </w:tc>
        <w:tc>
          <w:tcPr>
            <w:tcW w:w="1480" w:type="dxa"/>
            <w:gridSpan w:val="2"/>
            <w:tcBorders>
              <w:top w:val="nil"/>
              <w:left w:val="nil"/>
              <w:bottom w:val="single" w:sz="8" w:space="0" w:color="auto"/>
              <w:right w:val="single" w:sz="4" w:space="0" w:color="auto"/>
            </w:tcBorders>
            <w:shd w:val="clear" w:color="000000" w:fill="DDEBF7"/>
            <w:noWrap/>
            <w:vAlign w:val="center"/>
            <w:hideMark/>
          </w:tcPr>
          <w:p w14:paraId="3B8C317F"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18.423.072</w:t>
            </w:r>
          </w:p>
        </w:tc>
        <w:tc>
          <w:tcPr>
            <w:tcW w:w="768" w:type="dxa"/>
            <w:tcBorders>
              <w:top w:val="nil"/>
              <w:left w:val="nil"/>
              <w:bottom w:val="single" w:sz="8" w:space="0" w:color="auto"/>
              <w:right w:val="single" w:sz="4" w:space="0" w:color="auto"/>
            </w:tcBorders>
            <w:shd w:val="clear" w:color="000000" w:fill="DDEBF7"/>
            <w:noWrap/>
            <w:vAlign w:val="center"/>
            <w:hideMark/>
          </w:tcPr>
          <w:p w14:paraId="0C53B0ED"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100%</w:t>
            </w:r>
          </w:p>
        </w:tc>
        <w:tc>
          <w:tcPr>
            <w:tcW w:w="1420" w:type="dxa"/>
            <w:tcBorders>
              <w:top w:val="nil"/>
              <w:left w:val="nil"/>
              <w:bottom w:val="single" w:sz="8" w:space="0" w:color="auto"/>
              <w:right w:val="single" w:sz="4" w:space="0" w:color="auto"/>
            </w:tcBorders>
            <w:shd w:val="clear" w:color="000000" w:fill="DDEBF7"/>
            <w:noWrap/>
            <w:vAlign w:val="center"/>
            <w:hideMark/>
          </w:tcPr>
          <w:p w14:paraId="01B73B22"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18.423.072</w:t>
            </w:r>
          </w:p>
        </w:tc>
        <w:tc>
          <w:tcPr>
            <w:tcW w:w="713" w:type="dxa"/>
            <w:tcBorders>
              <w:top w:val="nil"/>
              <w:left w:val="nil"/>
              <w:bottom w:val="single" w:sz="8" w:space="0" w:color="auto"/>
              <w:right w:val="single" w:sz="4" w:space="0" w:color="auto"/>
            </w:tcBorders>
            <w:shd w:val="clear" w:color="000000" w:fill="DDEBF7"/>
            <w:noWrap/>
            <w:vAlign w:val="center"/>
            <w:hideMark/>
          </w:tcPr>
          <w:p w14:paraId="6D644251"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100%</w:t>
            </w:r>
          </w:p>
        </w:tc>
        <w:tc>
          <w:tcPr>
            <w:tcW w:w="1420" w:type="dxa"/>
            <w:tcBorders>
              <w:top w:val="nil"/>
              <w:left w:val="nil"/>
              <w:bottom w:val="single" w:sz="8" w:space="0" w:color="auto"/>
              <w:right w:val="single" w:sz="4" w:space="0" w:color="auto"/>
            </w:tcBorders>
            <w:shd w:val="clear" w:color="000000" w:fill="DDEBF7"/>
            <w:noWrap/>
            <w:vAlign w:val="center"/>
            <w:hideMark/>
          </w:tcPr>
          <w:p w14:paraId="3A511BC2"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17.308.298</w:t>
            </w:r>
          </w:p>
        </w:tc>
        <w:tc>
          <w:tcPr>
            <w:tcW w:w="700" w:type="dxa"/>
            <w:tcBorders>
              <w:top w:val="nil"/>
              <w:left w:val="nil"/>
              <w:bottom w:val="single" w:sz="8" w:space="0" w:color="auto"/>
              <w:right w:val="single" w:sz="8" w:space="0" w:color="auto"/>
            </w:tcBorders>
            <w:shd w:val="clear" w:color="000000" w:fill="DDEBF7"/>
            <w:noWrap/>
            <w:vAlign w:val="center"/>
            <w:hideMark/>
          </w:tcPr>
          <w:p w14:paraId="54A2B578"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94%</w:t>
            </w:r>
          </w:p>
        </w:tc>
      </w:tr>
      <w:tr w:rsidR="002A7E48" w:rsidRPr="002A7E48" w14:paraId="5B722215" w14:textId="77777777" w:rsidTr="0042240D">
        <w:trPr>
          <w:trHeight w:val="315"/>
        </w:trPr>
        <w:tc>
          <w:tcPr>
            <w:tcW w:w="696"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ADF2900"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 xml:space="preserve">OP </w:t>
            </w:r>
          </w:p>
        </w:tc>
        <w:tc>
          <w:tcPr>
            <w:tcW w:w="1134" w:type="dxa"/>
            <w:tcBorders>
              <w:top w:val="nil"/>
              <w:left w:val="nil"/>
              <w:bottom w:val="single" w:sz="4" w:space="0" w:color="auto"/>
              <w:right w:val="single" w:sz="4" w:space="0" w:color="auto"/>
            </w:tcBorders>
            <w:shd w:val="clear" w:color="auto" w:fill="auto"/>
            <w:noWrap/>
            <w:vAlign w:val="center"/>
            <w:hideMark/>
          </w:tcPr>
          <w:p w14:paraId="4E34BC5E"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Vzhodna</w:t>
            </w:r>
          </w:p>
        </w:tc>
        <w:tc>
          <w:tcPr>
            <w:tcW w:w="1420" w:type="dxa"/>
            <w:gridSpan w:val="2"/>
            <w:tcBorders>
              <w:top w:val="nil"/>
              <w:left w:val="nil"/>
              <w:bottom w:val="single" w:sz="4" w:space="0" w:color="auto"/>
              <w:right w:val="single" w:sz="4" w:space="0" w:color="auto"/>
            </w:tcBorders>
            <w:shd w:val="clear" w:color="auto" w:fill="auto"/>
            <w:noWrap/>
            <w:vAlign w:val="center"/>
            <w:hideMark/>
          </w:tcPr>
          <w:p w14:paraId="582B3F8C"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1.305.289.473</w:t>
            </w:r>
          </w:p>
        </w:tc>
        <w:tc>
          <w:tcPr>
            <w:tcW w:w="1480" w:type="dxa"/>
            <w:gridSpan w:val="2"/>
            <w:tcBorders>
              <w:top w:val="nil"/>
              <w:left w:val="nil"/>
              <w:bottom w:val="single" w:sz="4" w:space="0" w:color="auto"/>
              <w:right w:val="single" w:sz="4" w:space="0" w:color="auto"/>
            </w:tcBorders>
            <w:shd w:val="clear" w:color="auto" w:fill="auto"/>
            <w:noWrap/>
            <w:vAlign w:val="center"/>
            <w:hideMark/>
          </w:tcPr>
          <w:p w14:paraId="0E31B47B"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1.427.930.375</w:t>
            </w:r>
          </w:p>
        </w:tc>
        <w:tc>
          <w:tcPr>
            <w:tcW w:w="780" w:type="dxa"/>
            <w:gridSpan w:val="2"/>
            <w:tcBorders>
              <w:top w:val="nil"/>
              <w:left w:val="nil"/>
              <w:bottom w:val="single" w:sz="4" w:space="0" w:color="auto"/>
              <w:right w:val="single" w:sz="4" w:space="0" w:color="auto"/>
            </w:tcBorders>
            <w:shd w:val="clear" w:color="auto" w:fill="auto"/>
            <w:noWrap/>
            <w:vAlign w:val="center"/>
            <w:hideMark/>
          </w:tcPr>
          <w:p w14:paraId="23E58543"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109%</w:t>
            </w:r>
          </w:p>
        </w:tc>
        <w:tc>
          <w:tcPr>
            <w:tcW w:w="1420" w:type="dxa"/>
            <w:tcBorders>
              <w:top w:val="nil"/>
              <w:left w:val="nil"/>
              <w:bottom w:val="single" w:sz="4" w:space="0" w:color="auto"/>
              <w:right w:val="single" w:sz="4" w:space="0" w:color="auto"/>
            </w:tcBorders>
            <w:shd w:val="clear" w:color="auto" w:fill="auto"/>
            <w:noWrap/>
            <w:vAlign w:val="center"/>
            <w:hideMark/>
          </w:tcPr>
          <w:p w14:paraId="3736261F"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1.374.477.198</w:t>
            </w:r>
          </w:p>
        </w:tc>
        <w:tc>
          <w:tcPr>
            <w:tcW w:w="713" w:type="dxa"/>
            <w:tcBorders>
              <w:top w:val="nil"/>
              <w:left w:val="nil"/>
              <w:bottom w:val="single" w:sz="4" w:space="0" w:color="auto"/>
              <w:right w:val="single" w:sz="4" w:space="0" w:color="auto"/>
            </w:tcBorders>
            <w:shd w:val="clear" w:color="auto" w:fill="auto"/>
            <w:noWrap/>
            <w:vAlign w:val="center"/>
            <w:hideMark/>
          </w:tcPr>
          <w:p w14:paraId="33613161"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105%</w:t>
            </w:r>
          </w:p>
        </w:tc>
        <w:tc>
          <w:tcPr>
            <w:tcW w:w="1420" w:type="dxa"/>
            <w:tcBorders>
              <w:top w:val="nil"/>
              <w:left w:val="nil"/>
              <w:bottom w:val="single" w:sz="4" w:space="0" w:color="auto"/>
              <w:right w:val="single" w:sz="4" w:space="0" w:color="auto"/>
            </w:tcBorders>
            <w:shd w:val="clear" w:color="auto" w:fill="auto"/>
            <w:noWrap/>
            <w:vAlign w:val="center"/>
            <w:hideMark/>
          </w:tcPr>
          <w:p w14:paraId="32B01FF8"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1.192.654.777</w:t>
            </w:r>
          </w:p>
        </w:tc>
        <w:tc>
          <w:tcPr>
            <w:tcW w:w="700" w:type="dxa"/>
            <w:tcBorders>
              <w:top w:val="nil"/>
              <w:left w:val="nil"/>
              <w:bottom w:val="single" w:sz="4" w:space="0" w:color="auto"/>
              <w:right w:val="single" w:sz="8" w:space="0" w:color="auto"/>
            </w:tcBorders>
            <w:shd w:val="clear" w:color="auto" w:fill="auto"/>
            <w:noWrap/>
            <w:vAlign w:val="center"/>
            <w:hideMark/>
          </w:tcPr>
          <w:p w14:paraId="29C73CBF"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91%</w:t>
            </w:r>
          </w:p>
        </w:tc>
      </w:tr>
      <w:tr w:rsidR="002A7E48" w:rsidRPr="002A7E48" w14:paraId="1595B936" w14:textId="77777777" w:rsidTr="0042240D">
        <w:trPr>
          <w:trHeight w:val="315"/>
        </w:trPr>
        <w:tc>
          <w:tcPr>
            <w:tcW w:w="696" w:type="dxa"/>
            <w:vMerge/>
            <w:tcBorders>
              <w:top w:val="nil"/>
              <w:left w:val="single" w:sz="8" w:space="0" w:color="auto"/>
              <w:bottom w:val="single" w:sz="8" w:space="0" w:color="000000"/>
              <w:right w:val="single" w:sz="4" w:space="0" w:color="auto"/>
            </w:tcBorders>
            <w:vAlign w:val="center"/>
            <w:hideMark/>
          </w:tcPr>
          <w:p w14:paraId="44927065" w14:textId="77777777" w:rsidR="002A7E48" w:rsidRPr="002A7E48" w:rsidRDefault="002A7E48" w:rsidP="002A7E48">
            <w:pPr>
              <w:spacing w:after="0" w:line="240" w:lineRule="auto"/>
              <w:rPr>
                <w:rFonts w:ascii="Arial" w:eastAsia="Calibri" w:hAnsi="Arial" w:cs="Arial"/>
                <w:b/>
                <w:bCs/>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40EEBAB1"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Zahodna</w:t>
            </w:r>
          </w:p>
        </w:tc>
        <w:tc>
          <w:tcPr>
            <w:tcW w:w="1420" w:type="dxa"/>
            <w:gridSpan w:val="2"/>
            <w:tcBorders>
              <w:top w:val="nil"/>
              <w:left w:val="nil"/>
              <w:bottom w:val="single" w:sz="4" w:space="0" w:color="auto"/>
              <w:right w:val="single" w:sz="4" w:space="0" w:color="auto"/>
            </w:tcBorders>
            <w:shd w:val="clear" w:color="auto" w:fill="auto"/>
            <w:noWrap/>
            <w:vAlign w:val="center"/>
            <w:hideMark/>
          </w:tcPr>
          <w:p w14:paraId="217CF6A3"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848.588.557</w:t>
            </w:r>
          </w:p>
        </w:tc>
        <w:tc>
          <w:tcPr>
            <w:tcW w:w="1480" w:type="dxa"/>
            <w:gridSpan w:val="2"/>
            <w:tcBorders>
              <w:top w:val="nil"/>
              <w:left w:val="nil"/>
              <w:bottom w:val="single" w:sz="4" w:space="0" w:color="auto"/>
              <w:right w:val="single" w:sz="4" w:space="0" w:color="auto"/>
            </w:tcBorders>
            <w:shd w:val="clear" w:color="auto" w:fill="auto"/>
            <w:noWrap/>
            <w:vAlign w:val="center"/>
            <w:hideMark/>
          </w:tcPr>
          <w:p w14:paraId="520E98FD"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1.009.631.656</w:t>
            </w:r>
          </w:p>
        </w:tc>
        <w:tc>
          <w:tcPr>
            <w:tcW w:w="780" w:type="dxa"/>
            <w:gridSpan w:val="2"/>
            <w:tcBorders>
              <w:top w:val="nil"/>
              <w:left w:val="nil"/>
              <w:bottom w:val="single" w:sz="4" w:space="0" w:color="auto"/>
              <w:right w:val="single" w:sz="4" w:space="0" w:color="auto"/>
            </w:tcBorders>
            <w:shd w:val="clear" w:color="auto" w:fill="auto"/>
            <w:noWrap/>
            <w:vAlign w:val="center"/>
            <w:hideMark/>
          </w:tcPr>
          <w:p w14:paraId="15101095"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119%</w:t>
            </w:r>
          </w:p>
        </w:tc>
        <w:tc>
          <w:tcPr>
            <w:tcW w:w="1420" w:type="dxa"/>
            <w:tcBorders>
              <w:top w:val="nil"/>
              <w:left w:val="nil"/>
              <w:bottom w:val="single" w:sz="4" w:space="0" w:color="auto"/>
              <w:right w:val="single" w:sz="4" w:space="0" w:color="auto"/>
            </w:tcBorders>
            <w:shd w:val="clear" w:color="auto" w:fill="auto"/>
            <w:noWrap/>
            <w:vAlign w:val="center"/>
            <w:hideMark/>
          </w:tcPr>
          <w:p w14:paraId="2458E279"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988.102.810</w:t>
            </w:r>
          </w:p>
        </w:tc>
        <w:tc>
          <w:tcPr>
            <w:tcW w:w="713" w:type="dxa"/>
            <w:tcBorders>
              <w:top w:val="nil"/>
              <w:left w:val="nil"/>
              <w:bottom w:val="single" w:sz="4" w:space="0" w:color="auto"/>
              <w:right w:val="single" w:sz="4" w:space="0" w:color="auto"/>
            </w:tcBorders>
            <w:shd w:val="clear" w:color="auto" w:fill="auto"/>
            <w:noWrap/>
            <w:vAlign w:val="center"/>
            <w:hideMark/>
          </w:tcPr>
          <w:p w14:paraId="00F4F43B"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116%</w:t>
            </w:r>
          </w:p>
        </w:tc>
        <w:tc>
          <w:tcPr>
            <w:tcW w:w="1420" w:type="dxa"/>
            <w:tcBorders>
              <w:top w:val="nil"/>
              <w:left w:val="nil"/>
              <w:bottom w:val="single" w:sz="4" w:space="0" w:color="auto"/>
              <w:right w:val="single" w:sz="4" w:space="0" w:color="auto"/>
            </w:tcBorders>
            <w:shd w:val="clear" w:color="auto" w:fill="auto"/>
            <w:noWrap/>
            <w:vAlign w:val="center"/>
            <w:hideMark/>
          </w:tcPr>
          <w:p w14:paraId="504A3EB8"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891.225.667</w:t>
            </w:r>
          </w:p>
        </w:tc>
        <w:tc>
          <w:tcPr>
            <w:tcW w:w="700" w:type="dxa"/>
            <w:tcBorders>
              <w:top w:val="nil"/>
              <w:left w:val="nil"/>
              <w:bottom w:val="single" w:sz="4" w:space="0" w:color="auto"/>
              <w:right w:val="single" w:sz="8" w:space="0" w:color="auto"/>
            </w:tcBorders>
            <w:shd w:val="clear" w:color="auto" w:fill="auto"/>
            <w:noWrap/>
            <w:vAlign w:val="center"/>
            <w:hideMark/>
          </w:tcPr>
          <w:p w14:paraId="4B54F708"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105%</w:t>
            </w:r>
          </w:p>
        </w:tc>
      </w:tr>
      <w:tr w:rsidR="002A7E48" w:rsidRPr="002A7E48" w14:paraId="512DF1EE" w14:textId="77777777" w:rsidTr="0042240D">
        <w:trPr>
          <w:trHeight w:val="315"/>
        </w:trPr>
        <w:tc>
          <w:tcPr>
            <w:tcW w:w="696" w:type="dxa"/>
            <w:vMerge/>
            <w:tcBorders>
              <w:top w:val="nil"/>
              <w:left w:val="single" w:sz="8" w:space="0" w:color="auto"/>
              <w:bottom w:val="single" w:sz="8" w:space="0" w:color="000000"/>
              <w:right w:val="single" w:sz="4" w:space="0" w:color="auto"/>
            </w:tcBorders>
            <w:vAlign w:val="center"/>
            <w:hideMark/>
          </w:tcPr>
          <w:p w14:paraId="2BEF1526" w14:textId="77777777" w:rsidR="002A7E48" w:rsidRPr="002A7E48" w:rsidRDefault="002A7E48" w:rsidP="002A7E48">
            <w:pPr>
              <w:spacing w:after="0" w:line="240" w:lineRule="auto"/>
              <w:rPr>
                <w:rFonts w:ascii="Arial" w:eastAsia="Calibri" w:hAnsi="Arial" w:cs="Arial"/>
                <w:b/>
                <w:bCs/>
                <w:sz w:val="18"/>
                <w:szCs w:val="18"/>
              </w:rPr>
            </w:pPr>
          </w:p>
        </w:tc>
        <w:tc>
          <w:tcPr>
            <w:tcW w:w="1134" w:type="dxa"/>
            <w:tcBorders>
              <w:top w:val="nil"/>
              <w:left w:val="nil"/>
              <w:bottom w:val="single" w:sz="8" w:space="0" w:color="auto"/>
              <w:right w:val="nil"/>
            </w:tcBorders>
            <w:shd w:val="clear" w:color="auto" w:fill="auto"/>
            <w:noWrap/>
            <w:vAlign w:val="bottom"/>
            <w:hideMark/>
          </w:tcPr>
          <w:p w14:paraId="0E0B260E"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Celotna SI</w:t>
            </w:r>
          </w:p>
        </w:tc>
        <w:tc>
          <w:tcPr>
            <w:tcW w:w="1420" w:type="dxa"/>
            <w:gridSpan w:val="2"/>
            <w:tcBorders>
              <w:top w:val="nil"/>
              <w:left w:val="single" w:sz="4" w:space="0" w:color="auto"/>
              <w:bottom w:val="single" w:sz="8" w:space="0" w:color="auto"/>
              <w:right w:val="single" w:sz="4" w:space="0" w:color="auto"/>
            </w:tcBorders>
            <w:shd w:val="clear" w:color="auto" w:fill="auto"/>
            <w:noWrap/>
            <w:vAlign w:val="center"/>
            <w:hideMark/>
          </w:tcPr>
          <w:p w14:paraId="5CBF92FE"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1.182.993.105</w:t>
            </w:r>
          </w:p>
        </w:tc>
        <w:tc>
          <w:tcPr>
            <w:tcW w:w="1480" w:type="dxa"/>
            <w:gridSpan w:val="2"/>
            <w:tcBorders>
              <w:top w:val="nil"/>
              <w:left w:val="nil"/>
              <w:bottom w:val="single" w:sz="8" w:space="0" w:color="auto"/>
              <w:right w:val="single" w:sz="4" w:space="0" w:color="auto"/>
            </w:tcBorders>
            <w:shd w:val="clear" w:color="auto" w:fill="auto"/>
            <w:noWrap/>
            <w:vAlign w:val="center"/>
            <w:hideMark/>
          </w:tcPr>
          <w:p w14:paraId="3C77050C"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1.340.937.037</w:t>
            </w:r>
          </w:p>
        </w:tc>
        <w:tc>
          <w:tcPr>
            <w:tcW w:w="780" w:type="dxa"/>
            <w:gridSpan w:val="2"/>
            <w:tcBorders>
              <w:top w:val="nil"/>
              <w:left w:val="nil"/>
              <w:bottom w:val="single" w:sz="8" w:space="0" w:color="auto"/>
              <w:right w:val="single" w:sz="4" w:space="0" w:color="auto"/>
            </w:tcBorders>
            <w:shd w:val="clear" w:color="auto" w:fill="auto"/>
            <w:noWrap/>
            <w:vAlign w:val="center"/>
            <w:hideMark/>
          </w:tcPr>
          <w:p w14:paraId="3D0970FB"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113%</w:t>
            </w:r>
          </w:p>
        </w:tc>
        <w:tc>
          <w:tcPr>
            <w:tcW w:w="1420" w:type="dxa"/>
            <w:tcBorders>
              <w:top w:val="nil"/>
              <w:left w:val="nil"/>
              <w:bottom w:val="single" w:sz="8" w:space="0" w:color="auto"/>
              <w:right w:val="single" w:sz="4" w:space="0" w:color="auto"/>
            </w:tcBorders>
            <w:shd w:val="clear" w:color="auto" w:fill="auto"/>
            <w:noWrap/>
            <w:vAlign w:val="center"/>
            <w:hideMark/>
          </w:tcPr>
          <w:p w14:paraId="2E401BEF"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1.198.782.608</w:t>
            </w:r>
          </w:p>
        </w:tc>
        <w:tc>
          <w:tcPr>
            <w:tcW w:w="713" w:type="dxa"/>
            <w:tcBorders>
              <w:top w:val="nil"/>
              <w:left w:val="nil"/>
              <w:bottom w:val="single" w:sz="8" w:space="0" w:color="auto"/>
              <w:right w:val="single" w:sz="4" w:space="0" w:color="auto"/>
            </w:tcBorders>
            <w:shd w:val="clear" w:color="auto" w:fill="auto"/>
            <w:noWrap/>
            <w:vAlign w:val="center"/>
            <w:hideMark/>
          </w:tcPr>
          <w:p w14:paraId="6C7C75FD"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101%</w:t>
            </w:r>
          </w:p>
        </w:tc>
        <w:tc>
          <w:tcPr>
            <w:tcW w:w="1420" w:type="dxa"/>
            <w:tcBorders>
              <w:top w:val="nil"/>
              <w:left w:val="nil"/>
              <w:bottom w:val="single" w:sz="8" w:space="0" w:color="auto"/>
              <w:right w:val="single" w:sz="4" w:space="0" w:color="auto"/>
            </w:tcBorders>
            <w:shd w:val="clear" w:color="auto" w:fill="auto"/>
            <w:noWrap/>
            <w:vAlign w:val="center"/>
            <w:hideMark/>
          </w:tcPr>
          <w:p w14:paraId="7DC766C3"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823.277.796</w:t>
            </w:r>
          </w:p>
        </w:tc>
        <w:tc>
          <w:tcPr>
            <w:tcW w:w="700" w:type="dxa"/>
            <w:tcBorders>
              <w:top w:val="nil"/>
              <w:left w:val="nil"/>
              <w:bottom w:val="single" w:sz="8" w:space="0" w:color="auto"/>
              <w:right w:val="single" w:sz="8" w:space="0" w:color="auto"/>
            </w:tcBorders>
            <w:shd w:val="clear" w:color="auto" w:fill="auto"/>
            <w:noWrap/>
            <w:vAlign w:val="center"/>
            <w:hideMark/>
          </w:tcPr>
          <w:p w14:paraId="65BE50C8" w14:textId="77777777" w:rsidR="002A7E48" w:rsidRPr="002A7E48" w:rsidRDefault="002A7E48" w:rsidP="002A7E48">
            <w:pPr>
              <w:spacing w:after="0" w:line="240" w:lineRule="auto"/>
              <w:rPr>
                <w:rFonts w:ascii="Arial" w:eastAsia="Calibri" w:hAnsi="Arial" w:cs="Arial"/>
                <w:sz w:val="18"/>
                <w:szCs w:val="18"/>
              </w:rPr>
            </w:pPr>
            <w:r w:rsidRPr="002A7E48">
              <w:rPr>
                <w:rFonts w:ascii="Arial" w:eastAsia="Calibri" w:hAnsi="Arial" w:cs="Arial"/>
                <w:sz w:val="18"/>
                <w:szCs w:val="18"/>
              </w:rPr>
              <w:t>70%</w:t>
            </w:r>
          </w:p>
        </w:tc>
      </w:tr>
      <w:tr w:rsidR="002A7E48" w:rsidRPr="002A7E48" w14:paraId="4C94DE9F" w14:textId="77777777" w:rsidTr="0042240D">
        <w:trPr>
          <w:trHeight w:val="315"/>
        </w:trPr>
        <w:tc>
          <w:tcPr>
            <w:tcW w:w="1842" w:type="dxa"/>
            <w:gridSpan w:val="3"/>
            <w:tcBorders>
              <w:top w:val="nil"/>
              <w:left w:val="single" w:sz="8" w:space="0" w:color="auto"/>
              <w:bottom w:val="single" w:sz="8" w:space="0" w:color="auto"/>
              <w:right w:val="single" w:sz="4" w:space="0" w:color="auto"/>
            </w:tcBorders>
            <w:shd w:val="clear" w:color="000000" w:fill="DDEBF7"/>
            <w:noWrap/>
            <w:vAlign w:val="center"/>
            <w:hideMark/>
          </w:tcPr>
          <w:p w14:paraId="6AA7192A"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 xml:space="preserve">Skupaj OP </w:t>
            </w:r>
          </w:p>
        </w:tc>
        <w:tc>
          <w:tcPr>
            <w:tcW w:w="1420" w:type="dxa"/>
            <w:gridSpan w:val="2"/>
            <w:tcBorders>
              <w:top w:val="nil"/>
              <w:left w:val="nil"/>
              <w:bottom w:val="single" w:sz="8" w:space="0" w:color="auto"/>
              <w:right w:val="single" w:sz="4" w:space="0" w:color="auto"/>
            </w:tcBorders>
            <w:shd w:val="clear" w:color="000000" w:fill="DDEBF7"/>
            <w:noWrap/>
            <w:vAlign w:val="center"/>
            <w:hideMark/>
          </w:tcPr>
          <w:p w14:paraId="277D5B11"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3.336.871.135</w:t>
            </w:r>
          </w:p>
        </w:tc>
        <w:tc>
          <w:tcPr>
            <w:tcW w:w="1480" w:type="dxa"/>
            <w:gridSpan w:val="2"/>
            <w:tcBorders>
              <w:top w:val="nil"/>
              <w:left w:val="nil"/>
              <w:bottom w:val="single" w:sz="8" w:space="0" w:color="auto"/>
              <w:right w:val="single" w:sz="4" w:space="0" w:color="auto"/>
            </w:tcBorders>
            <w:shd w:val="clear" w:color="000000" w:fill="DDEBF7"/>
            <w:noWrap/>
            <w:vAlign w:val="center"/>
            <w:hideMark/>
          </w:tcPr>
          <w:p w14:paraId="0F1B69DB"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3.778.499.068</w:t>
            </w:r>
          </w:p>
        </w:tc>
        <w:tc>
          <w:tcPr>
            <w:tcW w:w="768" w:type="dxa"/>
            <w:tcBorders>
              <w:top w:val="nil"/>
              <w:left w:val="nil"/>
              <w:bottom w:val="single" w:sz="8" w:space="0" w:color="auto"/>
              <w:right w:val="single" w:sz="4" w:space="0" w:color="auto"/>
            </w:tcBorders>
            <w:shd w:val="clear" w:color="000000" w:fill="DDEBF7"/>
            <w:noWrap/>
            <w:vAlign w:val="center"/>
            <w:hideMark/>
          </w:tcPr>
          <w:p w14:paraId="29B89F65"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113%</w:t>
            </w:r>
          </w:p>
        </w:tc>
        <w:tc>
          <w:tcPr>
            <w:tcW w:w="1420" w:type="dxa"/>
            <w:tcBorders>
              <w:top w:val="nil"/>
              <w:left w:val="nil"/>
              <w:bottom w:val="single" w:sz="8" w:space="0" w:color="auto"/>
              <w:right w:val="single" w:sz="4" w:space="0" w:color="auto"/>
            </w:tcBorders>
            <w:shd w:val="clear" w:color="000000" w:fill="DDEBF7"/>
            <w:noWrap/>
            <w:vAlign w:val="center"/>
            <w:hideMark/>
          </w:tcPr>
          <w:p w14:paraId="2AC7BF4F"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3.561.362.616</w:t>
            </w:r>
          </w:p>
        </w:tc>
        <w:tc>
          <w:tcPr>
            <w:tcW w:w="713" w:type="dxa"/>
            <w:tcBorders>
              <w:top w:val="nil"/>
              <w:left w:val="nil"/>
              <w:bottom w:val="single" w:sz="8" w:space="0" w:color="auto"/>
              <w:right w:val="single" w:sz="4" w:space="0" w:color="auto"/>
            </w:tcBorders>
            <w:shd w:val="clear" w:color="000000" w:fill="DDEBF7"/>
            <w:noWrap/>
            <w:vAlign w:val="center"/>
            <w:hideMark/>
          </w:tcPr>
          <w:p w14:paraId="4C02F677"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107%</w:t>
            </w:r>
          </w:p>
        </w:tc>
        <w:tc>
          <w:tcPr>
            <w:tcW w:w="1420" w:type="dxa"/>
            <w:tcBorders>
              <w:top w:val="nil"/>
              <w:left w:val="nil"/>
              <w:bottom w:val="single" w:sz="8" w:space="0" w:color="auto"/>
              <w:right w:val="single" w:sz="4" w:space="0" w:color="auto"/>
            </w:tcBorders>
            <w:shd w:val="clear" w:color="000000" w:fill="DDEBF7"/>
            <w:noWrap/>
            <w:vAlign w:val="center"/>
            <w:hideMark/>
          </w:tcPr>
          <w:p w14:paraId="28B618FC"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2.907.158.240</w:t>
            </w:r>
          </w:p>
        </w:tc>
        <w:tc>
          <w:tcPr>
            <w:tcW w:w="700" w:type="dxa"/>
            <w:tcBorders>
              <w:top w:val="nil"/>
              <w:left w:val="nil"/>
              <w:bottom w:val="single" w:sz="8" w:space="0" w:color="auto"/>
              <w:right w:val="single" w:sz="8" w:space="0" w:color="auto"/>
            </w:tcBorders>
            <w:shd w:val="clear" w:color="000000" w:fill="DDEBF7"/>
            <w:noWrap/>
            <w:vAlign w:val="center"/>
            <w:hideMark/>
          </w:tcPr>
          <w:p w14:paraId="6CE948A5" w14:textId="77777777" w:rsidR="002A7E48" w:rsidRPr="002A7E48" w:rsidRDefault="002A7E48" w:rsidP="002A7E48">
            <w:pPr>
              <w:spacing w:after="0" w:line="240" w:lineRule="auto"/>
              <w:rPr>
                <w:rFonts w:ascii="Arial" w:eastAsia="Calibri" w:hAnsi="Arial" w:cs="Arial"/>
                <w:b/>
                <w:bCs/>
                <w:sz w:val="18"/>
                <w:szCs w:val="18"/>
              </w:rPr>
            </w:pPr>
            <w:r w:rsidRPr="002A7E48">
              <w:rPr>
                <w:rFonts w:ascii="Arial" w:eastAsia="Calibri" w:hAnsi="Arial" w:cs="Arial"/>
                <w:b/>
                <w:bCs/>
                <w:sz w:val="18"/>
                <w:szCs w:val="18"/>
              </w:rPr>
              <w:t>87%</w:t>
            </w:r>
          </w:p>
        </w:tc>
      </w:tr>
    </w:tbl>
    <w:p w14:paraId="062D5D32" w14:textId="77777777" w:rsidR="002A7E48" w:rsidRPr="002A7E48" w:rsidRDefault="002A7E48" w:rsidP="002A7E48">
      <w:pPr>
        <w:spacing w:after="0" w:line="240" w:lineRule="auto"/>
        <w:rPr>
          <w:rFonts w:ascii="Arial" w:eastAsia="Calibri" w:hAnsi="Arial" w:cs="Arial"/>
          <w:sz w:val="20"/>
          <w:szCs w:val="20"/>
        </w:rPr>
      </w:pPr>
    </w:p>
    <w:p w14:paraId="155CFC11"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Z odločitvami o podpori odobrena sredstva presegajo razpoložljive pravice porabe (preko 100 %), skladno z določilom o varnostni rezervi, ki izhaja iz 18. člena Uredbe o porabi sredstev evropske kohezijske politike v Republiki Sloveniji v programskem obdobju 2014–2020 za cilj naložbe za rast in delovna mesta. Namen varnostne rezerve je, da končna praviloma nižja realizacija povračil iz evropskega proračuna (zaradi ugotovljenih neupravičenih izdatkov, nižje realiziranih izplačil od načrtovanih, odstopov od sofinanciranja ipd.) še vedno omogoči 100 % porabo razpoložljivih sredstev in doseganje ciljev OP EKP (gre za t.i. overcommitment, ki pomeni zagotavljanje dodatnih pravic porabe nad pravicami porabe OP EKP in je potrebno na prednostnih naložbah, kjer je višje tveganje za nedoseganje 100 % črpanja EU sredstev). MKRR v vlogi OU redno spremlja izvajanje OP EKP in sprejema ustrezne ukrepe z namenom 100 % porabe razpoložljivih sredstev in doseganja ciljev OP EKP.</w:t>
      </w:r>
    </w:p>
    <w:p w14:paraId="2B3ED4CB" w14:textId="77777777" w:rsidR="002A7E48" w:rsidRPr="002A7E48" w:rsidRDefault="002A7E48" w:rsidP="002A7E48">
      <w:pPr>
        <w:spacing w:after="0" w:line="240" w:lineRule="auto"/>
        <w:jc w:val="both"/>
        <w:rPr>
          <w:rFonts w:ascii="Arial" w:eastAsia="Calibri" w:hAnsi="Arial" w:cs="Arial"/>
          <w:sz w:val="20"/>
          <w:szCs w:val="20"/>
        </w:rPr>
      </w:pPr>
    </w:p>
    <w:p w14:paraId="24764790"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Iz finančnih podatkov je možno razbrati, da je razen v okviru PO 16 React EU ESS delež potrjenih operacij relativno visok. V okviru določenih prednostnih osi vrednost potrjenih operacij presega 100 % glede na trenutna razpoložljiva sredstva, razlog za to je v že omenjenem overcommitmentu ter tudi v ukrepih za odpravo ali lajšanje posledic epidemije COVID-19. Za razliko od potrjenih operacij stanje glede izplačil iz državnega proračuna ni zadovoljivo v okviru PO 2, 4, 5, 7 ter obeh osi za izvajanje mehanizma React EU (PO 15 in PO 16). V nadaljevanju so opredeljeni predlogi sprememb, ki so potrebne z namenom zagotavljanja črpanja vseh razpoložljivih sredstev v okviru OP EKP 2014 – 2020.</w:t>
      </w:r>
    </w:p>
    <w:p w14:paraId="68A434A7" w14:textId="77777777" w:rsidR="002A7E48" w:rsidRPr="002A7E48" w:rsidRDefault="002A7E48" w:rsidP="002A7E48">
      <w:pPr>
        <w:spacing w:after="0" w:line="240" w:lineRule="auto"/>
        <w:jc w:val="both"/>
        <w:rPr>
          <w:rFonts w:ascii="Arial" w:eastAsia="Calibri" w:hAnsi="Arial" w:cs="Arial"/>
          <w:sz w:val="20"/>
          <w:szCs w:val="20"/>
        </w:rPr>
      </w:pPr>
    </w:p>
    <w:p w14:paraId="7E84E699" w14:textId="77777777" w:rsidR="002A7E48" w:rsidRPr="002A7E48" w:rsidRDefault="002A7E48" w:rsidP="002A7E48">
      <w:pPr>
        <w:spacing w:after="0" w:line="240" w:lineRule="auto"/>
        <w:jc w:val="both"/>
        <w:rPr>
          <w:rFonts w:ascii="Arial" w:eastAsia="Calibri" w:hAnsi="Arial" w:cs="Arial"/>
          <w:sz w:val="20"/>
          <w:szCs w:val="20"/>
        </w:rPr>
      </w:pPr>
    </w:p>
    <w:p w14:paraId="4B8F660E" w14:textId="77777777" w:rsidR="002A7E48" w:rsidRPr="002A7E48" w:rsidRDefault="002A7E48" w:rsidP="002A7E48">
      <w:pPr>
        <w:spacing w:after="0" w:line="240" w:lineRule="auto"/>
        <w:jc w:val="both"/>
        <w:rPr>
          <w:rFonts w:ascii="Arial" w:eastAsia="Calibri" w:hAnsi="Arial" w:cs="Arial"/>
          <w:sz w:val="20"/>
          <w:szCs w:val="20"/>
        </w:rPr>
      </w:pPr>
    </w:p>
    <w:p w14:paraId="574B0545" w14:textId="77777777" w:rsidR="002A7E48" w:rsidRPr="002A7E48" w:rsidRDefault="002A7E48" w:rsidP="002A7E48">
      <w:pPr>
        <w:spacing w:after="0" w:line="240" w:lineRule="auto"/>
        <w:rPr>
          <w:rFonts w:ascii="Arial" w:eastAsia="Calibri" w:hAnsi="Arial" w:cs="Arial"/>
          <w:sz w:val="20"/>
          <w:szCs w:val="20"/>
        </w:rPr>
      </w:pPr>
    </w:p>
    <w:p w14:paraId="74160E44" w14:textId="77777777" w:rsidR="002A7E48" w:rsidRPr="002A7E48" w:rsidRDefault="002A7E48" w:rsidP="002A7E48">
      <w:pPr>
        <w:spacing w:after="0" w:line="240" w:lineRule="auto"/>
        <w:rPr>
          <w:rFonts w:ascii="Arial" w:eastAsia="Calibri" w:hAnsi="Arial" w:cs="Arial"/>
          <w:sz w:val="20"/>
          <w:szCs w:val="20"/>
        </w:rPr>
      </w:pPr>
    </w:p>
    <w:p w14:paraId="0D2E3D9E" w14:textId="77777777" w:rsidR="002A7E48" w:rsidRPr="002A7E48" w:rsidRDefault="002A7E48" w:rsidP="002A7E48">
      <w:pPr>
        <w:spacing w:after="0" w:line="240" w:lineRule="auto"/>
        <w:rPr>
          <w:rFonts w:ascii="Arial" w:eastAsia="Calibri" w:hAnsi="Arial" w:cs="Arial"/>
          <w:sz w:val="20"/>
          <w:szCs w:val="20"/>
        </w:rPr>
      </w:pPr>
    </w:p>
    <w:p w14:paraId="41FE9411" w14:textId="77777777" w:rsidR="002A7E48" w:rsidRPr="002A7E48" w:rsidRDefault="002A7E48" w:rsidP="002A7E48">
      <w:pPr>
        <w:spacing w:after="0" w:line="240" w:lineRule="auto"/>
        <w:rPr>
          <w:rFonts w:ascii="Arial" w:eastAsia="Calibri" w:hAnsi="Arial" w:cs="Arial"/>
          <w:sz w:val="20"/>
          <w:szCs w:val="20"/>
        </w:rPr>
        <w:sectPr w:rsidR="002A7E48" w:rsidRPr="002A7E48" w:rsidSect="003F084F">
          <w:footerReference w:type="default" r:id="rId10"/>
          <w:pgSz w:w="11906" w:h="16838"/>
          <w:pgMar w:top="1417" w:right="1417" w:bottom="1417" w:left="1417" w:header="708" w:footer="708" w:gutter="0"/>
          <w:cols w:space="708"/>
          <w:docGrid w:linePitch="360"/>
        </w:sectPr>
      </w:pPr>
    </w:p>
    <w:p w14:paraId="5E831675" w14:textId="77777777" w:rsidR="002A7E48" w:rsidRPr="002A7E48" w:rsidRDefault="002A7E48" w:rsidP="002A7E48">
      <w:pPr>
        <w:spacing w:after="0" w:line="240" w:lineRule="auto"/>
        <w:rPr>
          <w:rFonts w:ascii="Arial" w:eastAsia="Calibri" w:hAnsi="Arial" w:cs="Arial"/>
          <w:sz w:val="20"/>
          <w:szCs w:val="20"/>
        </w:rPr>
      </w:pPr>
    </w:p>
    <w:p w14:paraId="66016EE1" w14:textId="77777777" w:rsidR="002A7E48" w:rsidRPr="002A7E48" w:rsidRDefault="002A7E48" w:rsidP="002A7E48">
      <w:pPr>
        <w:keepNext/>
        <w:keepLines/>
        <w:spacing w:after="0" w:line="240" w:lineRule="auto"/>
        <w:outlineLvl w:val="1"/>
        <w:rPr>
          <w:rFonts w:ascii="Arial" w:eastAsia="Times New Roman" w:hAnsi="Arial" w:cs="Times New Roman"/>
          <w:b/>
          <w:sz w:val="24"/>
          <w:szCs w:val="26"/>
        </w:rPr>
      </w:pPr>
      <w:r w:rsidRPr="002A7E48">
        <w:rPr>
          <w:rFonts w:ascii="Arial" w:eastAsia="Times New Roman" w:hAnsi="Arial" w:cs="Times New Roman"/>
          <w:b/>
          <w:sz w:val="24"/>
          <w:szCs w:val="26"/>
        </w:rPr>
        <w:t>2. PREDLOGI VSEBINSKIH IN FINANČNIH PRERAZPOREDITEV</w:t>
      </w:r>
    </w:p>
    <w:p w14:paraId="6007888D" w14:textId="77777777" w:rsidR="002A7E48" w:rsidRPr="002A7E48" w:rsidRDefault="002A7E48" w:rsidP="002A7E48">
      <w:pPr>
        <w:spacing w:after="0" w:line="240" w:lineRule="auto"/>
        <w:rPr>
          <w:rFonts w:ascii="Arial" w:eastAsia="Calibri" w:hAnsi="Arial" w:cs="Arial"/>
          <w:sz w:val="20"/>
          <w:szCs w:val="20"/>
        </w:rPr>
      </w:pPr>
    </w:p>
    <w:p w14:paraId="1C0E68C2" w14:textId="77777777" w:rsidR="002A7E48" w:rsidRPr="002A7E48" w:rsidRDefault="002A7E48" w:rsidP="002A7E48">
      <w:pPr>
        <w:spacing w:after="0" w:line="240" w:lineRule="auto"/>
        <w:rPr>
          <w:rFonts w:ascii="Arial" w:eastAsia="Calibri" w:hAnsi="Arial" w:cs="Arial"/>
          <w:b/>
          <w:sz w:val="20"/>
          <w:szCs w:val="20"/>
        </w:rPr>
      </w:pPr>
      <w:r w:rsidRPr="002A7E48">
        <w:rPr>
          <w:rFonts w:ascii="Arial" w:eastAsia="Calibri" w:hAnsi="Arial" w:cs="Arial"/>
          <w:b/>
          <w:sz w:val="20"/>
          <w:szCs w:val="20"/>
        </w:rPr>
        <w:t>Tabela 3: Predlogi finančnih prerazporeditev, ki so v nadaljevanju pojasnjeni</w:t>
      </w:r>
    </w:p>
    <w:tbl>
      <w:tblPr>
        <w:tblW w:w="15163" w:type="dxa"/>
        <w:tblInd w:w="75" w:type="dxa"/>
        <w:tblCellMar>
          <w:left w:w="70" w:type="dxa"/>
          <w:right w:w="70" w:type="dxa"/>
        </w:tblCellMar>
        <w:tblLook w:val="04A0" w:firstRow="1" w:lastRow="0" w:firstColumn="1" w:lastColumn="0" w:noHBand="0" w:noVBand="1"/>
      </w:tblPr>
      <w:tblGrid>
        <w:gridCol w:w="380"/>
        <w:gridCol w:w="620"/>
        <w:gridCol w:w="980"/>
        <w:gridCol w:w="1164"/>
        <w:gridCol w:w="1164"/>
        <w:gridCol w:w="550"/>
        <w:gridCol w:w="1164"/>
        <w:gridCol w:w="550"/>
        <w:gridCol w:w="1164"/>
        <w:gridCol w:w="1164"/>
        <w:gridCol w:w="1160"/>
        <w:gridCol w:w="1164"/>
        <w:gridCol w:w="962"/>
        <w:gridCol w:w="2977"/>
      </w:tblGrid>
      <w:tr w:rsidR="002A7E48" w:rsidRPr="002A7E48" w14:paraId="14F90FAE" w14:textId="77777777" w:rsidTr="0042240D">
        <w:trPr>
          <w:trHeight w:val="1200"/>
        </w:trPr>
        <w:tc>
          <w:tcPr>
            <w:tcW w:w="380" w:type="dxa"/>
            <w:tcBorders>
              <w:top w:val="single" w:sz="4" w:space="0" w:color="auto"/>
              <w:left w:val="single" w:sz="4" w:space="0" w:color="auto"/>
              <w:bottom w:val="single" w:sz="4" w:space="0" w:color="auto"/>
              <w:right w:val="single" w:sz="4" w:space="0" w:color="auto"/>
            </w:tcBorders>
            <w:shd w:val="clear" w:color="000000" w:fill="BFBFBF"/>
            <w:vAlign w:val="bottom"/>
            <w:hideMark/>
          </w:tcPr>
          <w:p w14:paraId="6FD5A4A7"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PO</w:t>
            </w:r>
          </w:p>
        </w:tc>
        <w:tc>
          <w:tcPr>
            <w:tcW w:w="620" w:type="dxa"/>
            <w:tcBorders>
              <w:top w:val="single" w:sz="4" w:space="0" w:color="auto"/>
              <w:left w:val="nil"/>
              <w:bottom w:val="single" w:sz="4" w:space="0" w:color="auto"/>
              <w:right w:val="single" w:sz="4" w:space="0" w:color="auto"/>
            </w:tcBorders>
            <w:shd w:val="clear" w:color="000000" w:fill="BFBFBF"/>
            <w:vAlign w:val="bottom"/>
            <w:hideMark/>
          </w:tcPr>
          <w:p w14:paraId="721A9420"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Sklad</w:t>
            </w:r>
          </w:p>
        </w:tc>
        <w:tc>
          <w:tcPr>
            <w:tcW w:w="980" w:type="dxa"/>
            <w:tcBorders>
              <w:top w:val="single" w:sz="4" w:space="0" w:color="auto"/>
              <w:left w:val="nil"/>
              <w:bottom w:val="single" w:sz="4" w:space="0" w:color="auto"/>
              <w:right w:val="single" w:sz="4" w:space="0" w:color="auto"/>
            </w:tcBorders>
            <w:shd w:val="clear" w:color="000000" w:fill="BFBFBF"/>
            <w:vAlign w:val="bottom"/>
            <w:hideMark/>
          </w:tcPr>
          <w:p w14:paraId="00B17A67"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Regija</w:t>
            </w:r>
          </w:p>
        </w:tc>
        <w:tc>
          <w:tcPr>
            <w:tcW w:w="1164" w:type="dxa"/>
            <w:tcBorders>
              <w:top w:val="single" w:sz="4" w:space="0" w:color="auto"/>
              <w:left w:val="nil"/>
              <w:bottom w:val="single" w:sz="4" w:space="0" w:color="auto"/>
              <w:right w:val="single" w:sz="4" w:space="0" w:color="auto"/>
            </w:tcBorders>
            <w:shd w:val="clear" w:color="000000" w:fill="BFBFBF"/>
            <w:vAlign w:val="bottom"/>
            <w:hideMark/>
          </w:tcPr>
          <w:p w14:paraId="33B16EC0"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Pravice porabe</w:t>
            </w:r>
          </w:p>
        </w:tc>
        <w:tc>
          <w:tcPr>
            <w:tcW w:w="1164" w:type="dxa"/>
            <w:tcBorders>
              <w:top w:val="single" w:sz="4" w:space="0" w:color="auto"/>
              <w:left w:val="nil"/>
              <w:bottom w:val="single" w:sz="4" w:space="0" w:color="auto"/>
              <w:right w:val="single" w:sz="4" w:space="0" w:color="auto"/>
            </w:tcBorders>
            <w:shd w:val="clear" w:color="000000" w:fill="BFBFBF"/>
            <w:vAlign w:val="bottom"/>
            <w:hideMark/>
          </w:tcPr>
          <w:p w14:paraId="38F29178"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xml:space="preserve">Potrjene operacije, </w:t>
            </w:r>
          </w:p>
          <w:p w14:paraId="4CC38624"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30. 4. 23</w:t>
            </w:r>
          </w:p>
        </w:tc>
        <w:tc>
          <w:tcPr>
            <w:tcW w:w="550" w:type="dxa"/>
            <w:tcBorders>
              <w:top w:val="single" w:sz="4" w:space="0" w:color="auto"/>
              <w:left w:val="nil"/>
              <w:bottom w:val="single" w:sz="4" w:space="0" w:color="auto"/>
              <w:right w:val="single" w:sz="4" w:space="0" w:color="auto"/>
            </w:tcBorders>
            <w:shd w:val="clear" w:color="000000" w:fill="BFBFBF"/>
            <w:vAlign w:val="bottom"/>
            <w:hideMark/>
          </w:tcPr>
          <w:p w14:paraId="03FDF7A3"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w:t>
            </w:r>
          </w:p>
        </w:tc>
        <w:tc>
          <w:tcPr>
            <w:tcW w:w="1164" w:type="dxa"/>
            <w:tcBorders>
              <w:top w:val="single" w:sz="4" w:space="0" w:color="auto"/>
              <w:left w:val="nil"/>
              <w:bottom w:val="single" w:sz="4" w:space="0" w:color="auto"/>
              <w:right w:val="single" w:sz="4" w:space="0" w:color="auto"/>
            </w:tcBorders>
            <w:shd w:val="clear" w:color="000000" w:fill="BFBFBF"/>
            <w:vAlign w:val="bottom"/>
            <w:hideMark/>
          </w:tcPr>
          <w:p w14:paraId="4111D28D"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Izplačila iz DP, 30. 4. 23</w:t>
            </w:r>
          </w:p>
        </w:tc>
        <w:tc>
          <w:tcPr>
            <w:tcW w:w="550" w:type="dxa"/>
            <w:tcBorders>
              <w:top w:val="single" w:sz="4" w:space="0" w:color="auto"/>
              <w:left w:val="nil"/>
              <w:bottom w:val="single" w:sz="4" w:space="0" w:color="auto"/>
              <w:right w:val="single" w:sz="4" w:space="0" w:color="auto"/>
            </w:tcBorders>
            <w:shd w:val="clear" w:color="000000" w:fill="BFBFBF"/>
            <w:vAlign w:val="bottom"/>
            <w:hideMark/>
          </w:tcPr>
          <w:p w14:paraId="63C736C0"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w:t>
            </w:r>
          </w:p>
        </w:tc>
        <w:tc>
          <w:tcPr>
            <w:tcW w:w="1164" w:type="dxa"/>
            <w:tcBorders>
              <w:top w:val="single" w:sz="4" w:space="0" w:color="auto"/>
              <w:left w:val="nil"/>
              <w:bottom w:val="single" w:sz="4" w:space="0" w:color="auto"/>
              <w:right w:val="single" w:sz="4" w:space="0" w:color="auto"/>
            </w:tcBorders>
            <w:shd w:val="clear" w:color="000000" w:fill="BFBFBF"/>
            <w:vAlign w:val="bottom"/>
            <w:hideMark/>
          </w:tcPr>
          <w:p w14:paraId="6C8C412F"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Pravice porabe, verzija 8.0</w:t>
            </w:r>
          </w:p>
        </w:tc>
        <w:tc>
          <w:tcPr>
            <w:tcW w:w="1164" w:type="dxa"/>
            <w:tcBorders>
              <w:top w:val="single" w:sz="4" w:space="0" w:color="auto"/>
              <w:left w:val="nil"/>
              <w:bottom w:val="single" w:sz="4" w:space="0" w:color="auto"/>
              <w:right w:val="single" w:sz="4" w:space="0" w:color="auto"/>
            </w:tcBorders>
            <w:shd w:val="clear" w:color="000000" w:fill="BFBFBF"/>
            <w:vAlign w:val="bottom"/>
            <w:hideMark/>
          </w:tcPr>
          <w:p w14:paraId="5BAD9551"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xml:space="preserve">Potrjene operacije, </w:t>
            </w:r>
          </w:p>
          <w:p w14:paraId="2D463E56"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30. 4. 23</w:t>
            </w:r>
          </w:p>
        </w:tc>
        <w:tc>
          <w:tcPr>
            <w:tcW w:w="1160" w:type="dxa"/>
            <w:tcBorders>
              <w:top w:val="single" w:sz="4" w:space="0" w:color="auto"/>
              <w:left w:val="nil"/>
              <w:bottom w:val="single" w:sz="4" w:space="0" w:color="auto"/>
              <w:right w:val="single" w:sz="4" w:space="0" w:color="auto"/>
            </w:tcBorders>
            <w:shd w:val="clear" w:color="000000" w:fill="BFBFBF"/>
            <w:vAlign w:val="bottom"/>
            <w:hideMark/>
          </w:tcPr>
          <w:p w14:paraId="7AD23105"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potrjenih operacij glede na pra vice porabe, 8.0</w:t>
            </w:r>
          </w:p>
        </w:tc>
        <w:tc>
          <w:tcPr>
            <w:tcW w:w="1164" w:type="dxa"/>
            <w:tcBorders>
              <w:top w:val="single" w:sz="4" w:space="0" w:color="auto"/>
              <w:left w:val="nil"/>
              <w:bottom w:val="single" w:sz="4" w:space="0" w:color="auto"/>
              <w:right w:val="single" w:sz="4" w:space="0" w:color="auto"/>
            </w:tcBorders>
            <w:shd w:val="clear" w:color="000000" w:fill="BFBFBF"/>
            <w:vAlign w:val="bottom"/>
            <w:hideMark/>
          </w:tcPr>
          <w:p w14:paraId="6CAF8D77"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Izplačila iz DP, 30. 4. 23</w:t>
            </w:r>
          </w:p>
        </w:tc>
        <w:tc>
          <w:tcPr>
            <w:tcW w:w="962" w:type="dxa"/>
            <w:tcBorders>
              <w:top w:val="single" w:sz="4" w:space="0" w:color="auto"/>
              <w:left w:val="nil"/>
              <w:bottom w:val="single" w:sz="4" w:space="0" w:color="auto"/>
              <w:right w:val="single" w:sz="4" w:space="0" w:color="auto"/>
            </w:tcBorders>
            <w:shd w:val="clear" w:color="000000" w:fill="BFBFBF"/>
            <w:vAlign w:val="bottom"/>
            <w:hideMark/>
          </w:tcPr>
          <w:p w14:paraId="25D309CA"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izplačil iz DP glede na pravice porabe, 8.0</w:t>
            </w:r>
          </w:p>
        </w:tc>
        <w:tc>
          <w:tcPr>
            <w:tcW w:w="2977" w:type="dxa"/>
            <w:tcBorders>
              <w:top w:val="single" w:sz="4" w:space="0" w:color="auto"/>
              <w:left w:val="nil"/>
              <w:bottom w:val="single" w:sz="4" w:space="0" w:color="auto"/>
              <w:right w:val="single" w:sz="4" w:space="0" w:color="auto"/>
            </w:tcBorders>
            <w:shd w:val="clear" w:color="auto" w:fill="auto"/>
            <w:vAlign w:val="bottom"/>
            <w:hideMark/>
          </w:tcPr>
          <w:p w14:paraId="2C2B5217"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Opombe</w:t>
            </w:r>
          </w:p>
        </w:tc>
      </w:tr>
      <w:tr w:rsidR="002A7E48" w:rsidRPr="002A7E48" w14:paraId="0B30D082" w14:textId="77777777" w:rsidTr="0042240D">
        <w:trPr>
          <w:trHeight w:val="30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14:paraId="31DB3917"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w:t>
            </w:r>
          </w:p>
        </w:tc>
        <w:tc>
          <w:tcPr>
            <w:tcW w:w="620" w:type="dxa"/>
            <w:tcBorders>
              <w:top w:val="nil"/>
              <w:left w:val="nil"/>
              <w:bottom w:val="single" w:sz="4" w:space="0" w:color="auto"/>
              <w:right w:val="single" w:sz="4" w:space="0" w:color="auto"/>
            </w:tcBorders>
            <w:shd w:val="clear" w:color="auto" w:fill="auto"/>
            <w:noWrap/>
            <w:vAlign w:val="bottom"/>
            <w:hideMark/>
          </w:tcPr>
          <w:p w14:paraId="4229E7A5"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ESRR</w:t>
            </w:r>
          </w:p>
        </w:tc>
        <w:tc>
          <w:tcPr>
            <w:tcW w:w="980" w:type="dxa"/>
            <w:tcBorders>
              <w:top w:val="nil"/>
              <w:left w:val="nil"/>
              <w:bottom w:val="single" w:sz="4" w:space="0" w:color="auto"/>
              <w:right w:val="single" w:sz="4" w:space="0" w:color="auto"/>
            </w:tcBorders>
            <w:shd w:val="clear" w:color="auto" w:fill="auto"/>
            <w:noWrap/>
            <w:vAlign w:val="bottom"/>
            <w:hideMark/>
          </w:tcPr>
          <w:p w14:paraId="5CA878EF"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Vzhod</w:t>
            </w:r>
          </w:p>
        </w:tc>
        <w:tc>
          <w:tcPr>
            <w:tcW w:w="1164" w:type="dxa"/>
            <w:tcBorders>
              <w:top w:val="nil"/>
              <w:left w:val="nil"/>
              <w:bottom w:val="single" w:sz="4" w:space="0" w:color="auto"/>
              <w:right w:val="single" w:sz="4" w:space="0" w:color="auto"/>
            </w:tcBorders>
            <w:shd w:val="clear" w:color="auto" w:fill="auto"/>
            <w:noWrap/>
            <w:vAlign w:val="bottom"/>
            <w:hideMark/>
          </w:tcPr>
          <w:p w14:paraId="46345A6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283.678.684</w:t>
            </w:r>
          </w:p>
        </w:tc>
        <w:tc>
          <w:tcPr>
            <w:tcW w:w="1164" w:type="dxa"/>
            <w:tcBorders>
              <w:top w:val="nil"/>
              <w:left w:val="nil"/>
              <w:bottom w:val="single" w:sz="4" w:space="0" w:color="auto"/>
              <w:right w:val="single" w:sz="4" w:space="0" w:color="auto"/>
            </w:tcBorders>
            <w:shd w:val="clear" w:color="auto" w:fill="auto"/>
            <w:noWrap/>
            <w:vAlign w:val="bottom"/>
            <w:hideMark/>
          </w:tcPr>
          <w:p w14:paraId="617D7C6E"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267.876.245</w:t>
            </w:r>
          </w:p>
        </w:tc>
        <w:tc>
          <w:tcPr>
            <w:tcW w:w="550" w:type="dxa"/>
            <w:tcBorders>
              <w:top w:val="nil"/>
              <w:left w:val="nil"/>
              <w:bottom w:val="single" w:sz="4" w:space="0" w:color="auto"/>
              <w:right w:val="single" w:sz="4" w:space="0" w:color="auto"/>
            </w:tcBorders>
            <w:shd w:val="clear" w:color="auto" w:fill="auto"/>
            <w:noWrap/>
            <w:vAlign w:val="bottom"/>
            <w:hideMark/>
          </w:tcPr>
          <w:p w14:paraId="261B85B1"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94%</w:t>
            </w:r>
          </w:p>
        </w:tc>
        <w:tc>
          <w:tcPr>
            <w:tcW w:w="1164" w:type="dxa"/>
            <w:tcBorders>
              <w:top w:val="nil"/>
              <w:left w:val="nil"/>
              <w:bottom w:val="single" w:sz="4" w:space="0" w:color="auto"/>
              <w:right w:val="single" w:sz="4" w:space="0" w:color="auto"/>
            </w:tcBorders>
            <w:shd w:val="clear" w:color="auto" w:fill="auto"/>
            <w:noWrap/>
            <w:vAlign w:val="bottom"/>
            <w:hideMark/>
          </w:tcPr>
          <w:p w14:paraId="08E4A933"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237.870.175</w:t>
            </w:r>
          </w:p>
        </w:tc>
        <w:tc>
          <w:tcPr>
            <w:tcW w:w="550" w:type="dxa"/>
            <w:tcBorders>
              <w:top w:val="nil"/>
              <w:left w:val="nil"/>
              <w:bottom w:val="single" w:sz="4" w:space="0" w:color="auto"/>
              <w:right w:val="single" w:sz="4" w:space="0" w:color="auto"/>
            </w:tcBorders>
            <w:shd w:val="clear" w:color="auto" w:fill="auto"/>
            <w:noWrap/>
            <w:vAlign w:val="bottom"/>
            <w:hideMark/>
          </w:tcPr>
          <w:p w14:paraId="473BD175"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84%</w:t>
            </w:r>
          </w:p>
        </w:tc>
        <w:tc>
          <w:tcPr>
            <w:tcW w:w="1164" w:type="dxa"/>
            <w:tcBorders>
              <w:top w:val="nil"/>
              <w:left w:val="nil"/>
              <w:bottom w:val="single" w:sz="4" w:space="0" w:color="auto"/>
              <w:right w:val="single" w:sz="4" w:space="0" w:color="auto"/>
            </w:tcBorders>
            <w:shd w:val="clear" w:color="auto" w:fill="auto"/>
            <w:noWrap/>
            <w:vAlign w:val="bottom"/>
            <w:hideMark/>
          </w:tcPr>
          <w:p w14:paraId="5CDF5DB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283.678.684</w:t>
            </w:r>
          </w:p>
        </w:tc>
        <w:tc>
          <w:tcPr>
            <w:tcW w:w="1164" w:type="dxa"/>
            <w:tcBorders>
              <w:top w:val="nil"/>
              <w:left w:val="nil"/>
              <w:bottom w:val="single" w:sz="4" w:space="0" w:color="auto"/>
              <w:right w:val="single" w:sz="4" w:space="0" w:color="auto"/>
            </w:tcBorders>
            <w:shd w:val="clear" w:color="auto" w:fill="auto"/>
            <w:noWrap/>
            <w:vAlign w:val="bottom"/>
            <w:hideMark/>
          </w:tcPr>
          <w:p w14:paraId="001B9BD0"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267.876.245</w:t>
            </w:r>
          </w:p>
        </w:tc>
        <w:tc>
          <w:tcPr>
            <w:tcW w:w="1160" w:type="dxa"/>
            <w:tcBorders>
              <w:top w:val="nil"/>
              <w:left w:val="nil"/>
              <w:bottom w:val="single" w:sz="4" w:space="0" w:color="auto"/>
              <w:right w:val="single" w:sz="4" w:space="0" w:color="auto"/>
            </w:tcBorders>
            <w:shd w:val="clear" w:color="auto" w:fill="auto"/>
            <w:noWrap/>
            <w:vAlign w:val="bottom"/>
            <w:hideMark/>
          </w:tcPr>
          <w:p w14:paraId="3E353BF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94</w:t>
            </w:r>
          </w:p>
        </w:tc>
        <w:tc>
          <w:tcPr>
            <w:tcW w:w="1164" w:type="dxa"/>
            <w:tcBorders>
              <w:top w:val="nil"/>
              <w:left w:val="nil"/>
              <w:bottom w:val="single" w:sz="4" w:space="0" w:color="auto"/>
              <w:right w:val="single" w:sz="4" w:space="0" w:color="auto"/>
            </w:tcBorders>
            <w:shd w:val="clear" w:color="auto" w:fill="auto"/>
            <w:noWrap/>
            <w:vAlign w:val="bottom"/>
            <w:hideMark/>
          </w:tcPr>
          <w:p w14:paraId="1B4AAF41"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237.870.175</w:t>
            </w:r>
          </w:p>
        </w:tc>
        <w:tc>
          <w:tcPr>
            <w:tcW w:w="962" w:type="dxa"/>
            <w:tcBorders>
              <w:top w:val="nil"/>
              <w:left w:val="nil"/>
              <w:bottom w:val="single" w:sz="4" w:space="0" w:color="auto"/>
              <w:right w:val="single" w:sz="4" w:space="0" w:color="auto"/>
            </w:tcBorders>
            <w:shd w:val="clear" w:color="auto" w:fill="auto"/>
            <w:noWrap/>
            <w:vAlign w:val="bottom"/>
            <w:hideMark/>
          </w:tcPr>
          <w:p w14:paraId="1B3212C7"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84%</w:t>
            </w:r>
          </w:p>
        </w:tc>
        <w:tc>
          <w:tcPr>
            <w:tcW w:w="2977" w:type="dxa"/>
            <w:tcBorders>
              <w:top w:val="nil"/>
              <w:left w:val="nil"/>
              <w:bottom w:val="single" w:sz="4" w:space="0" w:color="auto"/>
              <w:right w:val="single" w:sz="4" w:space="0" w:color="auto"/>
            </w:tcBorders>
            <w:shd w:val="clear" w:color="auto" w:fill="auto"/>
            <w:vAlign w:val="bottom"/>
            <w:hideMark/>
          </w:tcPr>
          <w:p w14:paraId="6B071EAD"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r>
      <w:tr w:rsidR="002A7E48" w:rsidRPr="002A7E48" w14:paraId="11166E93" w14:textId="77777777" w:rsidTr="0042240D">
        <w:trPr>
          <w:trHeight w:val="30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14:paraId="6ABBAFDD"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c>
          <w:tcPr>
            <w:tcW w:w="620" w:type="dxa"/>
            <w:tcBorders>
              <w:top w:val="nil"/>
              <w:left w:val="nil"/>
              <w:bottom w:val="single" w:sz="4" w:space="0" w:color="auto"/>
              <w:right w:val="single" w:sz="4" w:space="0" w:color="auto"/>
            </w:tcBorders>
            <w:shd w:val="clear" w:color="auto" w:fill="auto"/>
            <w:noWrap/>
            <w:vAlign w:val="bottom"/>
            <w:hideMark/>
          </w:tcPr>
          <w:p w14:paraId="3D56AAAB"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ESRR</w:t>
            </w:r>
          </w:p>
        </w:tc>
        <w:tc>
          <w:tcPr>
            <w:tcW w:w="980" w:type="dxa"/>
            <w:tcBorders>
              <w:top w:val="nil"/>
              <w:left w:val="nil"/>
              <w:bottom w:val="single" w:sz="4" w:space="0" w:color="auto"/>
              <w:right w:val="single" w:sz="4" w:space="0" w:color="auto"/>
            </w:tcBorders>
            <w:shd w:val="clear" w:color="auto" w:fill="auto"/>
            <w:noWrap/>
            <w:vAlign w:val="bottom"/>
            <w:hideMark/>
          </w:tcPr>
          <w:p w14:paraId="40DE45DA"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Zahod</w:t>
            </w:r>
          </w:p>
        </w:tc>
        <w:tc>
          <w:tcPr>
            <w:tcW w:w="1164" w:type="dxa"/>
            <w:tcBorders>
              <w:top w:val="nil"/>
              <w:left w:val="nil"/>
              <w:bottom w:val="single" w:sz="4" w:space="0" w:color="auto"/>
              <w:right w:val="single" w:sz="4" w:space="0" w:color="auto"/>
            </w:tcBorders>
            <w:shd w:val="clear" w:color="auto" w:fill="auto"/>
            <w:noWrap/>
            <w:vAlign w:val="bottom"/>
            <w:hideMark/>
          </w:tcPr>
          <w:p w14:paraId="2A2A8CF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214.608.166</w:t>
            </w:r>
          </w:p>
        </w:tc>
        <w:tc>
          <w:tcPr>
            <w:tcW w:w="1164" w:type="dxa"/>
            <w:tcBorders>
              <w:top w:val="nil"/>
              <w:left w:val="nil"/>
              <w:bottom w:val="single" w:sz="4" w:space="0" w:color="auto"/>
              <w:right w:val="single" w:sz="4" w:space="0" w:color="auto"/>
            </w:tcBorders>
            <w:shd w:val="clear" w:color="auto" w:fill="auto"/>
            <w:noWrap/>
            <w:vAlign w:val="bottom"/>
            <w:hideMark/>
          </w:tcPr>
          <w:p w14:paraId="3D6ED897"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232.976.691</w:t>
            </w:r>
          </w:p>
        </w:tc>
        <w:tc>
          <w:tcPr>
            <w:tcW w:w="550" w:type="dxa"/>
            <w:tcBorders>
              <w:top w:val="nil"/>
              <w:left w:val="nil"/>
              <w:bottom w:val="single" w:sz="4" w:space="0" w:color="auto"/>
              <w:right w:val="single" w:sz="4" w:space="0" w:color="auto"/>
            </w:tcBorders>
            <w:shd w:val="clear" w:color="auto" w:fill="auto"/>
            <w:noWrap/>
            <w:vAlign w:val="bottom"/>
            <w:hideMark/>
          </w:tcPr>
          <w:p w14:paraId="6077F22B"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109%</w:t>
            </w:r>
          </w:p>
        </w:tc>
        <w:tc>
          <w:tcPr>
            <w:tcW w:w="1164" w:type="dxa"/>
            <w:tcBorders>
              <w:top w:val="nil"/>
              <w:left w:val="nil"/>
              <w:bottom w:val="single" w:sz="4" w:space="0" w:color="auto"/>
              <w:right w:val="single" w:sz="4" w:space="0" w:color="auto"/>
            </w:tcBorders>
            <w:shd w:val="clear" w:color="auto" w:fill="auto"/>
            <w:noWrap/>
            <w:vAlign w:val="bottom"/>
            <w:hideMark/>
          </w:tcPr>
          <w:p w14:paraId="7492493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208.412.101</w:t>
            </w:r>
          </w:p>
        </w:tc>
        <w:tc>
          <w:tcPr>
            <w:tcW w:w="550" w:type="dxa"/>
            <w:tcBorders>
              <w:top w:val="nil"/>
              <w:left w:val="nil"/>
              <w:bottom w:val="single" w:sz="4" w:space="0" w:color="auto"/>
              <w:right w:val="single" w:sz="4" w:space="0" w:color="auto"/>
            </w:tcBorders>
            <w:shd w:val="clear" w:color="auto" w:fill="auto"/>
            <w:noWrap/>
            <w:vAlign w:val="bottom"/>
            <w:hideMark/>
          </w:tcPr>
          <w:p w14:paraId="2B109F6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97%</w:t>
            </w:r>
          </w:p>
        </w:tc>
        <w:tc>
          <w:tcPr>
            <w:tcW w:w="1164" w:type="dxa"/>
            <w:tcBorders>
              <w:top w:val="nil"/>
              <w:left w:val="nil"/>
              <w:bottom w:val="single" w:sz="4" w:space="0" w:color="auto"/>
              <w:right w:val="single" w:sz="4" w:space="0" w:color="auto"/>
            </w:tcBorders>
            <w:shd w:val="clear" w:color="auto" w:fill="auto"/>
            <w:noWrap/>
            <w:vAlign w:val="bottom"/>
            <w:hideMark/>
          </w:tcPr>
          <w:p w14:paraId="37BFD7CF"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214.608.166</w:t>
            </w:r>
          </w:p>
        </w:tc>
        <w:tc>
          <w:tcPr>
            <w:tcW w:w="1164" w:type="dxa"/>
            <w:tcBorders>
              <w:top w:val="nil"/>
              <w:left w:val="nil"/>
              <w:bottom w:val="single" w:sz="4" w:space="0" w:color="auto"/>
              <w:right w:val="single" w:sz="4" w:space="0" w:color="auto"/>
            </w:tcBorders>
            <w:shd w:val="clear" w:color="auto" w:fill="auto"/>
            <w:noWrap/>
            <w:vAlign w:val="bottom"/>
            <w:hideMark/>
          </w:tcPr>
          <w:p w14:paraId="55C6EC2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232.976.691</w:t>
            </w:r>
          </w:p>
        </w:tc>
        <w:tc>
          <w:tcPr>
            <w:tcW w:w="1160" w:type="dxa"/>
            <w:tcBorders>
              <w:top w:val="nil"/>
              <w:left w:val="nil"/>
              <w:bottom w:val="single" w:sz="4" w:space="0" w:color="auto"/>
              <w:right w:val="single" w:sz="4" w:space="0" w:color="auto"/>
            </w:tcBorders>
            <w:shd w:val="clear" w:color="auto" w:fill="auto"/>
            <w:noWrap/>
            <w:vAlign w:val="bottom"/>
            <w:hideMark/>
          </w:tcPr>
          <w:p w14:paraId="4B5F5B3B"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109</w:t>
            </w:r>
          </w:p>
        </w:tc>
        <w:tc>
          <w:tcPr>
            <w:tcW w:w="1164" w:type="dxa"/>
            <w:tcBorders>
              <w:top w:val="nil"/>
              <w:left w:val="nil"/>
              <w:bottom w:val="single" w:sz="4" w:space="0" w:color="auto"/>
              <w:right w:val="single" w:sz="4" w:space="0" w:color="auto"/>
            </w:tcBorders>
            <w:shd w:val="clear" w:color="auto" w:fill="auto"/>
            <w:noWrap/>
            <w:vAlign w:val="bottom"/>
            <w:hideMark/>
          </w:tcPr>
          <w:p w14:paraId="243BBAF4"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208.412.101</w:t>
            </w:r>
          </w:p>
        </w:tc>
        <w:tc>
          <w:tcPr>
            <w:tcW w:w="962" w:type="dxa"/>
            <w:tcBorders>
              <w:top w:val="nil"/>
              <w:left w:val="nil"/>
              <w:bottom w:val="single" w:sz="4" w:space="0" w:color="auto"/>
              <w:right w:val="single" w:sz="4" w:space="0" w:color="auto"/>
            </w:tcBorders>
            <w:shd w:val="clear" w:color="auto" w:fill="auto"/>
            <w:noWrap/>
            <w:vAlign w:val="bottom"/>
            <w:hideMark/>
          </w:tcPr>
          <w:p w14:paraId="227FF849"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97%</w:t>
            </w:r>
          </w:p>
        </w:tc>
        <w:tc>
          <w:tcPr>
            <w:tcW w:w="2977" w:type="dxa"/>
            <w:tcBorders>
              <w:top w:val="nil"/>
              <w:left w:val="nil"/>
              <w:bottom w:val="single" w:sz="4" w:space="0" w:color="auto"/>
              <w:right w:val="single" w:sz="4" w:space="0" w:color="auto"/>
            </w:tcBorders>
            <w:shd w:val="clear" w:color="auto" w:fill="auto"/>
            <w:vAlign w:val="bottom"/>
            <w:hideMark/>
          </w:tcPr>
          <w:p w14:paraId="2264D39A"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r>
      <w:tr w:rsidR="002A7E48" w:rsidRPr="002A7E48" w14:paraId="7E90480A" w14:textId="77777777" w:rsidTr="0042240D">
        <w:trPr>
          <w:trHeight w:val="30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14:paraId="249CB6A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w:t>
            </w:r>
          </w:p>
        </w:tc>
        <w:tc>
          <w:tcPr>
            <w:tcW w:w="620" w:type="dxa"/>
            <w:tcBorders>
              <w:top w:val="nil"/>
              <w:left w:val="nil"/>
              <w:bottom w:val="single" w:sz="4" w:space="0" w:color="auto"/>
              <w:right w:val="single" w:sz="4" w:space="0" w:color="auto"/>
            </w:tcBorders>
            <w:shd w:val="clear" w:color="auto" w:fill="auto"/>
            <w:noWrap/>
            <w:vAlign w:val="bottom"/>
            <w:hideMark/>
          </w:tcPr>
          <w:p w14:paraId="2B17CF74"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ESRR</w:t>
            </w:r>
          </w:p>
        </w:tc>
        <w:tc>
          <w:tcPr>
            <w:tcW w:w="980" w:type="dxa"/>
            <w:tcBorders>
              <w:top w:val="nil"/>
              <w:left w:val="nil"/>
              <w:bottom w:val="single" w:sz="4" w:space="0" w:color="auto"/>
              <w:right w:val="single" w:sz="4" w:space="0" w:color="auto"/>
            </w:tcBorders>
            <w:shd w:val="clear" w:color="auto" w:fill="auto"/>
            <w:noWrap/>
            <w:vAlign w:val="bottom"/>
            <w:hideMark/>
          </w:tcPr>
          <w:p w14:paraId="4B7E641D"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Vzhod</w:t>
            </w:r>
          </w:p>
        </w:tc>
        <w:tc>
          <w:tcPr>
            <w:tcW w:w="1164" w:type="dxa"/>
            <w:tcBorders>
              <w:top w:val="nil"/>
              <w:left w:val="nil"/>
              <w:bottom w:val="single" w:sz="4" w:space="0" w:color="auto"/>
              <w:right w:val="single" w:sz="4" w:space="0" w:color="auto"/>
            </w:tcBorders>
            <w:shd w:val="clear" w:color="auto" w:fill="auto"/>
            <w:noWrap/>
            <w:vAlign w:val="bottom"/>
            <w:hideMark/>
          </w:tcPr>
          <w:p w14:paraId="4AD3979B"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25.371.237</w:t>
            </w:r>
          </w:p>
        </w:tc>
        <w:tc>
          <w:tcPr>
            <w:tcW w:w="1164" w:type="dxa"/>
            <w:tcBorders>
              <w:top w:val="nil"/>
              <w:left w:val="nil"/>
              <w:bottom w:val="single" w:sz="4" w:space="0" w:color="auto"/>
              <w:right w:val="single" w:sz="4" w:space="0" w:color="auto"/>
            </w:tcBorders>
            <w:shd w:val="clear" w:color="auto" w:fill="auto"/>
            <w:noWrap/>
            <w:vAlign w:val="bottom"/>
            <w:hideMark/>
          </w:tcPr>
          <w:p w14:paraId="326C04CE"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25.059.821</w:t>
            </w:r>
          </w:p>
        </w:tc>
        <w:tc>
          <w:tcPr>
            <w:tcW w:w="550" w:type="dxa"/>
            <w:tcBorders>
              <w:top w:val="nil"/>
              <w:left w:val="nil"/>
              <w:bottom w:val="single" w:sz="4" w:space="0" w:color="auto"/>
              <w:right w:val="single" w:sz="4" w:space="0" w:color="auto"/>
            </w:tcBorders>
            <w:shd w:val="clear" w:color="auto" w:fill="auto"/>
            <w:noWrap/>
            <w:vAlign w:val="bottom"/>
            <w:hideMark/>
          </w:tcPr>
          <w:p w14:paraId="75011119"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99%</w:t>
            </w:r>
          </w:p>
        </w:tc>
        <w:tc>
          <w:tcPr>
            <w:tcW w:w="1164" w:type="dxa"/>
            <w:tcBorders>
              <w:top w:val="nil"/>
              <w:left w:val="nil"/>
              <w:bottom w:val="single" w:sz="4" w:space="0" w:color="auto"/>
              <w:right w:val="single" w:sz="4" w:space="0" w:color="auto"/>
            </w:tcBorders>
            <w:shd w:val="clear" w:color="auto" w:fill="auto"/>
            <w:noWrap/>
            <w:vAlign w:val="bottom"/>
            <w:hideMark/>
          </w:tcPr>
          <w:p w14:paraId="44F9EA1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14.178.327</w:t>
            </w:r>
          </w:p>
        </w:tc>
        <w:tc>
          <w:tcPr>
            <w:tcW w:w="550" w:type="dxa"/>
            <w:tcBorders>
              <w:top w:val="nil"/>
              <w:left w:val="nil"/>
              <w:bottom w:val="single" w:sz="4" w:space="0" w:color="auto"/>
              <w:right w:val="single" w:sz="4" w:space="0" w:color="auto"/>
            </w:tcBorders>
            <w:shd w:val="clear" w:color="auto" w:fill="auto"/>
            <w:noWrap/>
            <w:vAlign w:val="bottom"/>
            <w:hideMark/>
          </w:tcPr>
          <w:p w14:paraId="4297221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56%</w:t>
            </w:r>
          </w:p>
        </w:tc>
        <w:tc>
          <w:tcPr>
            <w:tcW w:w="1164" w:type="dxa"/>
            <w:tcBorders>
              <w:top w:val="nil"/>
              <w:left w:val="nil"/>
              <w:bottom w:val="single" w:sz="4" w:space="0" w:color="auto"/>
              <w:right w:val="single" w:sz="4" w:space="0" w:color="auto"/>
            </w:tcBorders>
            <w:shd w:val="clear" w:color="auto" w:fill="auto"/>
            <w:noWrap/>
            <w:vAlign w:val="bottom"/>
            <w:hideMark/>
          </w:tcPr>
          <w:p w14:paraId="3B03B81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25.371.237</w:t>
            </w:r>
          </w:p>
        </w:tc>
        <w:tc>
          <w:tcPr>
            <w:tcW w:w="1164" w:type="dxa"/>
            <w:tcBorders>
              <w:top w:val="nil"/>
              <w:left w:val="nil"/>
              <w:bottom w:val="single" w:sz="4" w:space="0" w:color="auto"/>
              <w:right w:val="single" w:sz="4" w:space="0" w:color="auto"/>
            </w:tcBorders>
            <w:shd w:val="clear" w:color="auto" w:fill="auto"/>
            <w:noWrap/>
            <w:vAlign w:val="bottom"/>
            <w:hideMark/>
          </w:tcPr>
          <w:p w14:paraId="18BA9EEE"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25.059.821</w:t>
            </w:r>
          </w:p>
        </w:tc>
        <w:tc>
          <w:tcPr>
            <w:tcW w:w="1160" w:type="dxa"/>
            <w:tcBorders>
              <w:top w:val="nil"/>
              <w:left w:val="nil"/>
              <w:bottom w:val="single" w:sz="4" w:space="0" w:color="auto"/>
              <w:right w:val="single" w:sz="4" w:space="0" w:color="auto"/>
            </w:tcBorders>
            <w:shd w:val="clear" w:color="auto" w:fill="auto"/>
            <w:noWrap/>
            <w:vAlign w:val="bottom"/>
            <w:hideMark/>
          </w:tcPr>
          <w:p w14:paraId="4A6FD000"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99</w:t>
            </w:r>
          </w:p>
        </w:tc>
        <w:tc>
          <w:tcPr>
            <w:tcW w:w="1164" w:type="dxa"/>
            <w:tcBorders>
              <w:top w:val="nil"/>
              <w:left w:val="nil"/>
              <w:bottom w:val="single" w:sz="4" w:space="0" w:color="auto"/>
              <w:right w:val="single" w:sz="4" w:space="0" w:color="auto"/>
            </w:tcBorders>
            <w:shd w:val="clear" w:color="auto" w:fill="auto"/>
            <w:noWrap/>
            <w:vAlign w:val="bottom"/>
            <w:hideMark/>
          </w:tcPr>
          <w:p w14:paraId="3E8B6B0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14.178.327</w:t>
            </w:r>
          </w:p>
        </w:tc>
        <w:tc>
          <w:tcPr>
            <w:tcW w:w="962" w:type="dxa"/>
            <w:tcBorders>
              <w:top w:val="nil"/>
              <w:left w:val="nil"/>
              <w:bottom w:val="single" w:sz="4" w:space="0" w:color="auto"/>
              <w:right w:val="single" w:sz="4" w:space="0" w:color="auto"/>
            </w:tcBorders>
            <w:shd w:val="clear" w:color="auto" w:fill="auto"/>
            <w:noWrap/>
            <w:vAlign w:val="bottom"/>
            <w:hideMark/>
          </w:tcPr>
          <w:p w14:paraId="05962CB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56%</w:t>
            </w:r>
          </w:p>
        </w:tc>
        <w:tc>
          <w:tcPr>
            <w:tcW w:w="2977" w:type="dxa"/>
            <w:tcBorders>
              <w:top w:val="nil"/>
              <w:left w:val="nil"/>
              <w:bottom w:val="single" w:sz="4" w:space="0" w:color="auto"/>
              <w:right w:val="single" w:sz="4" w:space="0" w:color="auto"/>
            </w:tcBorders>
            <w:shd w:val="clear" w:color="auto" w:fill="auto"/>
            <w:vAlign w:val="bottom"/>
            <w:hideMark/>
          </w:tcPr>
          <w:p w14:paraId="6D3DFFEE"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r>
      <w:tr w:rsidR="002A7E48" w:rsidRPr="002A7E48" w14:paraId="0678EBA1" w14:textId="77777777" w:rsidTr="0042240D">
        <w:trPr>
          <w:trHeight w:val="30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14:paraId="0028AE22"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c>
          <w:tcPr>
            <w:tcW w:w="620" w:type="dxa"/>
            <w:tcBorders>
              <w:top w:val="nil"/>
              <w:left w:val="nil"/>
              <w:bottom w:val="single" w:sz="4" w:space="0" w:color="auto"/>
              <w:right w:val="single" w:sz="4" w:space="0" w:color="auto"/>
            </w:tcBorders>
            <w:shd w:val="clear" w:color="auto" w:fill="auto"/>
            <w:noWrap/>
            <w:vAlign w:val="bottom"/>
            <w:hideMark/>
          </w:tcPr>
          <w:p w14:paraId="33AD03A0"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ESRR</w:t>
            </w:r>
          </w:p>
        </w:tc>
        <w:tc>
          <w:tcPr>
            <w:tcW w:w="980" w:type="dxa"/>
            <w:tcBorders>
              <w:top w:val="nil"/>
              <w:left w:val="nil"/>
              <w:bottom w:val="single" w:sz="4" w:space="0" w:color="auto"/>
              <w:right w:val="single" w:sz="4" w:space="0" w:color="auto"/>
            </w:tcBorders>
            <w:shd w:val="clear" w:color="auto" w:fill="auto"/>
            <w:noWrap/>
            <w:vAlign w:val="bottom"/>
            <w:hideMark/>
          </w:tcPr>
          <w:p w14:paraId="0F70F097"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Zahod</w:t>
            </w:r>
          </w:p>
        </w:tc>
        <w:tc>
          <w:tcPr>
            <w:tcW w:w="1164" w:type="dxa"/>
            <w:tcBorders>
              <w:top w:val="nil"/>
              <w:left w:val="nil"/>
              <w:bottom w:val="single" w:sz="4" w:space="0" w:color="auto"/>
              <w:right w:val="single" w:sz="4" w:space="0" w:color="auto"/>
            </w:tcBorders>
            <w:shd w:val="clear" w:color="auto" w:fill="auto"/>
            <w:noWrap/>
            <w:vAlign w:val="bottom"/>
            <w:hideMark/>
          </w:tcPr>
          <w:p w14:paraId="7ACA7C1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17.617.745</w:t>
            </w:r>
          </w:p>
        </w:tc>
        <w:tc>
          <w:tcPr>
            <w:tcW w:w="1164" w:type="dxa"/>
            <w:tcBorders>
              <w:top w:val="nil"/>
              <w:left w:val="nil"/>
              <w:bottom w:val="single" w:sz="4" w:space="0" w:color="auto"/>
              <w:right w:val="single" w:sz="4" w:space="0" w:color="auto"/>
            </w:tcBorders>
            <w:shd w:val="clear" w:color="auto" w:fill="auto"/>
            <w:noWrap/>
            <w:vAlign w:val="bottom"/>
            <w:hideMark/>
          </w:tcPr>
          <w:p w14:paraId="450750C7"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18.275.419</w:t>
            </w:r>
          </w:p>
        </w:tc>
        <w:tc>
          <w:tcPr>
            <w:tcW w:w="550" w:type="dxa"/>
            <w:tcBorders>
              <w:top w:val="nil"/>
              <w:left w:val="nil"/>
              <w:bottom w:val="single" w:sz="4" w:space="0" w:color="auto"/>
              <w:right w:val="single" w:sz="4" w:space="0" w:color="auto"/>
            </w:tcBorders>
            <w:shd w:val="clear" w:color="auto" w:fill="auto"/>
            <w:noWrap/>
            <w:vAlign w:val="bottom"/>
            <w:hideMark/>
          </w:tcPr>
          <w:p w14:paraId="44B2B4A4"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104%</w:t>
            </w:r>
          </w:p>
        </w:tc>
        <w:tc>
          <w:tcPr>
            <w:tcW w:w="1164" w:type="dxa"/>
            <w:tcBorders>
              <w:top w:val="nil"/>
              <w:left w:val="nil"/>
              <w:bottom w:val="single" w:sz="4" w:space="0" w:color="auto"/>
              <w:right w:val="single" w:sz="4" w:space="0" w:color="auto"/>
            </w:tcBorders>
            <w:shd w:val="clear" w:color="auto" w:fill="auto"/>
            <w:noWrap/>
            <w:vAlign w:val="bottom"/>
            <w:hideMark/>
          </w:tcPr>
          <w:p w14:paraId="16C8C2F5"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11.962.803</w:t>
            </w:r>
          </w:p>
        </w:tc>
        <w:tc>
          <w:tcPr>
            <w:tcW w:w="550" w:type="dxa"/>
            <w:tcBorders>
              <w:top w:val="nil"/>
              <w:left w:val="nil"/>
              <w:bottom w:val="single" w:sz="4" w:space="0" w:color="auto"/>
              <w:right w:val="single" w:sz="4" w:space="0" w:color="auto"/>
            </w:tcBorders>
            <w:shd w:val="clear" w:color="auto" w:fill="auto"/>
            <w:noWrap/>
            <w:vAlign w:val="bottom"/>
            <w:hideMark/>
          </w:tcPr>
          <w:p w14:paraId="2EEC0081"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68%</w:t>
            </w:r>
          </w:p>
        </w:tc>
        <w:tc>
          <w:tcPr>
            <w:tcW w:w="1164" w:type="dxa"/>
            <w:tcBorders>
              <w:top w:val="nil"/>
              <w:left w:val="nil"/>
              <w:bottom w:val="single" w:sz="4" w:space="0" w:color="auto"/>
              <w:right w:val="single" w:sz="4" w:space="0" w:color="auto"/>
            </w:tcBorders>
            <w:shd w:val="clear" w:color="auto" w:fill="auto"/>
            <w:noWrap/>
            <w:vAlign w:val="bottom"/>
            <w:hideMark/>
          </w:tcPr>
          <w:p w14:paraId="2EDC23F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17.617.745</w:t>
            </w:r>
          </w:p>
        </w:tc>
        <w:tc>
          <w:tcPr>
            <w:tcW w:w="1164" w:type="dxa"/>
            <w:tcBorders>
              <w:top w:val="nil"/>
              <w:left w:val="nil"/>
              <w:bottom w:val="single" w:sz="4" w:space="0" w:color="auto"/>
              <w:right w:val="single" w:sz="4" w:space="0" w:color="auto"/>
            </w:tcBorders>
            <w:shd w:val="clear" w:color="auto" w:fill="auto"/>
            <w:noWrap/>
            <w:vAlign w:val="bottom"/>
            <w:hideMark/>
          </w:tcPr>
          <w:p w14:paraId="4E5D738E"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18.275.419</w:t>
            </w:r>
          </w:p>
        </w:tc>
        <w:tc>
          <w:tcPr>
            <w:tcW w:w="1160" w:type="dxa"/>
            <w:tcBorders>
              <w:top w:val="nil"/>
              <w:left w:val="nil"/>
              <w:bottom w:val="single" w:sz="4" w:space="0" w:color="auto"/>
              <w:right w:val="single" w:sz="4" w:space="0" w:color="auto"/>
            </w:tcBorders>
            <w:shd w:val="clear" w:color="auto" w:fill="auto"/>
            <w:noWrap/>
            <w:vAlign w:val="bottom"/>
            <w:hideMark/>
          </w:tcPr>
          <w:p w14:paraId="7226F5D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104</w:t>
            </w:r>
          </w:p>
        </w:tc>
        <w:tc>
          <w:tcPr>
            <w:tcW w:w="1164" w:type="dxa"/>
            <w:tcBorders>
              <w:top w:val="nil"/>
              <w:left w:val="nil"/>
              <w:bottom w:val="single" w:sz="4" w:space="0" w:color="auto"/>
              <w:right w:val="single" w:sz="4" w:space="0" w:color="auto"/>
            </w:tcBorders>
            <w:shd w:val="clear" w:color="auto" w:fill="auto"/>
            <w:noWrap/>
            <w:vAlign w:val="bottom"/>
            <w:hideMark/>
          </w:tcPr>
          <w:p w14:paraId="5BB1F81E"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11.962.803</w:t>
            </w:r>
          </w:p>
        </w:tc>
        <w:tc>
          <w:tcPr>
            <w:tcW w:w="962" w:type="dxa"/>
            <w:tcBorders>
              <w:top w:val="nil"/>
              <w:left w:val="nil"/>
              <w:bottom w:val="single" w:sz="4" w:space="0" w:color="auto"/>
              <w:right w:val="single" w:sz="4" w:space="0" w:color="auto"/>
            </w:tcBorders>
            <w:shd w:val="clear" w:color="auto" w:fill="auto"/>
            <w:noWrap/>
            <w:vAlign w:val="bottom"/>
            <w:hideMark/>
          </w:tcPr>
          <w:p w14:paraId="55888DF5"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68%</w:t>
            </w:r>
          </w:p>
        </w:tc>
        <w:tc>
          <w:tcPr>
            <w:tcW w:w="2977" w:type="dxa"/>
            <w:tcBorders>
              <w:top w:val="nil"/>
              <w:left w:val="nil"/>
              <w:bottom w:val="single" w:sz="4" w:space="0" w:color="auto"/>
              <w:right w:val="single" w:sz="4" w:space="0" w:color="auto"/>
            </w:tcBorders>
            <w:shd w:val="clear" w:color="auto" w:fill="auto"/>
            <w:vAlign w:val="bottom"/>
            <w:hideMark/>
          </w:tcPr>
          <w:p w14:paraId="72BAE1E4"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r>
      <w:tr w:rsidR="002A7E48" w:rsidRPr="002A7E48" w14:paraId="684D1366" w14:textId="77777777" w:rsidTr="0042240D">
        <w:trPr>
          <w:trHeight w:val="7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14:paraId="67F44671"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w:t>
            </w:r>
          </w:p>
        </w:tc>
        <w:tc>
          <w:tcPr>
            <w:tcW w:w="620" w:type="dxa"/>
            <w:tcBorders>
              <w:top w:val="nil"/>
              <w:left w:val="nil"/>
              <w:bottom w:val="single" w:sz="4" w:space="0" w:color="auto"/>
              <w:right w:val="single" w:sz="4" w:space="0" w:color="auto"/>
            </w:tcBorders>
            <w:shd w:val="clear" w:color="auto" w:fill="auto"/>
            <w:noWrap/>
            <w:vAlign w:val="bottom"/>
            <w:hideMark/>
          </w:tcPr>
          <w:p w14:paraId="213F5DC8"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ESRR</w:t>
            </w:r>
          </w:p>
        </w:tc>
        <w:tc>
          <w:tcPr>
            <w:tcW w:w="980" w:type="dxa"/>
            <w:tcBorders>
              <w:top w:val="nil"/>
              <w:left w:val="nil"/>
              <w:bottom w:val="single" w:sz="4" w:space="0" w:color="auto"/>
              <w:right w:val="single" w:sz="4" w:space="0" w:color="auto"/>
            </w:tcBorders>
            <w:shd w:val="clear" w:color="auto" w:fill="auto"/>
            <w:noWrap/>
            <w:vAlign w:val="bottom"/>
            <w:hideMark/>
          </w:tcPr>
          <w:p w14:paraId="16FD7762"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Vzhod</w:t>
            </w:r>
          </w:p>
        </w:tc>
        <w:tc>
          <w:tcPr>
            <w:tcW w:w="1164" w:type="dxa"/>
            <w:tcBorders>
              <w:top w:val="nil"/>
              <w:left w:val="nil"/>
              <w:bottom w:val="single" w:sz="4" w:space="0" w:color="auto"/>
              <w:right w:val="single" w:sz="4" w:space="0" w:color="auto"/>
            </w:tcBorders>
            <w:shd w:val="clear" w:color="auto" w:fill="auto"/>
            <w:noWrap/>
            <w:vAlign w:val="bottom"/>
            <w:hideMark/>
          </w:tcPr>
          <w:p w14:paraId="14D9A72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263.228.743</w:t>
            </w:r>
          </w:p>
        </w:tc>
        <w:tc>
          <w:tcPr>
            <w:tcW w:w="1164" w:type="dxa"/>
            <w:tcBorders>
              <w:top w:val="nil"/>
              <w:left w:val="nil"/>
              <w:bottom w:val="single" w:sz="4" w:space="0" w:color="auto"/>
              <w:right w:val="single" w:sz="4" w:space="0" w:color="auto"/>
            </w:tcBorders>
            <w:shd w:val="clear" w:color="auto" w:fill="auto"/>
            <w:noWrap/>
            <w:vAlign w:val="bottom"/>
            <w:hideMark/>
          </w:tcPr>
          <w:p w14:paraId="7CEE0749"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325.650.325</w:t>
            </w:r>
          </w:p>
        </w:tc>
        <w:tc>
          <w:tcPr>
            <w:tcW w:w="550" w:type="dxa"/>
            <w:tcBorders>
              <w:top w:val="nil"/>
              <w:left w:val="nil"/>
              <w:bottom w:val="single" w:sz="4" w:space="0" w:color="auto"/>
              <w:right w:val="single" w:sz="4" w:space="0" w:color="auto"/>
            </w:tcBorders>
            <w:shd w:val="clear" w:color="auto" w:fill="auto"/>
            <w:noWrap/>
            <w:vAlign w:val="bottom"/>
            <w:hideMark/>
          </w:tcPr>
          <w:p w14:paraId="529A7B59"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124%</w:t>
            </w:r>
          </w:p>
        </w:tc>
        <w:tc>
          <w:tcPr>
            <w:tcW w:w="1164" w:type="dxa"/>
            <w:tcBorders>
              <w:top w:val="nil"/>
              <w:left w:val="nil"/>
              <w:bottom w:val="single" w:sz="4" w:space="0" w:color="auto"/>
              <w:right w:val="single" w:sz="4" w:space="0" w:color="auto"/>
            </w:tcBorders>
            <w:shd w:val="clear" w:color="auto" w:fill="auto"/>
            <w:noWrap/>
            <w:vAlign w:val="bottom"/>
            <w:hideMark/>
          </w:tcPr>
          <w:p w14:paraId="0B7ADAAE"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299.479.547</w:t>
            </w:r>
          </w:p>
        </w:tc>
        <w:tc>
          <w:tcPr>
            <w:tcW w:w="550" w:type="dxa"/>
            <w:tcBorders>
              <w:top w:val="nil"/>
              <w:left w:val="nil"/>
              <w:bottom w:val="single" w:sz="4" w:space="0" w:color="auto"/>
              <w:right w:val="single" w:sz="4" w:space="0" w:color="auto"/>
            </w:tcBorders>
            <w:shd w:val="clear" w:color="auto" w:fill="auto"/>
            <w:noWrap/>
            <w:vAlign w:val="bottom"/>
            <w:hideMark/>
          </w:tcPr>
          <w:p w14:paraId="0323F46B"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114%</w:t>
            </w:r>
          </w:p>
        </w:tc>
        <w:tc>
          <w:tcPr>
            <w:tcW w:w="1164" w:type="dxa"/>
            <w:tcBorders>
              <w:top w:val="nil"/>
              <w:left w:val="nil"/>
              <w:bottom w:val="single" w:sz="4" w:space="0" w:color="auto"/>
              <w:right w:val="single" w:sz="4" w:space="0" w:color="auto"/>
            </w:tcBorders>
            <w:shd w:val="clear" w:color="auto" w:fill="auto"/>
            <w:noWrap/>
            <w:vAlign w:val="bottom"/>
            <w:hideMark/>
          </w:tcPr>
          <w:p w14:paraId="156470FC"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263.228.743</w:t>
            </w:r>
          </w:p>
        </w:tc>
        <w:tc>
          <w:tcPr>
            <w:tcW w:w="1164" w:type="dxa"/>
            <w:tcBorders>
              <w:top w:val="nil"/>
              <w:left w:val="nil"/>
              <w:bottom w:val="single" w:sz="4" w:space="0" w:color="auto"/>
              <w:right w:val="single" w:sz="4" w:space="0" w:color="auto"/>
            </w:tcBorders>
            <w:shd w:val="clear" w:color="auto" w:fill="auto"/>
            <w:noWrap/>
            <w:vAlign w:val="bottom"/>
            <w:hideMark/>
          </w:tcPr>
          <w:p w14:paraId="494F2B4C"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306.762.910</w:t>
            </w:r>
          </w:p>
        </w:tc>
        <w:tc>
          <w:tcPr>
            <w:tcW w:w="1160" w:type="dxa"/>
            <w:tcBorders>
              <w:top w:val="nil"/>
              <w:left w:val="nil"/>
              <w:bottom w:val="single" w:sz="4" w:space="0" w:color="auto"/>
              <w:right w:val="single" w:sz="4" w:space="0" w:color="auto"/>
            </w:tcBorders>
            <w:shd w:val="clear" w:color="auto" w:fill="auto"/>
            <w:noWrap/>
            <w:vAlign w:val="bottom"/>
            <w:hideMark/>
          </w:tcPr>
          <w:p w14:paraId="7D3CD27B"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117</w:t>
            </w:r>
          </w:p>
        </w:tc>
        <w:tc>
          <w:tcPr>
            <w:tcW w:w="1164" w:type="dxa"/>
            <w:tcBorders>
              <w:top w:val="nil"/>
              <w:left w:val="nil"/>
              <w:bottom w:val="single" w:sz="4" w:space="0" w:color="auto"/>
              <w:right w:val="single" w:sz="4" w:space="0" w:color="auto"/>
            </w:tcBorders>
            <w:shd w:val="clear" w:color="auto" w:fill="auto"/>
            <w:noWrap/>
            <w:vAlign w:val="bottom"/>
            <w:hideMark/>
          </w:tcPr>
          <w:p w14:paraId="2163AAA7"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299.479.547</w:t>
            </w:r>
          </w:p>
        </w:tc>
        <w:tc>
          <w:tcPr>
            <w:tcW w:w="962" w:type="dxa"/>
            <w:tcBorders>
              <w:top w:val="nil"/>
              <w:left w:val="nil"/>
              <w:bottom w:val="single" w:sz="4" w:space="0" w:color="auto"/>
              <w:right w:val="single" w:sz="4" w:space="0" w:color="auto"/>
            </w:tcBorders>
            <w:shd w:val="clear" w:color="auto" w:fill="auto"/>
            <w:noWrap/>
            <w:vAlign w:val="bottom"/>
            <w:hideMark/>
          </w:tcPr>
          <w:p w14:paraId="079686C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114%</w:t>
            </w:r>
          </w:p>
        </w:tc>
        <w:tc>
          <w:tcPr>
            <w:tcW w:w="2977" w:type="dxa"/>
            <w:tcBorders>
              <w:top w:val="nil"/>
              <w:left w:val="nil"/>
              <w:bottom w:val="single" w:sz="4" w:space="0" w:color="auto"/>
              <w:right w:val="single" w:sz="4" w:space="0" w:color="auto"/>
            </w:tcBorders>
            <w:shd w:val="clear" w:color="auto" w:fill="auto"/>
            <w:vAlign w:val="bottom"/>
            <w:hideMark/>
          </w:tcPr>
          <w:p w14:paraId="34BD96C0"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Prenos potrjenih operacij v višini 15.526.665 EUR (turizem) in 3.360.750 EUR (zaščitna oprema) na PO 15</w:t>
            </w:r>
          </w:p>
        </w:tc>
      </w:tr>
      <w:tr w:rsidR="002A7E48" w:rsidRPr="002A7E48" w14:paraId="12BEAC72" w14:textId="77777777" w:rsidTr="0042240D">
        <w:trPr>
          <w:trHeight w:val="7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14:paraId="6FEE0D1D"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c>
          <w:tcPr>
            <w:tcW w:w="620" w:type="dxa"/>
            <w:tcBorders>
              <w:top w:val="nil"/>
              <w:left w:val="nil"/>
              <w:bottom w:val="single" w:sz="4" w:space="0" w:color="auto"/>
              <w:right w:val="single" w:sz="4" w:space="0" w:color="auto"/>
            </w:tcBorders>
            <w:shd w:val="clear" w:color="auto" w:fill="auto"/>
            <w:noWrap/>
            <w:vAlign w:val="bottom"/>
            <w:hideMark/>
          </w:tcPr>
          <w:p w14:paraId="1A7A024E"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ESRR</w:t>
            </w:r>
          </w:p>
        </w:tc>
        <w:tc>
          <w:tcPr>
            <w:tcW w:w="980" w:type="dxa"/>
            <w:tcBorders>
              <w:top w:val="nil"/>
              <w:left w:val="nil"/>
              <w:bottom w:val="single" w:sz="4" w:space="0" w:color="auto"/>
              <w:right w:val="single" w:sz="4" w:space="0" w:color="auto"/>
            </w:tcBorders>
            <w:shd w:val="clear" w:color="auto" w:fill="auto"/>
            <w:noWrap/>
            <w:vAlign w:val="bottom"/>
            <w:hideMark/>
          </w:tcPr>
          <w:p w14:paraId="55B72C0C"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Zahod</w:t>
            </w:r>
          </w:p>
        </w:tc>
        <w:tc>
          <w:tcPr>
            <w:tcW w:w="1164" w:type="dxa"/>
            <w:tcBorders>
              <w:top w:val="nil"/>
              <w:left w:val="nil"/>
              <w:bottom w:val="single" w:sz="4" w:space="0" w:color="auto"/>
              <w:right w:val="single" w:sz="4" w:space="0" w:color="auto"/>
            </w:tcBorders>
            <w:shd w:val="clear" w:color="auto" w:fill="auto"/>
            <w:noWrap/>
            <w:vAlign w:val="bottom"/>
            <w:hideMark/>
          </w:tcPr>
          <w:p w14:paraId="6F21ADA9"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164.157.114</w:t>
            </w:r>
          </w:p>
        </w:tc>
        <w:tc>
          <w:tcPr>
            <w:tcW w:w="1164" w:type="dxa"/>
            <w:tcBorders>
              <w:top w:val="nil"/>
              <w:left w:val="nil"/>
              <w:bottom w:val="single" w:sz="4" w:space="0" w:color="auto"/>
              <w:right w:val="single" w:sz="4" w:space="0" w:color="auto"/>
            </w:tcBorders>
            <w:shd w:val="clear" w:color="auto" w:fill="auto"/>
            <w:noWrap/>
            <w:vAlign w:val="bottom"/>
            <w:hideMark/>
          </w:tcPr>
          <w:p w14:paraId="7A101C69"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236.785.834</w:t>
            </w:r>
          </w:p>
        </w:tc>
        <w:tc>
          <w:tcPr>
            <w:tcW w:w="550" w:type="dxa"/>
            <w:tcBorders>
              <w:top w:val="nil"/>
              <w:left w:val="nil"/>
              <w:bottom w:val="single" w:sz="4" w:space="0" w:color="auto"/>
              <w:right w:val="single" w:sz="4" w:space="0" w:color="auto"/>
            </w:tcBorders>
            <w:shd w:val="clear" w:color="auto" w:fill="auto"/>
            <w:noWrap/>
            <w:vAlign w:val="bottom"/>
            <w:hideMark/>
          </w:tcPr>
          <w:p w14:paraId="571ED743"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144%</w:t>
            </w:r>
          </w:p>
        </w:tc>
        <w:tc>
          <w:tcPr>
            <w:tcW w:w="1164" w:type="dxa"/>
            <w:tcBorders>
              <w:top w:val="nil"/>
              <w:left w:val="nil"/>
              <w:bottom w:val="single" w:sz="4" w:space="0" w:color="auto"/>
              <w:right w:val="single" w:sz="4" w:space="0" w:color="auto"/>
            </w:tcBorders>
            <w:shd w:val="clear" w:color="auto" w:fill="auto"/>
            <w:noWrap/>
            <w:vAlign w:val="bottom"/>
            <w:hideMark/>
          </w:tcPr>
          <w:p w14:paraId="55350D90"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222.688.010</w:t>
            </w:r>
          </w:p>
        </w:tc>
        <w:tc>
          <w:tcPr>
            <w:tcW w:w="550" w:type="dxa"/>
            <w:tcBorders>
              <w:top w:val="nil"/>
              <w:left w:val="nil"/>
              <w:bottom w:val="single" w:sz="4" w:space="0" w:color="auto"/>
              <w:right w:val="single" w:sz="4" w:space="0" w:color="auto"/>
            </w:tcBorders>
            <w:shd w:val="clear" w:color="auto" w:fill="auto"/>
            <w:noWrap/>
            <w:vAlign w:val="bottom"/>
            <w:hideMark/>
          </w:tcPr>
          <w:p w14:paraId="6F56408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136%</w:t>
            </w:r>
          </w:p>
        </w:tc>
        <w:tc>
          <w:tcPr>
            <w:tcW w:w="1164" w:type="dxa"/>
            <w:tcBorders>
              <w:top w:val="nil"/>
              <w:left w:val="nil"/>
              <w:bottom w:val="single" w:sz="4" w:space="0" w:color="auto"/>
              <w:right w:val="single" w:sz="4" w:space="0" w:color="auto"/>
            </w:tcBorders>
            <w:shd w:val="clear" w:color="auto" w:fill="auto"/>
            <w:noWrap/>
            <w:vAlign w:val="bottom"/>
            <w:hideMark/>
          </w:tcPr>
          <w:p w14:paraId="5AF748FF"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164.157.114</w:t>
            </w:r>
          </w:p>
        </w:tc>
        <w:tc>
          <w:tcPr>
            <w:tcW w:w="1164" w:type="dxa"/>
            <w:tcBorders>
              <w:top w:val="nil"/>
              <w:left w:val="nil"/>
              <w:bottom w:val="single" w:sz="4" w:space="0" w:color="auto"/>
              <w:right w:val="single" w:sz="4" w:space="0" w:color="auto"/>
            </w:tcBorders>
            <w:shd w:val="clear" w:color="auto" w:fill="auto"/>
            <w:noWrap/>
            <w:vAlign w:val="bottom"/>
            <w:hideMark/>
          </w:tcPr>
          <w:p w14:paraId="5BB84E81"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215.074.086</w:t>
            </w:r>
          </w:p>
        </w:tc>
        <w:tc>
          <w:tcPr>
            <w:tcW w:w="1160" w:type="dxa"/>
            <w:tcBorders>
              <w:top w:val="nil"/>
              <w:left w:val="nil"/>
              <w:bottom w:val="single" w:sz="4" w:space="0" w:color="auto"/>
              <w:right w:val="single" w:sz="4" w:space="0" w:color="auto"/>
            </w:tcBorders>
            <w:shd w:val="clear" w:color="auto" w:fill="auto"/>
            <w:noWrap/>
            <w:vAlign w:val="bottom"/>
            <w:hideMark/>
          </w:tcPr>
          <w:p w14:paraId="48A88BF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131</w:t>
            </w:r>
          </w:p>
        </w:tc>
        <w:tc>
          <w:tcPr>
            <w:tcW w:w="1164" w:type="dxa"/>
            <w:tcBorders>
              <w:top w:val="nil"/>
              <w:left w:val="nil"/>
              <w:bottom w:val="single" w:sz="4" w:space="0" w:color="auto"/>
              <w:right w:val="single" w:sz="4" w:space="0" w:color="auto"/>
            </w:tcBorders>
            <w:shd w:val="clear" w:color="auto" w:fill="auto"/>
            <w:noWrap/>
            <w:vAlign w:val="bottom"/>
            <w:hideMark/>
          </w:tcPr>
          <w:p w14:paraId="050E928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222.688.010</w:t>
            </w:r>
          </w:p>
        </w:tc>
        <w:tc>
          <w:tcPr>
            <w:tcW w:w="962" w:type="dxa"/>
            <w:tcBorders>
              <w:top w:val="nil"/>
              <w:left w:val="nil"/>
              <w:bottom w:val="single" w:sz="4" w:space="0" w:color="auto"/>
              <w:right w:val="single" w:sz="4" w:space="0" w:color="auto"/>
            </w:tcBorders>
            <w:shd w:val="clear" w:color="auto" w:fill="auto"/>
            <w:noWrap/>
            <w:vAlign w:val="bottom"/>
            <w:hideMark/>
          </w:tcPr>
          <w:p w14:paraId="1B17C199"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136%</w:t>
            </w:r>
          </w:p>
        </w:tc>
        <w:tc>
          <w:tcPr>
            <w:tcW w:w="2977" w:type="dxa"/>
            <w:tcBorders>
              <w:top w:val="nil"/>
              <w:left w:val="nil"/>
              <w:bottom w:val="single" w:sz="4" w:space="0" w:color="auto"/>
              <w:right w:val="single" w:sz="4" w:space="0" w:color="auto"/>
            </w:tcBorders>
            <w:shd w:val="clear" w:color="auto" w:fill="auto"/>
            <w:vAlign w:val="bottom"/>
            <w:hideMark/>
          </w:tcPr>
          <w:p w14:paraId="796AD6C8"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Prenos potrjenih operacij v višini 17.848.448 EUR (turizem) in 3.863.300 EUR (zaščitna oprema) na PO 15</w:t>
            </w:r>
          </w:p>
        </w:tc>
      </w:tr>
      <w:tr w:rsidR="002A7E48" w:rsidRPr="002A7E48" w14:paraId="4C9B20DA" w14:textId="77777777" w:rsidTr="0042240D">
        <w:trPr>
          <w:trHeight w:val="7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14:paraId="37EA5992"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4</w:t>
            </w:r>
          </w:p>
        </w:tc>
        <w:tc>
          <w:tcPr>
            <w:tcW w:w="620" w:type="dxa"/>
            <w:tcBorders>
              <w:top w:val="nil"/>
              <w:left w:val="nil"/>
              <w:bottom w:val="single" w:sz="4" w:space="0" w:color="auto"/>
              <w:right w:val="single" w:sz="4" w:space="0" w:color="auto"/>
            </w:tcBorders>
            <w:shd w:val="clear" w:color="auto" w:fill="auto"/>
            <w:noWrap/>
            <w:vAlign w:val="bottom"/>
            <w:hideMark/>
          </w:tcPr>
          <w:p w14:paraId="347B0CCF"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KS</w:t>
            </w:r>
          </w:p>
        </w:tc>
        <w:tc>
          <w:tcPr>
            <w:tcW w:w="980" w:type="dxa"/>
            <w:tcBorders>
              <w:top w:val="nil"/>
              <w:left w:val="nil"/>
              <w:bottom w:val="single" w:sz="4" w:space="0" w:color="auto"/>
              <w:right w:val="single" w:sz="4" w:space="0" w:color="auto"/>
            </w:tcBorders>
            <w:shd w:val="clear" w:color="auto" w:fill="auto"/>
            <w:noWrap/>
            <w:vAlign w:val="bottom"/>
            <w:hideMark/>
          </w:tcPr>
          <w:p w14:paraId="6FA721B6"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Celotna SI</w:t>
            </w:r>
          </w:p>
        </w:tc>
        <w:tc>
          <w:tcPr>
            <w:tcW w:w="1164" w:type="dxa"/>
            <w:tcBorders>
              <w:top w:val="nil"/>
              <w:left w:val="nil"/>
              <w:bottom w:val="single" w:sz="4" w:space="0" w:color="auto"/>
              <w:right w:val="single" w:sz="4" w:space="0" w:color="auto"/>
            </w:tcBorders>
            <w:shd w:val="clear" w:color="auto" w:fill="auto"/>
            <w:noWrap/>
            <w:vAlign w:val="bottom"/>
            <w:hideMark/>
          </w:tcPr>
          <w:p w14:paraId="79C52C03"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238.015.650</w:t>
            </w:r>
          </w:p>
        </w:tc>
        <w:tc>
          <w:tcPr>
            <w:tcW w:w="1164" w:type="dxa"/>
            <w:tcBorders>
              <w:top w:val="nil"/>
              <w:left w:val="nil"/>
              <w:bottom w:val="single" w:sz="4" w:space="0" w:color="auto"/>
              <w:right w:val="single" w:sz="4" w:space="0" w:color="auto"/>
            </w:tcBorders>
            <w:shd w:val="clear" w:color="auto" w:fill="auto"/>
            <w:noWrap/>
            <w:vAlign w:val="bottom"/>
            <w:hideMark/>
          </w:tcPr>
          <w:p w14:paraId="1C367AAF"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192.959.213</w:t>
            </w:r>
          </w:p>
        </w:tc>
        <w:tc>
          <w:tcPr>
            <w:tcW w:w="550" w:type="dxa"/>
            <w:tcBorders>
              <w:top w:val="nil"/>
              <w:left w:val="nil"/>
              <w:bottom w:val="single" w:sz="4" w:space="0" w:color="auto"/>
              <w:right w:val="single" w:sz="4" w:space="0" w:color="auto"/>
            </w:tcBorders>
            <w:shd w:val="clear" w:color="auto" w:fill="auto"/>
            <w:noWrap/>
            <w:vAlign w:val="bottom"/>
            <w:hideMark/>
          </w:tcPr>
          <w:p w14:paraId="710D4E55"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81%</w:t>
            </w:r>
          </w:p>
        </w:tc>
        <w:tc>
          <w:tcPr>
            <w:tcW w:w="1164" w:type="dxa"/>
            <w:tcBorders>
              <w:top w:val="nil"/>
              <w:left w:val="nil"/>
              <w:bottom w:val="single" w:sz="4" w:space="0" w:color="auto"/>
              <w:right w:val="single" w:sz="4" w:space="0" w:color="auto"/>
            </w:tcBorders>
            <w:shd w:val="clear" w:color="auto" w:fill="auto"/>
            <w:noWrap/>
            <w:vAlign w:val="bottom"/>
            <w:hideMark/>
          </w:tcPr>
          <w:p w14:paraId="26830D04"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135.208.982</w:t>
            </w:r>
          </w:p>
        </w:tc>
        <w:tc>
          <w:tcPr>
            <w:tcW w:w="550" w:type="dxa"/>
            <w:tcBorders>
              <w:top w:val="nil"/>
              <w:left w:val="nil"/>
              <w:bottom w:val="single" w:sz="4" w:space="0" w:color="auto"/>
              <w:right w:val="single" w:sz="4" w:space="0" w:color="auto"/>
            </w:tcBorders>
            <w:shd w:val="clear" w:color="auto" w:fill="auto"/>
            <w:noWrap/>
            <w:vAlign w:val="bottom"/>
            <w:hideMark/>
          </w:tcPr>
          <w:p w14:paraId="0C9708EE"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57%</w:t>
            </w:r>
          </w:p>
        </w:tc>
        <w:tc>
          <w:tcPr>
            <w:tcW w:w="1164" w:type="dxa"/>
            <w:tcBorders>
              <w:top w:val="nil"/>
              <w:left w:val="nil"/>
              <w:bottom w:val="single" w:sz="4" w:space="0" w:color="auto"/>
              <w:right w:val="single" w:sz="4" w:space="0" w:color="auto"/>
            </w:tcBorders>
            <w:shd w:val="clear" w:color="auto" w:fill="auto"/>
            <w:noWrap/>
            <w:vAlign w:val="bottom"/>
            <w:hideMark/>
          </w:tcPr>
          <w:p w14:paraId="193E47F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222.606.600</w:t>
            </w:r>
          </w:p>
        </w:tc>
        <w:tc>
          <w:tcPr>
            <w:tcW w:w="1164" w:type="dxa"/>
            <w:tcBorders>
              <w:top w:val="nil"/>
              <w:left w:val="nil"/>
              <w:bottom w:val="single" w:sz="4" w:space="0" w:color="auto"/>
              <w:right w:val="single" w:sz="4" w:space="0" w:color="auto"/>
            </w:tcBorders>
            <w:shd w:val="clear" w:color="auto" w:fill="auto"/>
            <w:noWrap/>
            <w:vAlign w:val="bottom"/>
            <w:hideMark/>
          </w:tcPr>
          <w:p w14:paraId="055B765F"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192.959.213</w:t>
            </w:r>
          </w:p>
        </w:tc>
        <w:tc>
          <w:tcPr>
            <w:tcW w:w="1160" w:type="dxa"/>
            <w:tcBorders>
              <w:top w:val="nil"/>
              <w:left w:val="nil"/>
              <w:bottom w:val="single" w:sz="4" w:space="0" w:color="auto"/>
              <w:right w:val="single" w:sz="4" w:space="0" w:color="auto"/>
            </w:tcBorders>
            <w:shd w:val="clear" w:color="auto" w:fill="auto"/>
            <w:noWrap/>
            <w:vAlign w:val="bottom"/>
            <w:hideMark/>
          </w:tcPr>
          <w:p w14:paraId="20D8D15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87</w:t>
            </w:r>
          </w:p>
        </w:tc>
        <w:tc>
          <w:tcPr>
            <w:tcW w:w="1164" w:type="dxa"/>
            <w:tcBorders>
              <w:top w:val="nil"/>
              <w:left w:val="nil"/>
              <w:bottom w:val="single" w:sz="4" w:space="0" w:color="auto"/>
              <w:right w:val="single" w:sz="4" w:space="0" w:color="auto"/>
            </w:tcBorders>
            <w:shd w:val="clear" w:color="auto" w:fill="auto"/>
            <w:noWrap/>
            <w:vAlign w:val="bottom"/>
            <w:hideMark/>
          </w:tcPr>
          <w:p w14:paraId="38E48EC3"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135.208.982</w:t>
            </w:r>
          </w:p>
        </w:tc>
        <w:tc>
          <w:tcPr>
            <w:tcW w:w="962" w:type="dxa"/>
            <w:tcBorders>
              <w:top w:val="nil"/>
              <w:left w:val="nil"/>
              <w:bottom w:val="single" w:sz="4" w:space="0" w:color="auto"/>
              <w:right w:val="single" w:sz="4" w:space="0" w:color="auto"/>
            </w:tcBorders>
            <w:shd w:val="clear" w:color="auto" w:fill="auto"/>
            <w:noWrap/>
            <w:vAlign w:val="bottom"/>
            <w:hideMark/>
          </w:tcPr>
          <w:p w14:paraId="3345AE99"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61%</w:t>
            </w:r>
          </w:p>
        </w:tc>
        <w:tc>
          <w:tcPr>
            <w:tcW w:w="2977" w:type="dxa"/>
            <w:tcBorders>
              <w:top w:val="nil"/>
              <w:left w:val="nil"/>
              <w:bottom w:val="single" w:sz="4" w:space="0" w:color="auto"/>
              <w:right w:val="single" w:sz="4" w:space="0" w:color="auto"/>
            </w:tcBorders>
            <w:shd w:val="clear" w:color="auto" w:fill="auto"/>
            <w:vAlign w:val="bottom"/>
            <w:hideMark/>
          </w:tcPr>
          <w:p w14:paraId="134802AB"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Prenos pravic porabe v višini 15.409.050 EUR  na PO7 (železniška infrastruktura)</w:t>
            </w:r>
          </w:p>
        </w:tc>
      </w:tr>
      <w:tr w:rsidR="002A7E48" w:rsidRPr="002A7E48" w14:paraId="117461E3" w14:textId="77777777" w:rsidTr="0042240D">
        <w:trPr>
          <w:trHeight w:val="27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14:paraId="76483704"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c>
          <w:tcPr>
            <w:tcW w:w="620" w:type="dxa"/>
            <w:tcBorders>
              <w:top w:val="nil"/>
              <w:left w:val="nil"/>
              <w:bottom w:val="single" w:sz="4" w:space="0" w:color="auto"/>
              <w:right w:val="single" w:sz="4" w:space="0" w:color="auto"/>
            </w:tcBorders>
            <w:shd w:val="clear" w:color="auto" w:fill="auto"/>
            <w:noWrap/>
            <w:vAlign w:val="bottom"/>
            <w:hideMark/>
          </w:tcPr>
          <w:p w14:paraId="4B737CE7"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ESRR</w:t>
            </w:r>
          </w:p>
        </w:tc>
        <w:tc>
          <w:tcPr>
            <w:tcW w:w="980" w:type="dxa"/>
            <w:tcBorders>
              <w:top w:val="nil"/>
              <w:left w:val="nil"/>
              <w:bottom w:val="single" w:sz="4" w:space="0" w:color="auto"/>
              <w:right w:val="single" w:sz="4" w:space="0" w:color="auto"/>
            </w:tcBorders>
            <w:shd w:val="clear" w:color="auto" w:fill="auto"/>
            <w:noWrap/>
            <w:vAlign w:val="bottom"/>
            <w:hideMark/>
          </w:tcPr>
          <w:p w14:paraId="288B8BDA"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Vzhod</w:t>
            </w:r>
          </w:p>
        </w:tc>
        <w:tc>
          <w:tcPr>
            <w:tcW w:w="1164" w:type="dxa"/>
            <w:tcBorders>
              <w:top w:val="nil"/>
              <w:left w:val="nil"/>
              <w:bottom w:val="single" w:sz="4" w:space="0" w:color="auto"/>
              <w:right w:val="single" w:sz="4" w:space="0" w:color="auto"/>
            </w:tcBorders>
            <w:shd w:val="clear" w:color="auto" w:fill="auto"/>
            <w:noWrap/>
            <w:vAlign w:val="bottom"/>
            <w:hideMark/>
          </w:tcPr>
          <w:p w14:paraId="0C80ED2F"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26.099.288</w:t>
            </w:r>
          </w:p>
        </w:tc>
        <w:tc>
          <w:tcPr>
            <w:tcW w:w="1164" w:type="dxa"/>
            <w:tcBorders>
              <w:top w:val="nil"/>
              <w:left w:val="nil"/>
              <w:bottom w:val="single" w:sz="4" w:space="0" w:color="auto"/>
              <w:right w:val="single" w:sz="4" w:space="0" w:color="auto"/>
            </w:tcBorders>
            <w:shd w:val="clear" w:color="auto" w:fill="auto"/>
            <w:noWrap/>
            <w:vAlign w:val="bottom"/>
            <w:hideMark/>
          </w:tcPr>
          <w:p w14:paraId="4917E663"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70.455.862</w:t>
            </w:r>
          </w:p>
        </w:tc>
        <w:tc>
          <w:tcPr>
            <w:tcW w:w="550" w:type="dxa"/>
            <w:tcBorders>
              <w:top w:val="nil"/>
              <w:left w:val="nil"/>
              <w:bottom w:val="single" w:sz="4" w:space="0" w:color="auto"/>
              <w:right w:val="single" w:sz="4" w:space="0" w:color="auto"/>
            </w:tcBorders>
            <w:shd w:val="clear" w:color="auto" w:fill="auto"/>
            <w:noWrap/>
            <w:vAlign w:val="bottom"/>
            <w:hideMark/>
          </w:tcPr>
          <w:p w14:paraId="34EE344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270%</w:t>
            </w:r>
          </w:p>
        </w:tc>
        <w:tc>
          <w:tcPr>
            <w:tcW w:w="1164" w:type="dxa"/>
            <w:tcBorders>
              <w:top w:val="nil"/>
              <w:left w:val="nil"/>
              <w:bottom w:val="single" w:sz="4" w:space="0" w:color="auto"/>
              <w:right w:val="single" w:sz="4" w:space="0" w:color="auto"/>
            </w:tcBorders>
            <w:shd w:val="clear" w:color="auto" w:fill="auto"/>
            <w:noWrap/>
            <w:vAlign w:val="bottom"/>
            <w:hideMark/>
          </w:tcPr>
          <w:p w14:paraId="3158C9EF"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44.186.744</w:t>
            </w:r>
          </w:p>
        </w:tc>
        <w:tc>
          <w:tcPr>
            <w:tcW w:w="550" w:type="dxa"/>
            <w:tcBorders>
              <w:top w:val="nil"/>
              <w:left w:val="nil"/>
              <w:bottom w:val="single" w:sz="4" w:space="0" w:color="auto"/>
              <w:right w:val="single" w:sz="4" w:space="0" w:color="auto"/>
            </w:tcBorders>
            <w:shd w:val="clear" w:color="auto" w:fill="auto"/>
            <w:noWrap/>
            <w:vAlign w:val="bottom"/>
            <w:hideMark/>
          </w:tcPr>
          <w:p w14:paraId="3647A181"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169%</w:t>
            </w:r>
          </w:p>
        </w:tc>
        <w:tc>
          <w:tcPr>
            <w:tcW w:w="1164" w:type="dxa"/>
            <w:tcBorders>
              <w:top w:val="nil"/>
              <w:left w:val="nil"/>
              <w:bottom w:val="single" w:sz="4" w:space="0" w:color="auto"/>
              <w:right w:val="single" w:sz="4" w:space="0" w:color="auto"/>
            </w:tcBorders>
            <w:shd w:val="clear" w:color="auto" w:fill="auto"/>
            <w:noWrap/>
            <w:vAlign w:val="bottom"/>
            <w:hideMark/>
          </w:tcPr>
          <w:p w14:paraId="750B96DF"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62.883.047</w:t>
            </w:r>
          </w:p>
        </w:tc>
        <w:tc>
          <w:tcPr>
            <w:tcW w:w="1164" w:type="dxa"/>
            <w:tcBorders>
              <w:top w:val="nil"/>
              <w:left w:val="nil"/>
              <w:bottom w:val="single" w:sz="4" w:space="0" w:color="auto"/>
              <w:right w:val="single" w:sz="4" w:space="0" w:color="auto"/>
            </w:tcBorders>
            <w:shd w:val="clear" w:color="auto" w:fill="auto"/>
            <w:noWrap/>
            <w:vAlign w:val="bottom"/>
            <w:hideMark/>
          </w:tcPr>
          <w:p w14:paraId="58A7CE04"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70.455.862</w:t>
            </w:r>
          </w:p>
        </w:tc>
        <w:tc>
          <w:tcPr>
            <w:tcW w:w="1160" w:type="dxa"/>
            <w:tcBorders>
              <w:top w:val="nil"/>
              <w:left w:val="nil"/>
              <w:bottom w:val="single" w:sz="4" w:space="0" w:color="auto"/>
              <w:right w:val="single" w:sz="4" w:space="0" w:color="auto"/>
            </w:tcBorders>
            <w:shd w:val="clear" w:color="auto" w:fill="auto"/>
            <w:noWrap/>
            <w:vAlign w:val="bottom"/>
            <w:hideMark/>
          </w:tcPr>
          <w:p w14:paraId="38974399"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112</w:t>
            </w:r>
          </w:p>
        </w:tc>
        <w:tc>
          <w:tcPr>
            <w:tcW w:w="1164" w:type="dxa"/>
            <w:tcBorders>
              <w:top w:val="nil"/>
              <w:left w:val="nil"/>
              <w:bottom w:val="single" w:sz="4" w:space="0" w:color="auto"/>
              <w:right w:val="single" w:sz="4" w:space="0" w:color="auto"/>
            </w:tcBorders>
            <w:shd w:val="clear" w:color="auto" w:fill="auto"/>
            <w:noWrap/>
            <w:vAlign w:val="bottom"/>
            <w:hideMark/>
          </w:tcPr>
          <w:p w14:paraId="1E091DC0"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44.186.744</w:t>
            </w:r>
          </w:p>
        </w:tc>
        <w:tc>
          <w:tcPr>
            <w:tcW w:w="962" w:type="dxa"/>
            <w:tcBorders>
              <w:top w:val="nil"/>
              <w:left w:val="nil"/>
              <w:bottom w:val="single" w:sz="4" w:space="0" w:color="auto"/>
              <w:right w:val="single" w:sz="4" w:space="0" w:color="auto"/>
            </w:tcBorders>
            <w:shd w:val="clear" w:color="auto" w:fill="auto"/>
            <w:noWrap/>
            <w:vAlign w:val="bottom"/>
            <w:hideMark/>
          </w:tcPr>
          <w:p w14:paraId="5EC70812"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70%</w:t>
            </w:r>
          </w:p>
        </w:tc>
        <w:tc>
          <w:tcPr>
            <w:tcW w:w="2977" w:type="dxa"/>
            <w:tcBorders>
              <w:top w:val="nil"/>
              <w:left w:val="nil"/>
              <w:bottom w:val="single" w:sz="4" w:space="0" w:color="auto"/>
              <w:right w:val="single" w:sz="4" w:space="0" w:color="auto"/>
            </w:tcBorders>
            <w:shd w:val="clear" w:color="auto" w:fill="auto"/>
            <w:vAlign w:val="bottom"/>
            <w:hideMark/>
          </w:tcPr>
          <w:p w14:paraId="148D72A8"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Prenos 28,5 mio EUR iz PO 7, ESRR Vzhod na PO 4, ESRR Vzhod. Prenos pravic porabe v višini 8.283.759,26 EUR iz PO5, ESRR Vzhod na PO4, ESRR Vzhod.</w:t>
            </w:r>
          </w:p>
        </w:tc>
      </w:tr>
      <w:tr w:rsidR="002A7E48" w:rsidRPr="002A7E48" w14:paraId="5A4440D2" w14:textId="77777777" w:rsidTr="0042240D">
        <w:trPr>
          <w:trHeight w:val="30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14:paraId="38DC068D"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c>
          <w:tcPr>
            <w:tcW w:w="620" w:type="dxa"/>
            <w:tcBorders>
              <w:top w:val="nil"/>
              <w:left w:val="nil"/>
              <w:bottom w:val="single" w:sz="4" w:space="0" w:color="auto"/>
              <w:right w:val="single" w:sz="4" w:space="0" w:color="auto"/>
            </w:tcBorders>
            <w:shd w:val="clear" w:color="auto" w:fill="auto"/>
            <w:noWrap/>
            <w:vAlign w:val="bottom"/>
            <w:hideMark/>
          </w:tcPr>
          <w:p w14:paraId="6BF414D4"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ESRR</w:t>
            </w:r>
          </w:p>
        </w:tc>
        <w:tc>
          <w:tcPr>
            <w:tcW w:w="980" w:type="dxa"/>
            <w:tcBorders>
              <w:top w:val="nil"/>
              <w:left w:val="nil"/>
              <w:bottom w:val="single" w:sz="4" w:space="0" w:color="auto"/>
              <w:right w:val="single" w:sz="4" w:space="0" w:color="auto"/>
            </w:tcBorders>
            <w:shd w:val="clear" w:color="auto" w:fill="auto"/>
            <w:noWrap/>
            <w:vAlign w:val="bottom"/>
            <w:hideMark/>
          </w:tcPr>
          <w:p w14:paraId="0DCFFF68"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Zahod</w:t>
            </w:r>
          </w:p>
        </w:tc>
        <w:tc>
          <w:tcPr>
            <w:tcW w:w="1164" w:type="dxa"/>
            <w:tcBorders>
              <w:top w:val="nil"/>
              <w:left w:val="nil"/>
              <w:bottom w:val="single" w:sz="4" w:space="0" w:color="auto"/>
              <w:right w:val="single" w:sz="4" w:space="0" w:color="auto"/>
            </w:tcBorders>
            <w:shd w:val="clear" w:color="auto" w:fill="auto"/>
            <w:noWrap/>
            <w:vAlign w:val="bottom"/>
            <w:hideMark/>
          </w:tcPr>
          <w:p w14:paraId="7F85EBF4"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17.932.912</w:t>
            </w:r>
          </w:p>
        </w:tc>
        <w:tc>
          <w:tcPr>
            <w:tcW w:w="1164" w:type="dxa"/>
            <w:tcBorders>
              <w:top w:val="nil"/>
              <w:left w:val="nil"/>
              <w:bottom w:val="single" w:sz="4" w:space="0" w:color="auto"/>
              <w:right w:val="single" w:sz="4" w:space="0" w:color="auto"/>
            </w:tcBorders>
            <w:shd w:val="clear" w:color="auto" w:fill="auto"/>
            <w:noWrap/>
            <w:vAlign w:val="bottom"/>
            <w:hideMark/>
          </w:tcPr>
          <w:p w14:paraId="4FB9F22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53.709.960</w:t>
            </w:r>
          </w:p>
        </w:tc>
        <w:tc>
          <w:tcPr>
            <w:tcW w:w="550" w:type="dxa"/>
            <w:tcBorders>
              <w:top w:val="nil"/>
              <w:left w:val="nil"/>
              <w:bottom w:val="single" w:sz="4" w:space="0" w:color="auto"/>
              <w:right w:val="single" w:sz="4" w:space="0" w:color="auto"/>
            </w:tcBorders>
            <w:shd w:val="clear" w:color="auto" w:fill="auto"/>
            <w:noWrap/>
            <w:vAlign w:val="bottom"/>
            <w:hideMark/>
          </w:tcPr>
          <w:p w14:paraId="2B8C1F4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300%</w:t>
            </w:r>
          </w:p>
        </w:tc>
        <w:tc>
          <w:tcPr>
            <w:tcW w:w="1164" w:type="dxa"/>
            <w:tcBorders>
              <w:top w:val="nil"/>
              <w:left w:val="nil"/>
              <w:bottom w:val="single" w:sz="4" w:space="0" w:color="auto"/>
              <w:right w:val="single" w:sz="4" w:space="0" w:color="auto"/>
            </w:tcBorders>
            <w:shd w:val="clear" w:color="auto" w:fill="auto"/>
            <w:noWrap/>
            <w:vAlign w:val="bottom"/>
            <w:hideMark/>
          </w:tcPr>
          <w:p w14:paraId="3998E7D2"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29.066.316</w:t>
            </w:r>
          </w:p>
        </w:tc>
        <w:tc>
          <w:tcPr>
            <w:tcW w:w="550" w:type="dxa"/>
            <w:tcBorders>
              <w:top w:val="nil"/>
              <w:left w:val="nil"/>
              <w:bottom w:val="single" w:sz="4" w:space="0" w:color="auto"/>
              <w:right w:val="single" w:sz="4" w:space="0" w:color="auto"/>
            </w:tcBorders>
            <w:shd w:val="clear" w:color="auto" w:fill="auto"/>
            <w:noWrap/>
            <w:vAlign w:val="bottom"/>
            <w:hideMark/>
          </w:tcPr>
          <w:p w14:paraId="3A0234E3"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162%</w:t>
            </w:r>
          </w:p>
        </w:tc>
        <w:tc>
          <w:tcPr>
            <w:tcW w:w="1164" w:type="dxa"/>
            <w:tcBorders>
              <w:top w:val="nil"/>
              <w:left w:val="nil"/>
              <w:bottom w:val="single" w:sz="4" w:space="0" w:color="auto"/>
              <w:right w:val="single" w:sz="4" w:space="0" w:color="auto"/>
            </w:tcBorders>
            <w:shd w:val="clear" w:color="auto" w:fill="auto"/>
            <w:noWrap/>
            <w:vAlign w:val="bottom"/>
            <w:hideMark/>
          </w:tcPr>
          <w:p w14:paraId="01B3BAE4"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17.932.912</w:t>
            </w:r>
          </w:p>
        </w:tc>
        <w:tc>
          <w:tcPr>
            <w:tcW w:w="1164" w:type="dxa"/>
            <w:tcBorders>
              <w:top w:val="nil"/>
              <w:left w:val="nil"/>
              <w:bottom w:val="single" w:sz="4" w:space="0" w:color="auto"/>
              <w:right w:val="single" w:sz="4" w:space="0" w:color="auto"/>
            </w:tcBorders>
            <w:shd w:val="clear" w:color="auto" w:fill="auto"/>
            <w:noWrap/>
            <w:vAlign w:val="bottom"/>
            <w:hideMark/>
          </w:tcPr>
          <w:p w14:paraId="671568CF"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53.709.960</w:t>
            </w:r>
          </w:p>
        </w:tc>
        <w:tc>
          <w:tcPr>
            <w:tcW w:w="1160" w:type="dxa"/>
            <w:tcBorders>
              <w:top w:val="nil"/>
              <w:left w:val="nil"/>
              <w:bottom w:val="single" w:sz="4" w:space="0" w:color="auto"/>
              <w:right w:val="single" w:sz="4" w:space="0" w:color="auto"/>
            </w:tcBorders>
            <w:shd w:val="clear" w:color="auto" w:fill="auto"/>
            <w:noWrap/>
            <w:vAlign w:val="bottom"/>
            <w:hideMark/>
          </w:tcPr>
          <w:p w14:paraId="3B62BEF1"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300</w:t>
            </w:r>
          </w:p>
        </w:tc>
        <w:tc>
          <w:tcPr>
            <w:tcW w:w="1164" w:type="dxa"/>
            <w:tcBorders>
              <w:top w:val="nil"/>
              <w:left w:val="nil"/>
              <w:bottom w:val="single" w:sz="4" w:space="0" w:color="auto"/>
              <w:right w:val="single" w:sz="4" w:space="0" w:color="auto"/>
            </w:tcBorders>
            <w:shd w:val="clear" w:color="auto" w:fill="auto"/>
            <w:noWrap/>
            <w:vAlign w:val="bottom"/>
            <w:hideMark/>
          </w:tcPr>
          <w:p w14:paraId="56440A0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29.066.316</w:t>
            </w:r>
          </w:p>
        </w:tc>
        <w:tc>
          <w:tcPr>
            <w:tcW w:w="962" w:type="dxa"/>
            <w:tcBorders>
              <w:top w:val="nil"/>
              <w:left w:val="nil"/>
              <w:bottom w:val="single" w:sz="4" w:space="0" w:color="auto"/>
              <w:right w:val="single" w:sz="4" w:space="0" w:color="auto"/>
            </w:tcBorders>
            <w:shd w:val="clear" w:color="auto" w:fill="auto"/>
            <w:noWrap/>
            <w:vAlign w:val="bottom"/>
            <w:hideMark/>
          </w:tcPr>
          <w:p w14:paraId="0B42812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162%</w:t>
            </w:r>
          </w:p>
        </w:tc>
        <w:tc>
          <w:tcPr>
            <w:tcW w:w="2977" w:type="dxa"/>
            <w:tcBorders>
              <w:top w:val="nil"/>
              <w:left w:val="nil"/>
              <w:bottom w:val="single" w:sz="4" w:space="0" w:color="auto"/>
              <w:right w:val="single" w:sz="4" w:space="0" w:color="auto"/>
            </w:tcBorders>
            <w:shd w:val="clear" w:color="auto" w:fill="auto"/>
            <w:vAlign w:val="bottom"/>
            <w:hideMark/>
          </w:tcPr>
          <w:p w14:paraId="11613BEA"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r>
      <w:tr w:rsidR="002A7E48" w:rsidRPr="002A7E48" w14:paraId="4C380AD2" w14:textId="77777777" w:rsidTr="0042240D">
        <w:trPr>
          <w:trHeight w:val="7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14:paraId="077796B4"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5</w:t>
            </w:r>
          </w:p>
        </w:tc>
        <w:tc>
          <w:tcPr>
            <w:tcW w:w="620" w:type="dxa"/>
            <w:tcBorders>
              <w:top w:val="nil"/>
              <w:left w:val="nil"/>
              <w:bottom w:val="single" w:sz="4" w:space="0" w:color="auto"/>
              <w:right w:val="single" w:sz="4" w:space="0" w:color="auto"/>
            </w:tcBorders>
            <w:shd w:val="clear" w:color="auto" w:fill="auto"/>
            <w:noWrap/>
            <w:vAlign w:val="bottom"/>
            <w:hideMark/>
          </w:tcPr>
          <w:p w14:paraId="11DD25C6"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KS</w:t>
            </w:r>
          </w:p>
        </w:tc>
        <w:tc>
          <w:tcPr>
            <w:tcW w:w="980" w:type="dxa"/>
            <w:tcBorders>
              <w:top w:val="nil"/>
              <w:left w:val="nil"/>
              <w:bottom w:val="single" w:sz="4" w:space="0" w:color="auto"/>
              <w:right w:val="single" w:sz="4" w:space="0" w:color="auto"/>
            </w:tcBorders>
            <w:shd w:val="clear" w:color="auto" w:fill="auto"/>
            <w:noWrap/>
            <w:vAlign w:val="bottom"/>
            <w:hideMark/>
          </w:tcPr>
          <w:p w14:paraId="6BFEE11D"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Celotna SI</w:t>
            </w:r>
          </w:p>
        </w:tc>
        <w:tc>
          <w:tcPr>
            <w:tcW w:w="1164" w:type="dxa"/>
            <w:tcBorders>
              <w:top w:val="nil"/>
              <w:left w:val="nil"/>
              <w:bottom w:val="single" w:sz="4" w:space="0" w:color="auto"/>
              <w:right w:val="single" w:sz="4" w:space="0" w:color="auto"/>
            </w:tcBorders>
            <w:shd w:val="clear" w:color="auto" w:fill="auto"/>
            <w:noWrap/>
            <w:vAlign w:val="bottom"/>
            <w:hideMark/>
          </w:tcPr>
          <w:p w14:paraId="2C0EFA9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56.420.616</w:t>
            </w:r>
          </w:p>
        </w:tc>
        <w:tc>
          <w:tcPr>
            <w:tcW w:w="1164" w:type="dxa"/>
            <w:tcBorders>
              <w:top w:val="nil"/>
              <w:left w:val="nil"/>
              <w:bottom w:val="single" w:sz="4" w:space="0" w:color="auto"/>
              <w:right w:val="single" w:sz="4" w:space="0" w:color="auto"/>
            </w:tcBorders>
            <w:shd w:val="clear" w:color="auto" w:fill="auto"/>
            <w:noWrap/>
            <w:vAlign w:val="bottom"/>
            <w:hideMark/>
          </w:tcPr>
          <w:p w14:paraId="55B13439"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68.054.744</w:t>
            </w:r>
          </w:p>
        </w:tc>
        <w:tc>
          <w:tcPr>
            <w:tcW w:w="550" w:type="dxa"/>
            <w:tcBorders>
              <w:top w:val="nil"/>
              <w:left w:val="nil"/>
              <w:bottom w:val="single" w:sz="4" w:space="0" w:color="auto"/>
              <w:right w:val="single" w:sz="4" w:space="0" w:color="auto"/>
            </w:tcBorders>
            <w:shd w:val="clear" w:color="auto" w:fill="auto"/>
            <w:noWrap/>
            <w:vAlign w:val="bottom"/>
            <w:hideMark/>
          </w:tcPr>
          <w:p w14:paraId="0A2D4AB9"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121%</w:t>
            </w:r>
          </w:p>
        </w:tc>
        <w:tc>
          <w:tcPr>
            <w:tcW w:w="1164" w:type="dxa"/>
            <w:tcBorders>
              <w:top w:val="nil"/>
              <w:left w:val="nil"/>
              <w:bottom w:val="single" w:sz="4" w:space="0" w:color="auto"/>
              <w:right w:val="single" w:sz="4" w:space="0" w:color="auto"/>
            </w:tcBorders>
            <w:shd w:val="clear" w:color="auto" w:fill="auto"/>
            <w:noWrap/>
            <w:vAlign w:val="bottom"/>
            <w:hideMark/>
          </w:tcPr>
          <w:p w14:paraId="069850C9"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24.358.736</w:t>
            </w:r>
          </w:p>
        </w:tc>
        <w:tc>
          <w:tcPr>
            <w:tcW w:w="550" w:type="dxa"/>
            <w:tcBorders>
              <w:top w:val="nil"/>
              <w:left w:val="nil"/>
              <w:bottom w:val="single" w:sz="4" w:space="0" w:color="auto"/>
              <w:right w:val="single" w:sz="4" w:space="0" w:color="auto"/>
            </w:tcBorders>
            <w:shd w:val="clear" w:color="auto" w:fill="auto"/>
            <w:noWrap/>
            <w:vAlign w:val="bottom"/>
            <w:hideMark/>
          </w:tcPr>
          <w:p w14:paraId="1C5FDDA1"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43%</w:t>
            </w:r>
          </w:p>
        </w:tc>
        <w:tc>
          <w:tcPr>
            <w:tcW w:w="1164" w:type="dxa"/>
            <w:tcBorders>
              <w:top w:val="nil"/>
              <w:left w:val="nil"/>
              <w:bottom w:val="single" w:sz="4" w:space="0" w:color="auto"/>
              <w:right w:val="single" w:sz="4" w:space="0" w:color="auto"/>
            </w:tcBorders>
            <w:shd w:val="clear" w:color="auto" w:fill="auto"/>
            <w:noWrap/>
            <w:vAlign w:val="bottom"/>
            <w:hideMark/>
          </w:tcPr>
          <w:p w14:paraId="24C61C37"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51.725.634</w:t>
            </w:r>
          </w:p>
        </w:tc>
        <w:tc>
          <w:tcPr>
            <w:tcW w:w="1164" w:type="dxa"/>
            <w:tcBorders>
              <w:top w:val="nil"/>
              <w:left w:val="nil"/>
              <w:bottom w:val="single" w:sz="4" w:space="0" w:color="auto"/>
              <w:right w:val="single" w:sz="4" w:space="0" w:color="auto"/>
            </w:tcBorders>
            <w:shd w:val="clear" w:color="auto" w:fill="auto"/>
            <w:noWrap/>
            <w:vAlign w:val="bottom"/>
            <w:hideMark/>
          </w:tcPr>
          <w:p w14:paraId="5F3542B2"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68.054.744</w:t>
            </w:r>
          </w:p>
        </w:tc>
        <w:tc>
          <w:tcPr>
            <w:tcW w:w="1160" w:type="dxa"/>
            <w:tcBorders>
              <w:top w:val="nil"/>
              <w:left w:val="nil"/>
              <w:bottom w:val="single" w:sz="4" w:space="0" w:color="auto"/>
              <w:right w:val="single" w:sz="4" w:space="0" w:color="auto"/>
            </w:tcBorders>
            <w:shd w:val="clear" w:color="auto" w:fill="auto"/>
            <w:noWrap/>
            <w:vAlign w:val="bottom"/>
            <w:hideMark/>
          </w:tcPr>
          <w:p w14:paraId="194C82E7"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132</w:t>
            </w:r>
          </w:p>
        </w:tc>
        <w:tc>
          <w:tcPr>
            <w:tcW w:w="1164" w:type="dxa"/>
            <w:tcBorders>
              <w:top w:val="nil"/>
              <w:left w:val="nil"/>
              <w:bottom w:val="single" w:sz="4" w:space="0" w:color="auto"/>
              <w:right w:val="single" w:sz="4" w:space="0" w:color="auto"/>
            </w:tcBorders>
            <w:shd w:val="clear" w:color="auto" w:fill="auto"/>
            <w:noWrap/>
            <w:vAlign w:val="bottom"/>
            <w:hideMark/>
          </w:tcPr>
          <w:p w14:paraId="2746A26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24.358.736</w:t>
            </w:r>
          </w:p>
        </w:tc>
        <w:tc>
          <w:tcPr>
            <w:tcW w:w="962" w:type="dxa"/>
            <w:tcBorders>
              <w:top w:val="nil"/>
              <w:left w:val="nil"/>
              <w:bottom w:val="single" w:sz="4" w:space="0" w:color="auto"/>
              <w:right w:val="single" w:sz="4" w:space="0" w:color="auto"/>
            </w:tcBorders>
            <w:shd w:val="clear" w:color="auto" w:fill="auto"/>
            <w:noWrap/>
            <w:vAlign w:val="bottom"/>
            <w:hideMark/>
          </w:tcPr>
          <w:p w14:paraId="5BD0EBA9"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47%</w:t>
            </w:r>
          </w:p>
        </w:tc>
        <w:tc>
          <w:tcPr>
            <w:tcW w:w="2977" w:type="dxa"/>
            <w:tcBorders>
              <w:top w:val="nil"/>
              <w:left w:val="nil"/>
              <w:bottom w:val="single" w:sz="4" w:space="0" w:color="auto"/>
              <w:right w:val="single" w:sz="4" w:space="0" w:color="auto"/>
            </w:tcBorders>
            <w:shd w:val="clear" w:color="auto" w:fill="auto"/>
            <w:vAlign w:val="bottom"/>
            <w:hideMark/>
          </w:tcPr>
          <w:p w14:paraId="78ED8C9B"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Prenos pravic porabe v višini 4.694.982,31 EUR iz PO5, KS na PO7, KS.</w:t>
            </w:r>
          </w:p>
        </w:tc>
      </w:tr>
      <w:tr w:rsidR="002A7E48" w:rsidRPr="002A7E48" w14:paraId="20C04D5E" w14:textId="77777777" w:rsidTr="0042240D">
        <w:trPr>
          <w:trHeight w:val="7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14:paraId="1D040584"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c>
          <w:tcPr>
            <w:tcW w:w="620" w:type="dxa"/>
            <w:tcBorders>
              <w:top w:val="nil"/>
              <w:left w:val="nil"/>
              <w:bottom w:val="single" w:sz="4" w:space="0" w:color="auto"/>
              <w:right w:val="single" w:sz="4" w:space="0" w:color="auto"/>
            </w:tcBorders>
            <w:shd w:val="clear" w:color="auto" w:fill="auto"/>
            <w:noWrap/>
            <w:vAlign w:val="bottom"/>
            <w:hideMark/>
          </w:tcPr>
          <w:p w14:paraId="3E5449A8"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ESRR</w:t>
            </w:r>
          </w:p>
        </w:tc>
        <w:tc>
          <w:tcPr>
            <w:tcW w:w="980" w:type="dxa"/>
            <w:tcBorders>
              <w:top w:val="nil"/>
              <w:left w:val="nil"/>
              <w:bottom w:val="single" w:sz="4" w:space="0" w:color="auto"/>
              <w:right w:val="single" w:sz="4" w:space="0" w:color="auto"/>
            </w:tcBorders>
            <w:shd w:val="clear" w:color="auto" w:fill="auto"/>
            <w:noWrap/>
            <w:vAlign w:val="bottom"/>
            <w:hideMark/>
          </w:tcPr>
          <w:p w14:paraId="429A8E6B"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Vzhod</w:t>
            </w:r>
          </w:p>
        </w:tc>
        <w:tc>
          <w:tcPr>
            <w:tcW w:w="1164" w:type="dxa"/>
            <w:tcBorders>
              <w:top w:val="nil"/>
              <w:left w:val="nil"/>
              <w:bottom w:val="single" w:sz="4" w:space="0" w:color="auto"/>
              <w:right w:val="single" w:sz="4" w:space="0" w:color="auto"/>
            </w:tcBorders>
            <w:shd w:val="clear" w:color="auto" w:fill="auto"/>
            <w:noWrap/>
            <w:vAlign w:val="bottom"/>
            <w:hideMark/>
          </w:tcPr>
          <w:p w14:paraId="3E567749"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36.385.069</w:t>
            </w:r>
          </w:p>
        </w:tc>
        <w:tc>
          <w:tcPr>
            <w:tcW w:w="1164" w:type="dxa"/>
            <w:tcBorders>
              <w:top w:val="nil"/>
              <w:left w:val="nil"/>
              <w:bottom w:val="single" w:sz="4" w:space="0" w:color="auto"/>
              <w:right w:val="single" w:sz="4" w:space="0" w:color="auto"/>
            </w:tcBorders>
            <w:shd w:val="clear" w:color="auto" w:fill="auto"/>
            <w:noWrap/>
            <w:vAlign w:val="bottom"/>
            <w:hideMark/>
          </w:tcPr>
          <w:p w14:paraId="162B1240"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36.385.069</w:t>
            </w:r>
          </w:p>
        </w:tc>
        <w:tc>
          <w:tcPr>
            <w:tcW w:w="550" w:type="dxa"/>
            <w:tcBorders>
              <w:top w:val="nil"/>
              <w:left w:val="nil"/>
              <w:bottom w:val="single" w:sz="4" w:space="0" w:color="auto"/>
              <w:right w:val="single" w:sz="4" w:space="0" w:color="auto"/>
            </w:tcBorders>
            <w:shd w:val="clear" w:color="auto" w:fill="auto"/>
            <w:noWrap/>
            <w:vAlign w:val="bottom"/>
            <w:hideMark/>
          </w:tcPr>
          <w:p w14:paraId="0D67D5D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100%</w:t>
            </w:r>
          </w:p>
        </w:tc>
        <w:tc>
          <w:tcPr>
            <w:tcW w:w="1164" w:type="dxa"/>
            <w:tcBorders>
              <w:top w:val="nil"/>
              <w:left w:val="nil"/>
              <w:bottom w:val="single" w:sz="4" w:space="0" w:color="auto"/>
              <w:right w:val="single" w:sz="4" w:space="0" w:color="auto"/>
            </w:tcBorders>
            <w:shd w:val="clear" w:color="auto" w:fill="auto"/>
            <w:noWrap/>
            <w:vAlign w:val="bottom"/>
            <w:hideMark/>
          </w:tcPr>
          <w:p w14:paraId="6383D34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16.941.502</w:t>
            </w:r>
          </w:p>
        </w:tc>
        <w:tc>
          <w:tcPr>
            <w:tcW w:w="550" w:type="dxa"/>
            <w:tcBorders>
              <w:top w:val="nil"/>
              <w:left w:val="nil"/>
              <w:bottom w:val="single" w:sz="4" w:space="0" w:color="auto"/>
              <w:right w:val="single" w:sz="4" w:space="0" w:color="auto"/>
            </w:tcBorders>
            <w:shd w:val="clear" w:color="auto" w:fill="auto"/>
            <w:noWrap/>
            <w:vAlign w:val="bottom"/>
            <w:hideMark/>
          </w:tcPr>
          <w:p w14:paraId="534E194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47%</w:t>
            </w:r>
          </w:p>
        </w:tc>
        <w:tc>
          <w:tcPr>
            <w:tcW w:w="1164" w:type="dxa"/>
            <w:tcBorders>
              <w:top w:val="nil"/>
              <w:left w:val="nil"/>
              <w:bottom w:val="single" w:sz="4" w:space="0" w:color="auto"/>
              <w:right w:val="single" w:sz="4" w:space="0" w:color="auto"/>
            </w:tcBorders>
            <w:shd w:val="clear" w:color="auto" w:fill="auto"/>
            <w:noWrap/>
            <w:vAlign w:val="bottom"/>
            <w:hideMark/>
          </w:tcPr>
          <w:p w14:paraId="762C6645"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28.101.310</w:t>
            </w:r>
          </w:p>
        </w:tc>
        <w:tc>
          <w:tcPr>
            <w:tcW w:w="1164" w:type="dxa"/>
            <w:tcBorders>
              <w:top w:val="nil"/>
              <w:left w:val="nil"/>
              <w:bottom w:val="single" w:sz="4" w:space="0" w:color="auto"/>
              <w:right w:val="single" w:sz="4" w:space="0" w:color="auto"/>
            </w:tcBorders>
            <w:shd w:val="clear" w:color="auto" w:fill="auto"/>
            <w:noWrap/>
            <w:vAlign w:val="bottom"/>
            <w:hideMark/>
          </w:tcPr>
          <w:p w14:paraId="205C6F1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36.385.069</w:t>
            </w:r>
          </w:p>
        </w:tc>
        <w:tc>
          <w:tcPr>
            <w:tcW w:w="1160" w:type="dxa"/>
            <w:tcBorders>
              <w:top w:val="nil"/>
              <w:left w:val="nil"/>
              <w:bottom w:val="single" w:sz="4" w:space="0" w:color="auto"/>
              <w:right w:val="single" w:sz="4" w:space="0" w:color="auto"/>
            </w:tcBorders>
            <w:shd w:val="clear" w:color="auto" w:fill="auto"/>
            <w:noWrap/>
            <w:vAlign w:val="bottom"/>
            <w:hideMark/>
          </w:tcPr>
          <w:p w14:paraId="151E68F3"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129</w:t>
            </w:r>
          </w:p>
        </w:tc>
        <w:tc>
          <w:tcPr>
            <w:tcW w:w="1164" w:type="dxa"/>
            <w:tcBorders>
              <w:top w:val="nil"/>
              <w:left w:val="nil"/>
              <w:bottom w:val="single" w:sz="4" w:space="0" w:color="auto"/>
              <w:right w:val="single" w:sz="4" w:space="0" w:color="auto"/>
            </w:tcBorders>
            <w:shd w:val="clear" w:color="auto" w:fill="auto"/>
            <w:noWrap/>
            <w:vAlign w:val="bottom"/>
            <w:hideMark/>
          </w:tcPr>
          <w:p w14:paraId="4AACF07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16.941.502</w:t>
            </w:r>
          </w:p>
        </w:tc>
        <w:tc>
          <w:tcPr>
            <w:tcW w:w="962" w:type="dxa"/>
            <w:tcBorders>
              <w:top w:val="nil"/>
              <w:left w:val="nil"/>
              <w:bottom w:val="single" w:sz="4" w:space="0" w:color="auto"/>
              <w:right w:val="single" w:sz="4" w:space="0" w:color="auto"/>
            </w:tcBorders>
            <w:shd w:val="clear" w:color="auto" w:fill="auto"/>
            <w:noWrap/>
            <w:vAlign w:val="bottom"/>
            <w:hideMark/>
          </w:tcPr>
          <w:p w14:paraId="6791FC4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60%</w:t>
            </w:r>
          </w:p>
        </w:tc>
        <w:tc>
          <w:tcPr>
            <w:tcW w:w="2977" w:type="dxa"/>
            <w:tcBorders>
              <w:top w:val="nil"/>
              <w:left w:val="nil"/>
              <w:bottom w:val="single" w:sz="4" w:space="0" w:color="auto"/>
              <w:right w:val="single" w:sz="4" w:space="0" w:color="auto"/>
            </w:tcBorders>
            <w:shd w:val="clear" w:color="auto" w:fill="auto"/>
            <w:vAlign w:val="bottom"/>
            <w:hideMark/>
          </w:tcPr>
          <w:p w14:paraId="668894C6"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Prenos pravic porabe v višini 8.283.759,26 EUR iz PO5, ESRR Vzhod na PO4, ESRR Vzhod.</w:t>
            </w:r>
          </w:p>
        </w:tc>
      </w:tr>
      <w:tr w:rsidR="002A7E48" w:rsidRPr="002A7E48" w14:paraId="4E4452D9" w14:textId="77777777" w:rsidTr="0042240D">
        <w:trPr>
          <w:trHeight w:val="30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14:paraId="0C64D609"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6</w:t>
            </w:r>
          </w:p>
        </w:tc>
        <w:tc>
          <w:tcPr>
            <w:tcW w:w="620" w:type="dxa"/>
            <w:tcBorders>
              <w:top w:val="nil"/>
              <w:left w:val="nil"/>
              <w:bottom w:val="single" w:sz="4" w:space="0" w:color="auto"/>
              <w:right w:val="single" w:sz="4" w:space="0" w:color="auto"/>
            </w:tcBorders>
            <w:shd w:val="clear" w:color="auto" w:fill="auto"/>
            <w:noWrap/>
            <w:vAlign w:val="bottom"/>
            <w:hideMark/>
          </w:tcPr>
          <w:p w14:paraId="1373C44E"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KS</w:t>
            </w:r>
          </w:p>
        </w:tc>
        <w:tc>
          <w:tcPr>
            <w:tcW w:w="980" w:type="dxa"/>
            <w:tcBorders>
              <w:top w:val="nil"/>
              <w:left w:val="nil"/>
              <w:bottom w:val="single" w:sz="4" w:space="0" w:color="auto"/>
              <w:right w:val="single" w:sz="4" w:space="0" w:color="auto"/>
            </w:tcBorders>
            <w:shd w:val="clear" w:color="auto" w:fill="auto"/>
            <w:noWrap/>
            <w:vAlign w:val="bottom"/>
            <w:hideMark/>
          </w:tcPr>
          <w:p w14:paraId="5B3E9E2E"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Celotna SI</w:t>
            </w:r>
          </w:p>
        </w:tc>
        <w:tc>
          <w:tcPr>
            <w:tcW w:w="1164" w:type="dxa"/>
            <w:tcBorders>
              <w:top w:val="nil"/>
              <w:left w:val="nil"/>
              <w:bottom w:val="single" w:sz="4" w:space="0" w:color="auto"/>
              <w:right w:val="single" w:sz="4" w:space="0" w:color="auto"/>
            </w:tcBorders>
            <w:shd w:val="clear" w:color="auto" w:fill="auto"/>
            <w:noWrap/>
            <w:vAlign w:val="bottom"/>
            <w:hideMark/>
          </w:tcPr>
          <w:p w14:paraId="0C472D3F"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284.389.163</w:t>
            </w:r>
          </w:p>
        </w:tc>
        <w:tc>
          <w:tcPr>
            <w:tcW w:w="1164" w:type="dxa"/>
            <w:tcBorders>
              <w:top w:val="nil"/>
              <w:left w:val="nil"/>
              <w:bottom w:val="single" w:sz="4" w:space="0" w:color="auto"/>
              <w:right w:val="single" w:sz="4" w:space="0" w:color="auto"/>
            </w:tcBorders>
            <w:shd w:val="clear" w:color="auto" w:fill="auto"/>
            <w:noWrap/>
            <w:vAlign w:val="bottom"/>
            <w:hideMark/>
          </w:tcPr>
          <w:p w14:paraId="219F77E5"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317.363.498</w:t>
            </w:r>
          </w:p>
        </w:tc>
        <w:tc>
          <w:tcPr>
            <w:tcW w:w="550" w:type="dxa"/>
            <w:tcBorders>
              <w:top w:val="nil"/>
              <w:left w:val="nil"/>
              <w:bottom w:val="single" w:sz="4" w:space="0" w:color="auto"/>
              <w:right w:val="single" w:sz="4" w:space="0" w:color="auto"/>
            </w:tcBorders>
            <w:shd w:val="clear" w:color="auto" w:fill="auto"/>
            <w:noWrap/>
            <w:vAlign w:val="bottom"/>
            <w:hideMark/>
          </w:tcPr>
          <w:p w14:paraId="7DC753E5"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112%</w:t>
            </w:r>
          </w:p>
        </w:tc>
        <w:tc>
          <w:tcPr>
            <w:tcW w:w="1164" w:type="dxa"/>
            <w:tcBorders>
              <w:top w:val="nil"/>
              <w:left w:val="nil"/>
              <w:bottom w:val="single" w:sz="4" w:space="0" w:color="auto"/>
              <w:right w:val="single" w:sz="4" w:space="0" w:color="auto"/>
            </w:tcBorders>
            <w:shd w:val="clear" w:color="auto" w:fill="auto"/>
            <w:noWrap/>
            <w:vAlign w:val="bottom"/>
            <w:hideMark/>
          </w:tcPr>
          <w:p w14:paraId="62EA71E0"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239.119.585</w:t>
            </w:r>
          </w:p>
        </w:tc>
        <w:tc>
          <w:tcPr>
            <w:tcW w:w="550" w:type="dxa"/>
            <w:tcBorders>
              <w:top w:val="nil"/>
              <w:left w:val="nil"/>
              <w:bottom w:val="single" w:sz="4" w:space="0" w:color="auto"/>
              <w:right w:val="single" w:sz="4" w:space="0" w:color="auto"/>
            </w:tcBorders>
            <w:shd w:val="clear" w:color="auto" w:fill="auto"/>
            <w:noWrap/>
            <w:vAlign w:val="bottom"/>
            <w:hideMark/>
          </w:tcPr>
          <w:p w14:paraId="571F779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84%</w:t>
            </w:r>
          </w:p>
        </w:tc>
        <w:tc>
          <w:tcPr>
            <w:tcW w:w="1164" w:type="dxa"/>
            <w:tcBorders>
              <w:top w:val="nil"/>
              <w:left w:val="nil"/>
              <w:bottom w:val="single" w:sz="4" w:space="0" w:color="auto"/>
              <w:right w:val="single" w:sz="4" w:space="0" w:color="auto"/>
            </w:tcBorders>
            <w:shd w:val="clear" w:color="auto" w:fill="auto"/>
            <w:noWrap/>
            <w:vAlign w:val="bottom"/>
            <w:hideMark/>
          </w:tcPr>
          <w:p w14:paraId="6D3CA8AF"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284.389.163</w:t>
            </w:r>
          </w:p>
        </w:tc>
        <w:tc>
          <w:tcPr>
            <w:tcW w:w="1164" w:type="dxa"/>
            <w:tcBorders>
              <w:top w:val="nil"/>
              <w:left w:val="nil"/>
              <w:bottom w:val="single" w:sz="4" w:space="0" w:color="auto"/>
              <w:right w:val="single" w:sz="4" w:space="0" w:color="auto"/>
            </w:tcBorders>
            <w:shd w:val="clear" w:color="auto" w:fill="auto"/>
            <w:noWrap/>
            <w:vAlign w:val="bottom"/>
            <w:hideMark/>
          </w:tcPr>
          <w:p w14:paraId="4B203BEF"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317.363.498</w:t>
            </w:r>
          </w:p>
        </w:tc>
        <w:tc>
          <w:tcPr>
            <w:tcW w:w="1160" w:type="dxa"/>
            <w:tcBorders>
              <w:top w:val="nil"/>
              <w:left w:val="nil"/>
              <w:bottom w:val="single" w:sz="4" w:space="0" w:color="auto"/>
              <w:right w:val="single" w:sz="4" w:space="0" w:color="auto"/>
            </w:tcBorders>
            <w:shd w:val="clear" w:color="auto" w:fill="auto"/>
            <w:noWrap/>
            <w:vAlign w:val="bottom"/>
            <w:hideMark/>
          </w:tcPr>
          <w:p w14:paraId="2EA80B21"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112</w:t>
            </w:r>
          </w:p>
        </w:tc>
        <w:tc>
          <w:tcPr>
            <w:tcW w:w="1164" w:type="dxa"/>
            <w:tcBorders>
              <w:top w:val="nil"/>
              <w:left w:val="nil"/>
              <w:bottom w:val="single" w:sz="4" w:space="0" w:color="auto"/>
              <w:right w:val="single" w:sz="4" w:space="0" w:color="auto"/>
            </w:tcBorders>
            <w:shd w:val="clear" w:color="auto" w:fill="auto"/>
            <w:noWrap/>
            <w:vAlign w:val="bottom"/>
            <w:hideMark/>
          </w:tcPr>
          <w:p w14:paraId="7FBFB984"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239.119.585</w:t>
            </w:r>
          </w:p>
        </w:tc>
        <w:tc>
          <w:tcPr>
            <w:tcW w:w="962" w:type="dxa"/>
            <w:tcBorders>
              <w:top w:val="nil"/>
              <w:left w:val="nil"/>
              <w:bottom w:val="single" w:sz="4" w:space="0" w:color="auto"/>
              <w:right w:val="single" w:sz="4" w:space="0" w:color="auto"/>
            </w:tcBorders>
            <w:shd w:val="clear" w:color="auto" w:fill="auto"/>
            <w:noWrap/>
            <w:vAlign w:val="bottom"/>
            <w:hideMark/>
          </w:tcPr>
          <w:p w14:paraId="793CF68F"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84%</w:t>
            </w:r>
          </w:p>
        </w:tc>
        <w:tc>
          <w:tcPr>
            <w:tcW w:w="2977" w:type="dxa"/>
            <w:tcBorders>
              <w:top w:val="nil"/>
              <w:left w:val="nil"/>
              <w:bottom w:val="single" w:sz="4" w:space="0" w:color="auto"/>
              <w:right w:val="single" w:sz="4" w:space="0" w:color="auto"/>
            </w:tcBorders>
            <w:shd w:val="clear" w:color="auto" w:fill="auto"/>
            <w:vAlign w:val="bottom"/>
            <w:hideMark/>
          </w:tcPr>
          <w:p w14:paraId="32CBC4A9"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r>
      <w:tr w:rsidR="002A7E48" w:rsidRPr="002A7E48" w14:paraId="49C64870" w14:textId="77777777" w:rsidTr="0042240D">
        <w:trPr>
          <w:trHeight w:val="30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14:paraId="2E2B254D"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c>
          <w:tcPr>
            <w:tcW w:w="620" w:type="dxa"/>
            <w:tcBorders>
              <w:top w:val="nil"/>
              <w:left w:val="nil"/>
              <w:bottom w:val="single" w:sz="4" w:space="0" w:color="auto"/>
              <w:right w:val="single" w:sz="4" w:space="0" w:color="auto"/>
            </w:tcBorders>
            <w:shd w:val="clear" w:color="auto" w:fill="auto"/>
            <w:noWrap/>
            <w:vAlign w:val="bottom"/>
            <w:hideMark/>
          </w:tcPr>
          <w:p w14:paraId="4842C5FA"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ESRR</w:t>
            </w:r>
          </w:p>
        </w:tc>
        <w:tc>
          <w:tcPr>
            <w:tcW w:w="980" w:type="dxa"/>
            <w:tcBorders>
              <w:top w:val="nil"/>
              <w:left w:val="nil"/>
              <w:bottom w:val="single" w:sz="4" w:space="0" w:color="auto"/>
              <w:right w:val="single" w:sz="4" w:space="0" w:color="auto"/>
            </w:tcBorders>
            <w:shd w:val="clear" w:color="auto" w:fill="auto"/>
            <w:noWrap/>
            <w:vAlign w:val="bottom"/>
            <w:hideMark/>
          </w:tcPr>
          <w:p w14:paraId="44B1DAD7"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Vzhod</w:t>
            </w:r>
          </w:p>
        </w:tc>
        <w:tc>
          <w:tcPr>
            <w:tcW w:w="1164" w:type="dxa"/>
            <w:tcBorders>
              <w:top w:val="nil"/>
              <w:left w:val="nil"/>
              <w:bottom w:val="single" w:sz="4" w:space="0" w:color="auto"/>
              <w:right w:val="single" w:sz="4" w:space="0" w:color="auto"/>
            </w:tcBorders>
            <w:shd w:val="clear" w:color="auto" w:fill="auto"/>
            <w:noWrap/>
            <w:vAlign w:val="bottom"/>
            <w:hideMark/>
          </w:tcPr>
          <w:p w14:paraId="76254DD5"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100.032.755</w:t>
            </w:r>
          </w:p>
        </w:tc>
        <w:tc>
          <w:tcPr>
            <w:tcW w:w="1164" w:type="dxa"/>
            <w:tcBorders>
              <w:top w:val="nil"/>
              <w:left w:val="nil"/>
              <w:bottom w:val="single" w:sz="4" w:space="0" w:color="auto"/>
              <w:right w:val="single" w:sz="4" w:space="0" w:color="auto"/>
            </w:tcBorders>
            <w:shd w:val="clear" w:color="auto" w:fill="auto"/>
            <w:noWrap/>
            <w:vAlign w:val="bottom"/>
            <w:hideMark/>
          </w:tcPr>
          <w:p w14:paraId="1027DB85"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91.606.845</w:t>
            </w:r>
          </w:p>
        </w:tc>
        <w:tc>
          <w:tcPr>
            <w:tcW w:w="550" w:type="dxa"/>
            <w:tcBorders>
              <w:top w:val="nil"/>
              <w:left w:val="nil"/>
              <w:bottom w:val="single" w:sz="4" w:space="0" w:color="auto"/>
              <w:right w:val="single" w:sz="4" w:space="0" w:color="auto"/>
            </w:tcBorders>
            <w:shd w:val="clear" w:color="auto" w:fill="auto"/>
            <w:noWrap/>
            <w:vAlign w:val="bottom"/>
            <w:hideMark/>
          </w:tcPr>
          <w:p w14:paraId="641D2999"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92%</w:t>
            </w:r>
          </w:p>
        </w:tc>
        <w:tc>
          <w:tcPr>
            <w:tcW w:w="1164" w:type="dxa"/>
            <w:tcBorders>
              <w:top w:val="nil"/>
              <w:left w:val="nil"/>
              <w:bottom w:val="single" w:sz="4" w:space="0" w:color="auto"/>
              <w:right w:val="single" w:sz="4" w:space="0" w:color="auto"/>
            </w:tcBorders>
            <w:shd w:val="clear" w:color="auto" w:fill="auto"/>
            <w:noWrap/>
            <w:vAlign w:val="bottom"/>
            <w:hideMark/>
          </w:tcPr>
          <w:p w14:paraId="4DD1B9D5"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72.785.421</w:t>
            </w:r>
          </w:p>
        </w:tc>
        <w:tc>
          <w:tcPr>
            <w:tcW w:w="550" w:type="dxa"/>
            <w:tcBorders>
              <w:top w:val="nil"/>
              <w:left w:val="nil"/>
              <w:bottom w:val="single" w:sz="4" w:space="0" w:color="auto"/>
              <w:right w:val="single" w:sz="4" w:space="0" w:color="auto"/>
            </w:tcBorders>
            <w:shd w:val="clear" w:color="auto" w:fill="auto"/>
            <w:noWrap/>
            <w:vAlign w:val="bottom"/>
            <w:hideMark/>
          </w:tcPr>
          <w:p w14:paraId="01D305C3"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73%</w:t>
            </w:r>
          </w:p>
        </w:tc>
        <w:tc>
          <w:tcPr>
            <w:tcW w:w="1164" w:type="dxa"/>
            <w:tcBorders>
              <w:top w:val="nil"/>
              <w:left w:val="nil"/>
              <w:bottom w:val="single" w:sz="4" w:space="0" w:color="auto"/>
              <w:right w:val="single" w:sz="4" w:space="0" w:color="auto"/>
            </w:tcBorders>
            <w:shd w:val="clear" w:color="auto" w:fill="auto"/>
            <w:noWrap/>
            <w:vAlign w:val="bottom"/>
            <w:hideMark/>
          </w:tcPr>
          <w:p w14:paraId="1790B41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100.032.755</w:t>
            </w:r>
          </w:p>
        </w:tc>
        <w:tc>
          <w:tcPr>
            <w:tcW w:w="1164" w:type="dxa"/>
            <w:tcBorders>
              <w:top w:val="nil"/>
              <w:left w:val="nil"/>
              <w:bottom w:val="single" w:sz="4" w:space="0" w:color="auto"/>
              <w:right w:val="single" w:sz="4" w:space="0" w:color="auto"/>
            </w:tcBorders>
            <w:shd w:val="clear" w:color="auto" w:fill="auto"/>
            <w:noWrap/>
            <w:vAlign w:val="bottom"/>
            <w:hideMark/>
          </w:tcPr>
          <w:p w14:paraId="255A0E02"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91.606.845</w:t>
            </w:r>
          </w:p>
        </w:tc>
        <w:tc>
          <w:tcPr>
            <w:tcW w:w="1160" w:type="dxa"/>
            <w:tcBorders>
              <w:top w:val="nil"/>
              <w:left w:val="nil"/>
              <w:bottom w:val="single" w:sz="4" w:space="0" w:color="auto"/>
              <w:right w:val="single" w:sz="4" w:space="0" w:color="auto"/>
            </w:tcBorders>
            <w:shd w:val="clear" w:color="auto" w:fill="auto"/>
            <w:noWrap/>
            <w:vAlign w:val="bottom"/>
            <w:hideMark/>
          </w:tcPr>
          <w:p w14:paraId="0AD834E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92</w:t>
            </w:r>
          </w:p>
        </w:tc>
        <w:tc>
          <w:tcPr>
            <w:tcW w:w="1164" w:type="dxa"/>
            <w:tcBorders>
              <w:top w:val="nil"/>
              <w:left w:val="nil"/>
              <w:bottom w:val="single" w:sz="4" w:space="0" w:color="auto"/>
              <w:right w:val="single" w:sz="4" w:space="0" w:color="auto"/>
            </w:tcBorders>
            <w:shd w:val="clear" w:color="auto" w:fill="auto"/>
            <w:noWrap/>
            <w:vAlign w:val="bottom"/>
            <w:hideMark/>
          </w:tcPr>
          <w:p w14:paraId="2373258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72.785.421</w:t>
            </w:r>
          </w:p>
        </w:tc>
        <w:tc>
          <w:tcPr>
            <w:tcW w:w="962" w:type="dxa"/>
            <w:tcBorders>
              <w:top w:val="nil"/>
              <w:left w:val="nil"/>
              <w:bottom w:val="single" w:sz="4" w:space="0" w:color="auto"/>
              <w:right w:val="single" w:sz="4" w:space="0" w:color="auto"/>
            </w:tcBorders>
            <w:shd w:val="clear" w:color="auto" w:fill="auto"/>
            <w:noWrap/>
            <w:vAlign w:val="bottom"/>
            <w:hideMark/>
          </w:tcPr>
          <w:p w14:paraId="1373F6E0"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73%</w:t>
            </w:r>
          </w:p>
        </w:tc>
        <w:tc>
          <w:tcPr>
            <w:tcW w:w="2977" w:type="dxa"/>
            <w:tcBorders>
              <w:top w:val="nil"/>
              <w:left w:val="nil"/>
              <w:bottom w:val="single" w:sz="4" w:space="0" w:color="auto"/>
              <w:right w:val="single" w:sz="4" w:space="0" w:color="auto"/>
            </w:tcBorders>
            <w:shd w:val="clear" w:color="auto" w:fill="auto"/>
            <w:vAlign w:val="bottom"/>
            <w:hideMark/>
          </w:tcPr>
          <w:p w14:paraId="62D2BDC0"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r>
      <w:tr w:rsidR="002A7E48" w:rsidRPr="002A7E48" w14:paraId="066D1413" w14:textId="77777777" w:rsidTr="0042240D">
        <w:trPr>
          <w:trHeight w:val="30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14:paraId="56D5DAC9"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c>
          <w:tcPr>
            <w:tcW w:w="620" w:type="dxa"/>
            <w:tcBorders>
              <w:top w:val="nil"/>
              <w:left w:val="nil"/>
              <w:bottom w:val="single" w:sz="4" w:space="0" w:color="auto"/>
              <w:right w:val="single" w:sz="4" w:space="0" w:color="auto"/>
            </w:tcBorders>
            <w:shd w:val="clear" w:color="auto" w:fill="auto"/>
            <w:noWrap/>
            <w:vAlign w:val="bottom"/>
            <w:hideMark/>
          </w:tcPr>
          <w:p w14:paraId="653732A6"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ESRR</w:t>
            </w:r>
          </w:p>
        </w:tc>
        <w:tc>
          <w:tcPr>
            <w:tcW w:w="980" w:type="dxa"/>
            <w:tcBorders>
              <w:top w:val="nil"/>
              <w:left w:val="nil"/>
              <w:bottom w:val="single" w:sz="4" w:space="0" w:color="auto"/>
              <w:right w:val="single" w:sz="4" w:space="0" w:color="auto"/>
            </w:tcBorders>
            <w:shd w:val="clear" w:color="auto" w:fill="auto"/>
            <w:noWrap/>
            <w:vAlign w:val="bottom"/>
            <w:hideMark/>
          </w:tcPr>
          <w:p w14:paraId="119EFE26"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Zahod</w:t>
            </w:r>
          </w:p>
        </w:tc>
        <w:tc>
          <w:tcPr>
            <w:tcW w:w="1164" w:type="dxa"/>
            <w:tcBorders>
              <w:top w:val="nil"/>
              <w:left w:val="nil"/>
              <w:bottom w:val="single" w:sz="4" w:space="0" w:color="auto"/>
              <w:right w:val="single" w:sz="4" w:space="0" w:color="auto"/>
            </w:tcBorders>
            <w:shd w:val="clear" w:color="auto" w:fill="auto"/>
            <w:noWrap/>
            <w:vAlign w:val="bottom"/>
            <w:hideMark/>
          </w:tcPr>
          <w:p w14:paraId="1B88A43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48.999.997</w:t>
            </w:r>
          </w:p>
        </w:tc>
        <w:tc>
          <w:tcPr>
            <w:tcW w:w="1164" w:type="dxa"/>
            <w:tcBorders>
              <w:top w:val="nil"/>
              <w:left w:val="nil"/>
              <w:bottom w:val="single" w:sz="4" w:space="0" w:color="auto"/>
              <w:right w:val="single" w:sz="4" w:space="0" w:color="auto"/>
            </w:tcBorders>
            <w:shd w:val="clear" w:color="auto" w:fill="auto"/>
            <w:noWrap/>
            <w:vAlign w:val="bottom"/>
            <w:hideMark/>
          </w:tcPr>
          <w:p w14:paraId="641186FC"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43.067.580</w:t>
            </w:r>
          </w:p>
        </w:tc>
        <w:tc>
          <w:tcPr>
            <w:tcW w:w="550" w:type="dxa"/>
            <w:tcBorders>
              <w:top w:val="nil"/>
              <w:left w:val="nil"/>
              <w:bottom w:val="single" w:sz="4" w:space="0" w:color="auto"/>
              <w:right w:val="single" w:sz="4" w:space="0" w:color="auto"/>
            </w:tcBorders>
            <w:shd w:val="clear" w:color="auto" w:fill="auto"/>
            <w:noWrap/>
            <w:vAlign w:val="bottom"/>
            <w:hideMark/>
          </w:tcPr>
          <w:p w14:paraId="0F744EB0"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88%</w:t>
            </w:r>
          </w:p>
        </w:tc>
        <w:tc>
          <w:tcPr>
            <w:tcW w:w="1164" w:type="dxa"/>
            <w:tcBorders>
              <w:top w:val="nil"/>
              <w:left w:val="nil"/>
              <w:bottom w:val="single" w:sz="4" w:space="0" w:color="auto"/>
              <w:right w:val="single" w:sz="4" w:space="0" w:color="auto"/>
            </w:tcBorders>
            <w:shd w:val="clear" w:color="auto" w:fill="auto"/>
            <w:noWrap/>
            <w:vAlign w:val="bottom"/>
            <w:hideMark/>
          </w:tcPr>
          <w:p w14:paraId="7BFB60F1"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38.148.996</w:t>
            </w:r>
          </w:p>
        </w:tc>
        <w:tc>
          <w:tcPr>
            <w:tcW w:w="550" w:type="dxa"/>
            <w:tcBorders>
              <w:top w:val="nil"/>
              <w:left w:val="nil"/>
              <w:bottom w:val="single" w:sz="4" w:space="0" w:color="auto"/>
              <w:right w:val="single" w:sz="4" w:space="0" w:color="auto"/>
            </w:tcBorders>
            <w:shd w:val="clear" w:color="auto" w:fill="auto"/>
            <w:noWrap/>
            <w:vAlign w:val="bottom"/>
            <w:hideMark/>
          </w:tcPr>
          <w:p w14:paraId="75C307C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78%</w:t>
            </w:r>
          </w:p>
        </w:tc>
        <w:tc>
          <w:tcPr>
            <w:tcW w:w="1164" w:type="dxa"/>
            <w:tcBorders>
              <w:top w:val="nil"/>
              <w:left w:val="nil"/>
              <w:bottom w:val="single" w:sz="4" w:space="0" w:color="auto"/>
              <w:right w:val="single" w:sz="4" w:space="0" w:color="auto"/>
            </w:tcBorders>
            <w:shd w:val="clear" w:color="auto" w:fill="auto"/>
            <w:noWrap/>
            <w:vAlign w:val="bottom"/>
            <w:hideMark/>
          </w:tcPr>
          <w:p w14:paraId="560ED58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48.999.997</w:t>
            </w:r>
          </w:p>
        </w:tc>
        <w:tc>
          <w:tcPr>
            <w:tcW w:w="1164" w:type="dxa"/>
            <w:tcBorders>
              <w:top w:val="nil"/>
              <w:left w:val="nil"/>
              <w:bottom w:val="single" w:sz="4" w:space="0" w:color="auto"/>
              <w:right w:val="single" w:sz="4" w:space="0" w:color="auto"/>
            </w:tcBorders>
            <w:shd w:val="clear" w:color="auto" w:fill="auto"/>
            <w:noWrap/>
            <w:vAlign w:val="bottom"/>
            <w:hideMark/>
          </w:tcPr>
          <w:p w14:paraId="122293B5"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43.067.580</w:t>
            </w:r>
          </w:p>
        </w:tc>
        <w:tc>
          <w:tcPr>
            <w:tcW w:w="1160" w:type="dxa"/>
            <w:tcBorders>
              <w:top w:val="nil"/>
              <w:left w:val="nil"/>
              <w:bottom w:val="single" w:sz="4" w:space="0" w:color="auto"/>
              <w:right w:val="single" w:sz="4" w:space="0" w:color="auto"/>
            </w:tcBorders>
            <w:shd w:val="clear" w:color="auto" w:fill="auto"/>
            <w:noWrap/>
            <w:vAlign w:val="bottom"/>
            <w:hideMark/>
          </w:tcPr>
          <w:p w14:paraId="53893D4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88</w:t>
            </w:r>
          </w:p>
        </w:tc>
        <w:tc>
          <w:tcPr>
            <w:tcW w:w="1164" w:type="dxa"/>
            <w:tcBorders>
              <w:top w:val="nil"/>
              <w:left w:val="nil"/>
              <w:bottom w:val="single" w:sz="4" w:space="0" w:color="auto"/>
              <w:right w:val="single" w:sz="4" w:space="0" w:color="auto"/>
            </w:tcBorders>
            <w:shd w:val="clear" w:color="auto" w:fill="auto"/>
            <w:noWrap/>
            <w:vAlign w:val="bottom"/>
            <w:hideMark/>
          </w:tcPr>
          <w:p w14:paraId="530195C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38.148.996</w:t>
            </w:r>
          </w:p>
        </w:tc>
        <w:tc>
          <w:tcPr>
            <w:tcW w:w="962" w:type="dxa"/>
            <w:tcBorders>
              <w:top w:val="nil"/>
              <w:left w:val="nil"/>
              <w:bottom w:val="single" w:sz="4" w:space="0" w:color="auto"/>
              <w:right w:val="single" w:sz="4" w:space="0" w:color="auto"/>
            </w:tcBorders>
            <w:shd w:val="clear" w:color="auto" w:fill="auto"/>
            <w:noWrap/>
            <w:vAlign w:val="bottom"/>
            <w:hideMark/>
          </w:tcPr>
          <w:p w14:paraId="7EDCC9B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78%</w:t>
            </w:r>
          </w:p>
        </w:tc>
        <w:tc>
          <w:tcPr>
            <w:tcW w:w="2977" w:type="dxa"/>
            <w:tcBorders>
              <w:top w:val="nil"/>
              <w:left w:val="nil"/>
              <w:bottom w:val="single" w:sz="4" w:space="0" w:color="auto"/>
              <w:right w:val="single" w:sz="4" w:space="0" w:color="auto"/>
            </w:tcBorders>
            <w:shd w:val="clear" w:color="auto" w:fill="auto"/>
            <w:vAlign w:val="bottom"/>
            <w:hideMark/>
          </w:tcPr>
          <w:p w14:paraId="77334F10"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r>
      <w:tr w:rsidR="002A7E48" w:rsidRPr="002A7E48" w14:paraId="754F3511" w14:textId="77777777" w:rsidTr="0042240D">
        <w:trPr>
          <w:trHeight w:val="90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14:paraId="21A7C8B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lastRenderedPageBreak/>
              <w:t>7</w:t>
            </w:r>
          </w:p>
        </w:tc>
        <w:tc>
          <w:tcPr>
            <w:tcW w:w="620" w:type="dxa"/>
            <w:tcBorders>
              <w:top w:val="nil"/>
              <w:left w:val="nil"/>
              <w:bottom w:val="single" w:sz="4" w:space="0" w:color="auto"/>
              <w:right w:val="single" w:sz="4" w:space="0" w:color="auto"/>
            </w:tcBorders>
            <w:shd w:val="clear" w:color="auto" w:fill="auto"/>
            <w:noWrap/>
            <w:vAlign w:val="bottom"/>
            <w:hideMark/>
          </w:tcPr>
          <w:p w14:paraId="3CCCB81A"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KS</w:t>
            </w:r>
          </w:p>
        </w:tc>
        <w:tc>
          <w:tcPr>
            <w:tcW w:w="980" w:type="dxa"/>
            <w:tcBorders>
              <w:top w:val="nil"/>
              <w:left w:val="nil"/>
              <w:bottom w:val="single" w:sz="4" w:space="0" w:color="auto"/>
              <w:right w:val="single" w:sz="4" w:space="0" w:color="auto"/>
            </w:tcBorders>
            <w:shd w:val="clear" w:color="auto" w:fill="auto"/>
            <w:noWrap/>
            <w:vAlign w:val="bottom"/>
            <w:hideMark/>
          </w:tcPr>
          <w:p w14:paraId="14BF9530"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Celotna SI</w:t>
            </w:r>
          </w:p>
        </w:tc>
        <w:tc>
          <w:tcPr>
            <w:tcW w:w="1164" w:type="dxa"/>
            <w:tcBorders>
              <w:top w:val="nil"/>
              <w:left w:val="nil"/>
              <w:bottom w:val="single" w:sz="4" w:space="0" w:color="auto"/>
              <w:right w:val="single" w:sz="4" w:space="0" w:color="auto"/>
            </w:tcBorders>
            <w:shd w:val="clear" w:color="auto" w:fill="auto"/>
            <w:noWrap/>
            <w:vAlign w:val="bottom"/>
            <w:hideMark/>
          </w:tcPr>
          <w:p w14:paraId="14CB20D1"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245.684.430</w:t>
            </w:r>
          </w:p>
        </w:tc>
        <w:tc>
          <w:tcPr>
            <w:tcW w:w="1164" w:type="dxa"/>
            <w:tcBorders>
              <w:top w:val="nil"/>
              <w:left w:val="nil"/>
              <w:bottom w:val="single" w:sz="4" w:space="0" w:color="auto"/>
              <w:right w:val="single" w:sz="4" w:space="0" w:color="auto"/>
            </w:tcBorders>
            <w:shd w:val="clear" w:color="auto" w:fill="auto"/>
            <w:noWrap/>
            <w:vAlign w:val="bottom"/>
            <w:hideMark/>
          </w:tcPr>
          <w:p w14:paraId="4FB6A540"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299.691.429</w:t>
            </w:r>
          </w:p>
        </w:tc>
        <w:tc>
          <w:tcPr>
            <w:tcW w:w="550" w:type="dxa"/>
            <w:tcBorders>
              <w:top w:val="nil"/>
              <w:left w:val="nil"/>
              <w:bottom w:val="single" w:sz="4" w:space="0" w:color="auto"/>
              <w:right w:val="single" w:sz="4" w:space="0" w:color="auto"/>
            </w:tcBorders>
            <w:shd w:val="clear" w:color="auto" w:fill="auto"/>
            <w:noWrap/>
            <w:vAlign w:val="bottom"/>
            <w:hideMark/>
          </w:tcPr>
          <w:p w14:paraId="2CEE725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122%</w:t>
            </w:r>
          </w:p>
        </w:tc>
        <w:tc>
          <w:tcPr>
            <w:tcW w:w="1164" w:type="dxa"/>
            <w:tcBorders>
              <w:top w:val="nil"/>
              <w:left w:val="nil"/>
              <w:bottom w:val="single" w:sz="4" w:space="0" w:color="auto"/>
              <w:right w:val="single" w:sz="4" w:space="0" w:color="auto"/>
            </w:tcBorders>
            <w:shd w:val="clear" w:color="auto" w:fill="auto"/>
            <w:noWrap/>
            <w:vAlign w:val="bottom"/>
            <w:hideMark/>
          </w:tcPr>
          <w:p w14:paraId="52A5A1F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243.662.350</w:t>
            </w:r>
          </w:p>
        </w:tc>
        <w:tc>
          <w:tcPr>
            <w:tcW w:w="550" w:type="dxa"/>
            <w:tcBorders>
              <w:top w:val="nil"/>
              <w:left w:val="nil"/>
              <w:bottom w:val="single" w:sz="4" w:space="0" w:color="auto"/>
              <w:right w:val="single" w:sz="4" w:space="0" w:color="auto"/>
            </w:tcBorders>
            <w:shd w:val="clear" w:color="auto" w:fill="auto"/>
            <w:noWrap/>
            <w:vAlign w:val="bottom"/>
            <w:hideMark/>
          </w:tcPr>
          <w:p w14:paraId="37434E35"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99%</w:t>
            </w:r>
          </w:p>
        </w:tc>
        <w:tc>
          <w:tcPr>
            <w:tcW w:w="1164" w:type="dxa"/>
            <w:tcBorders>
              <w:top w:val="nil"/>
              <w:left w:val="nil"/>
              <w:bottom w:val="single" w:sz="4" w:space="0" w:color="auto"/>
              <w:right w:val="single" w:sz="4" w:space="0" w:color="auto"/>
            </w:tcBorders>
            <w:shd w:val="clear" w:color="000000" w:fill="FFFFFF"/>
            <w:noWrap/>
            <w:vAlign w:val="bottom"/>
            <w:hideMark/>
          </w:tcPr>
          <w:p w14:paraId="2C1C1A0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265.788.462</w:t>
            </w:r>
          </w:p>
        </w:tc>
        <w:tc>
          <w:tcPr>
            <w:tcW w:w="1164" w:type="dxa"/>
            <w:tcBorders>
              <w:top w:val="nil"/>
              <w:left w:val="nil"/>
              <w:bottom w:val="single" w:sz="4" w:space="0" w:color="auto"/>
              <w:right w:val="single" w:sz="4" w:space="0" w:color="auto"/>
            </w:tcBorders>
            <w:shd w:val="clear" w:color="000000" w:fill="FFFFFF"/>
            <w:noWrap/>
            <w:vAlign w:val="bottom"/>
            <w:hideMark/>
          </w:tcPr>
          <w:p w14:paraId="4D20338C"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299.691.429</w:t>
            </w:r>
          </w:p>
        </w:tc>
        <w:tc>
          <w:tcPr>
            <w:tcW w:w="1160" w:type="dxa"/>
            <w:tcBorders>
              <w:top w:val="nil"/>
              <w:left w:val="nil"/>
              <w:bottom w:val="single" w:sz="4" w:space="0" w:color="auto"/>
              <w:right w:val="single" w:sz="4" w:space="0" w:color="auto"/>
            </w:tcBorders>
            <w:shd w:val="clear" w:color="000000" w:fill="FFFFFF"/>
            <w:noWrap/>
            <w:vAlign w:val="bottom"/>
            <w:hideMark/>
          </w:tcPr>
          <w:p w14:paraId="67665EFE"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113</w:t>
            </w:r>
          </w:p>
        </w:tc>
        <w:tc>
          <w:tcPr>
            <w:tcW w:w="1164" w:type="dxa"/>
            <w:tcBorders>
              <w:top w:val="nil"/>
              <w:left w:val="nil"/>
              <w:bottom w:val="single" w:sz="4" w:space="0" w:color="auto"/>
              <w:right w:val="single" w:sz="4" w:space="0" w:color="auto"/>
            </w:tcBorders>
            <w:shd w:val="clear" w:color="000000" w:fill="FFFFFF"/>
            <w:noWrap/>
            <w:vAlign w:val="bottom"/>
            <w:hideMark/>
          </w:tcPr>
          <w:p w14:paraId="5D572E02"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243.662.350</w:t>
            </w:r>
          </w:p>
        </w:tc>
        <w:tc>
          <w:tcPr>
            <w:tcW w:w="962" w:type="dxa"/>
            <w:tcBorders>
              <w:top w:val="nil"/>
              <w:left w:val="nil"/>
              <w:bottom w:val="single" w:sz="4" w:space="0" w:color="auto"/>
              <w:right w:val="single" w:sz="4" w:space="0" w:color="auto"/>
            </w:tcBorders>
            <w:shd w:val="clear" w:color="000000" w:fill="FFFFFF"/>
            <w:noWrap/>
            <w:vAlign w:val="bottom"/>
            <w:hideMark/>
          </w:tcPr>
          <w:p w14:paraId="748CE69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92%</w:t>
            </w:r>
          </w:p>
        </w:tc>
        <w:tc>
          <w:tcPr>
            <w:tcW w:w="2977" w:type="dxa"/>
            <w:tcBorders>
              <w:top w:val="nil"/>
              <w:left w:val="nil"/>
              <w:bottom w:val="single" w:sz="4" w:space="0" w:color="auto"/>
              <w:right w:val="single" w:sz="4" w:space="0" w:color="auto"/>
            </w:tcBorders>
            <w:shd w:val="clear" w:color="auto" w:fill="auto"/>
            <w:vAlign w:val="bottom"/>
            <w:hideMark/>
          </w:tcPr>
          <w:p w14:paraId="5C77A704"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Prenos pravic porabe v višini 15.409.050 EUR iz PO4. Prenos pravic porabe v višini 4.694.982,31 EUR iz PO5, KS na PO7, KS.</w:t>
            </w:r>
          </w:p>
        </w:tc>
      </w:tr>
      <w:tr w:rsidR="002A7E48" w:rsidRPr="002A7E48" w14:paraId="0E43713E" w14:textId="77777777" w:rsidTr="0042240D">
        <w:trPr>
          <w:trHeight w:val="7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14:paraId="7AB3CD9A"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c>
          <w:tcPr>
            <w:tcW w:w="620" w:type="dxa"/>
            <w:tcBorders>
              <w:top w:val="nil"/>
              <w:left w:val="nil"/>
              <w:bottom w:val="single" w:sz="4" w:space="0" w:color="auto"/>
              <w:right w:val="single" w:sz="4" w:space="0" w:color="auto"/>
            </w:tcBorders>
            <w:shd w:val="clear" w:color="auto" w:fill="auto"/>
            <w:noWrap/>
            <w:vAlign w:val="bottom"/>
            <w:hideMark/>
          </w:tcPr>
          <w:p w14:paraId="5EE373AC"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ESRR</w:t>
            </w:r>
          </w:p>
        </w:tc>
        <w:tc>
          <w:tcPr>
            <w:tcW w:w="980" w:type="dxa"/>
            <w:tcBorders>
              <w:top w:val="nil"/>
              <w:left w:val="nil"/>
              <w:bottom w:val="single" w:sz="4" w:space="0" w:color="auto"/>
              <w:right w:val="single" w:sz="4" w:space="0" w:color="auto"/>
            </w:tcBorders>
            <w:shd w:val="clear" w:color="auto" w:fill="auto"/>
            <w:noWrap/>
            <w:vAlign w:val="bottom"/>
            <w:hideMark/>
          </w:tcPr>
          <w:p w14:paraId="56D96885"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Vzhod</w:t>
            </w:r>
          </w:p>
        </w:tc>
        <w:tc>
          <w:tcPr>
            <w:tcW w:w="1164" w:type="dxa"/>
            <w:tcBorders>
              <w:top w:val="nil"/>
              <w:left w:val="nil"/>
              <w:bottom w:val="single" w:sz="4" w:space="0" w:color="auto"/>
              <w:right w:val="single" w:sz="4" w:space="0" w:color="auto"/>
            </w:tcBorders>
            <w:shd w:val="clear" w:color="auto" w:fill="auto"/>
            <w:noWrap/>
            <w:vAlign w:val="bottom"/>
            <w:hideMark/>
          </w:tcPr>
          <w:p w14:paraId="6D8BAAC1"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108.435.292</w:t>
            </w:r>
          </w:p>
        </w:tc>
        <w:tc>
          <w:tcPr>
            <w:tcW w:w="1164" w:type="dxa"/>
            <w:tcBorders>
              <w:top w:val="nil"/>
              <w:left w:val="nil"/>
              <w:bottom w:val="single" w:sz="4" w:space="0" w:color="auto"/>
              <w:right w:val="single" w:sz="4" w:space="0" w:color="auto"/>
            </w:tcBorders>
            <w:shd w:val="clear" w:color="auto" w:fill="auto"/>
            <w:noWrap/>
            <w:vAlign w:val="bottom"/>
            <w:hideMark/>
          </w:tcPr>
          <w:p w14:paraId="2222924B"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84.060.962</w:t>
            </w:r>
          </w:p>
        </w:tc>
        <w:tc>
          <w:tcPr>
            <w:tcW w:w="550" w:type="dxa"/>
            <w:tcBorders>
              <w:top w:val="nil"/>
              <w:left w:val="nil"/>
              <w:bottom w:val="single" w:sz="4" w:space="0" w:color="auto"/>
              <w:right w:val="single" w:sz="4" w:space="0" w:color="auto"/>
            </w:tcBorders>
            <w:shd w:val="clear" w:color="auto" w:fill="auto"/>
            <w:noWrap/>
            <w:vAlign w:val="bottom"/>
            <w:hideMark/>
          </w:tcPr>
          <w:p w14:paraId="23531B8B"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78%</w:t>
            </w:r>
          </w:p>
        </w:tc>
        <w:tc>
          <w:tcPr>
            <w:tcW w:w="1164" w:type="dxa"/>
            <w:tcBorders>
              <w:top w:val="nil"/>
              <w:left w:val="nil"/>
              <w:bottom w:val="single" w:sz="4" w:space="0" w:color="auto"/>
              <w:right w:val="single" w:sz="4" w:space="0" w:color="auto"/>
            </w:tcBorders>
            <w:shd w:val="clear" w:color="auto" w:fill="auto"/>
            <w:noWrap/>
            <w:vAlign w:val="bottom"/>
            <w:hideMark/>
          </w:tcPr>
          <w:p w14:paraId="4654643C"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61.331.267</w:t>
            </w:r>
          </w:p>
        </w:tc>
        <w:tc>
          <w:tcPr>
            <w:tcW w:w="550" w:type="dxa"/>
            <w:tcBorders>
              <w:top w:val="nil"/>
              <w:left w:val="nil"/>
              <w:bottom w:val="single" w:sz="4" w:space="0" w:color="auto"/>
              <w:right w:val="single" w:sz="4" w:space="0" w:color="auto"/>
            </w:tcBorders>
            <w:shd w:val="clear" w:color="auto" w:fill="auto"/>
            <w:noWrap/>
            <w:vAlign w:val="bottom"/>
            <w:hideMark/>
          </w:tcPr>
          <w:p w14:paraId="2E96293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57%</w:t>
            </w:r>
          </w:p>
        </w:tc>
        <w:tc>
          <w:tcPr>
            <w:tcW w:w="1164" w:type="dxa"/>
            <w:tcBorders>
              <w:top w:val="nil"/>
              <w:left w:val="nil"/>
              <w:bottom w:val="single" w:sz="4" w:space="0" w:color="auto"/>
              <w:right w:val="single" w:sz="4" w:space="0" w:color="auto"/>
            </w:tcBorders>
            <w:shd w:val="clear" w:color="auto" w:fill="auto"/>
            <w:noWrap/>
            <w:vAlign w:val="bottom"/>
            <w:hideMark/>
          </w:tcPr>
          <w:p w14:paraId="51B8E20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79.935.292</w:t>
            </w:r>
          </w:p>
        </w:tc>
        <w:tc>
          <w:tcPr>
            <w:tcW w:w="1164" w:type="dxa"/>
            <w:tcBorders>
              <w:top w:val="nil"/>
              <w:left w:val="nil"/>
              <w:bottom w:val="single" w:sz="4" w:space="0" w:color="auto"/>
              <w:right w:val="single" w:sz="4" w:space="0" w:color="auto"/>
            </w:tcBorders>
            <w:shd w:val="clear" w:color="auto" w:fill="auto"/>
            <w:noWrap/>
            <w:vAlign w:val="bottom"/>
            <w:hideMark/>
          </w:tcPr>
          <w:p w14:paraId="3CC3EA5B"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84.060.962</w:t>
            </w:r>
          </w:p>
        </w:tc>
        <w:tc>
          <w:tcPr>
            <w:tcW w:w="1160" w:type="dxa"/>
            <w:tcBorders>
              <w:top w:val="nil"/>
              <w:left w:val="nil"/>
              <w:bottom w:val="single" w:sz="4" w:space="0" w:color="auto"/>
              <w:right w:val="single" w:sz="4" w:space="0" w:color="auto"/>
            </w:tcBorders>
            <w:shd w:val="clear" w:color="auto" w:fill="auto"/>
            <w:noWrap/>
            <w:vAlign w:val="bottom"/>
            <w:hideMark/>
          </w:tcPr>
          <w:p w14:paraId="4302674C"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105</w:t>
            </w:r>
          </w:p>
        </w:tc>
        <w:tc>
          <w:tcPr>
            <w:tcW w:w="1164" w:type="dxa"/>
            <w:tcBorders>
              <w:top w:val="nil"/>
              <w:left w:val="nil"/>
              <w:bottom w:val="single" w:sz="4" w:space="0" w:color="auto"/>
              <w:right w:val="single" w:sz="4" w:space="0" w:color="auto"/>
            </w:tcBorders>
            <w:shd w:val="clear" w:color="auto" w:fill="auto"/>
            <w:noWrap/>
            <w:vAlign w:val="bottom"/>
            <w:hideMark/>
          </w:tcPr>
          <w:p w14:paraId="4E4197F7"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61.331.267</w:t>
            </w:r>
          </w:p>
        </w:tc>
        <w:tc>
          <w:tcPr>
            <w:tcW w:w="962" w:type="dxa"/>
            <w:tcBorders>
              <w:top w:val="nil"/>
              <w:left w:val="nil"/>
              <w:bottom w:val="single" w:sz="4" w:space="0" w:color="auto"/>
              <w:right w:val="single" w:sz="4" w:space="0" w:color="auto"/>
            </w:tcBorders>
            <w:shd w:val="clear" w:color="auto" w:fill="auto"/>
            <w:noWrap/>
            <w:vAlign w:val="bottom"/>
            <w:hideMark/>
          </w:tcPr>
          <w:p w14:paraId="456FB1E7"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77%</w:t>
            </w:r>
          </w:p>
        </w:tc>
        <w:tc>
          <w:tcPr>
            <w:tcW w:w="2977" w:type="dxa"/>
            <w:tcBorders>
              <w:top w:val="nil"/>
              <w:left w:val="nil"/>
              <w:bottom w:val="single" w:sz="4" w:space="0" w:color="auto"/>
              <w:right w:val="single" w:sz="4" w:space="0" w:color="auto"/>
            </w:tcBorders>
            <w:shd w:val="clear" w:color="auto" w:fill="auto"/>
            <w:vAlign w:val="bottom"/>
            <w:hideMark/>
          </w:tcPr>
          <w:p w14:paraId="6908B638"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Prenos 28,5 mio EUR iz PO 7, ESRR Vzhod na PO 4, ESRR Vzhod</w:t>
            </w:r>
          </w:p>
        </w:tc>
      </w:tr>
      <w:tr w:rsidR="002A7E48" w:rsidRPr="002A7E48" w14:paraId="0DCFFDF7" w14:textId="77777777" w:rsidTr="0042240D">
        <w:trPr>
          <w:trHeight w:val="30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14:paraId="4C5C046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8</w:t>
            </w:r>
          </w:p>
        </w:tc>
        <w:tc>
          <w:tcPr>
            <w:tcW w:w="620" w:type="dxa"/>
            <w:tcBorders>
              <w:top w:val="nil"/>
              <w:left w:val="nil"/>
              <w:bottom w:val="single" w:sz="4" w:space="0" w:color="auto"/>
              <w:right w:val="single" w:sz="4" w:space="0" w:color="auto"/>
            </w:tcBorders>
            <w:shd w:val="clear" w:color="auto" w:fill="auto"/>
            <w:noWrap/>
            <w:vAlign w:val="bottom"/>
            <w:hideMark/>
          </w:tcPr>
          <w:p w14:paraId="0121DC0F"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ESS</w:t>
            </w:r>
          </w:p>
        </w:tc>
        <w:tc>
          <w:tcPr>
            <w:tcW w:w="980" w:type="dxa"/>
            <w:tcBorders>
              <w:top w:val="nil"/>
              <w:left w:val="nil"/>
              <w:bottom w:val="single" w:sz="4" w:space="0" w:color="auto"/>
              <w:right w:val="single" w:sz="4" w:space="0" w:color="auto"/>
            </w:tcBorders>
            <w:shd w:val="clear" w:color="auto" w:fill="auto"/>
            <w:noWrap/>
            <w:vAlign w:val="bottom"/>
            <w:hideMark/>
          </w:tcPr>
          <w:p w14:paraId="0B03C980"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Vzhod</w:t>
            </w:r>
          </w:p>
        </w:tc>
        <w:tc>
          <w:tcPr>
            <w:tcW w:w="1164" w:type="dxa"/>
            <w:tcBorders>
              <w:top w:val="nil"/>
              <w:left w:val="nil"/>
              <w:bottom w:val="single" w:sz="4" w:space="0" w:color="auto"/>
              <w:right w:val="single" w:sz="4" w:space="0" w:color="auto"/>
            </w:tcBorders>
            <w:shd w:val="clear" w:color="auto" w:fill="auto"/>
            <w:noWrap/>
            <w:vAlign w:val="bottom"/>
            <w:hideMark/>
          </w:tcPr>
          <w:p w14:paraId="2B55E0C2"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131.581.121</w:t>
            </w:r>
          </w:p>
        </w:tc>
        <w:tc>
          <w:tcPr>
            <w:tcW w:w="1164" w:type="dxa"/>
            <w:tcBorders>
              <w:top w:val="nil"/>
              <w:left w:val="nil"/>
              <w:bottom w:val="single" w:sz="4" w:space="0" w:color="auto"/>
              <w:right w:val="single" w:sz="4" w:space="0" w:color="auto"/>
            </w:tcBorders>
            <w:shd w:val="clear" w:color="auto" w:fill="auto"/>
            <w:noWrap/>
            <w:vAlign w:val="bottom"/>
            <w:hideMark/>
          </w:tcPr>
          <w:p w14:paraId="189C4CBB"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141.863.755</w:t>
            </w:r>
          </w:p>
        </w:tc>
        <w:tc>
          <w:tcPr>
            <w:tcW w:w="550" w:type="dxa"/>
            <w:tcBorders>
              <w:top w:val="nil"/>
              <w:left w:val="nil"/>
              <w:bottom w:val="single" w:sz="4" w:space="0" w:color="auto"/>
              <w:right w:val="single" w:sz="4" w:space="0" w:color="auto"/>
            </w:tcBorders>
            <w:shd w:val="clear" w:color="auto" w:fill="auto"/>
            <w:noWrap/>
            <w:vAlign w:val="bottom"/>
            <w:hideMark/>
          </w:tcPr>
          <w:p w14:paraId="3F386063"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108%</w:t>
            </w:r>
          </w:p>
        </w:tc>
        <w:tc>
          <w:tcPr>
            <w:tcW w:w="1164" w:type="dxa"/>
            <w:tcBorders>
              <w:top w:val="nil"/>
              <w:left w:val="nil"/>
              <w:bottom w:val="single" w:sz="4" w:space="0" w:color="auto"/>
              <w:right w:val="single" w:sz="4" w:space="0" w:color="auto"/>
            </w:tcBorders>
            <w:shd w:val="clear" w:color="auto" w:fill="auto"/>
            <w:noWrap/>
            <w:vAlign w:val="bottom"/>
            <w:hideMark/>
          </w:tcPr>
          <w:p w14:paraId="70D68BDE"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140.492.346</w:t>
            </w:r>
          </w:p>
        </w:tc>
        <w:tc>
          <w:tcPr>
            <w:tcW w:w="550" w:type="dxa"/>
            <w:tcBorders>
              <w:top w:val="nil"/>
              <w:left w:val="nil"/>
              <w:bottom w:val="single" w:sz="4" w:space="0" w:color="auto"/>
              <w:right w:val="single" w:sz="4" w:space="0" w:color="auto"/>
            </w:tcBorders>
            <w:shd w:val="clear" w:color="auto" w:fill="auto"/>
            <w:noWrap/>
            <w:vAlign w:val="bottom"/>
            <w:hideMark/>
          </w:tcPr>
          <w:p w14:paraId="71C0BA55"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107%</w:t>
            </w:r>
          </w:p>
        </w:tc>
        <w:tc>
          <w:tcPr>
            <w:tcW w:w="1164" w:type="dxa"/>
            <w:tcBorders>
              <w:top w:val="nil"/>
              <w:left w:val="nil"/>
              <w:bottom w:val="single" w:sz="4" w:space="0" w:color="auto"/>
              <w:right w:val="single" w:sz="4" w:space="0" w:color="auto"/>
            </w:tcBorders>
            <w:shd w:val="clear" w:color="auto" w:fill="auto"/>
            <w:noWrap/>
            <w:vAlign w:val="bottom"/>
            <w:hideMark/>
          </w:tcPr>
          <w:p w14:paraId="09B9444C"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131.581.121</w:t>
            </w:r>
          </w:p>
        </w:tc>
        <w:tc>
          <w:tcPr>
            <w:tcW w:w="1164" w:type="dxa"/>
            <w:tcBorders>
              <w:top w:val="nil"/>
              <w:left w:val="nil"/>
              <w:bottom w:val="single" w:sz="4" w:space="0" w:color="auto"/>
              <w:right w:val="single" w:sz="4" w:space="0" w:color="auto"/>
            </w:tcBorders>
            <w:shd w:val="clear" w:color="auto" w:fill="auto"/>
            <w:noWrap/>
            <w:vAlign w:val="bottom"/>
            <w:hideMark/>
          </w:tcPr>
          <w:p w14:paraId="237DBD00"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141.863.755</w:t>
            </w:r>
          </w:p>
        </w:tc>
        <w:tc>
          <w:tcPr>
            <w:tcW w:w="1160" w:type="dxa"/>
            <w:tcBorders>
              <w:top w:val="nil"/>
              <w:left w:val="nil"/>
              <w:bottom w:val="single" w:sz="4" w:space="0" w:color="auto"/>
              <w:right w:val="single" w:sz="4" w:space="0" w:color="auto"/>
            </w:tcBorders>
            <w:shd w:val="clear" w:color="auto" w:fill="auto"/>
            <w:noWrap/>
            <w:vAlign w:val="bottom"/>
            <w:hideMark/>
          </w:tcPr>
          <w:p w14:paraId="29C874FB"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108</w:t>
            </w:r>
          </w:p>
        </w:tc>
        <w:tc>
          <w:tcPr>
            <w:tcW w:w="1164" w:type="dxa"/>
            <w:tcBorders>
              <w:top w:val="nil"/>
              <w:left w:val="nil"/>
              <w:bottom w:val="single" w:sz="4" w:space="0" w:color="auto"/>
              <w:right w:val="single" w:sz="4" w:space="0" w:color="auto"/>
            </w:tcBorders>
            <w:shd w:val="clear" w:color="auto" w:fill="auto"/>
            <w:noWrap/>
            <w:vAlign w:val="bottom"/>
            <w:hideMark/>
          </w:tcPr>
          <w:p w14:paraId="0A3C7BB5"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140.492.346</w:t>
            </w:r>
          </w:p>
        </w:tc>
        <w:tc>
          <w:tcPr>
            <w:tcW w:w="962" w:type="dxa"/>
            <w:tcBorders>
              <w:top w:val="nil"/>
              <w:left w:val="nil"/>
              <w:bottom w:val="single" w:sz="4" w:space="0" w:color="auto"/>
              <w:right w:val="single" w:sz="4" w:space="0" w:color="auto"/>
            </w:tcBorders>
            <w:shd w:val="clear" w:color="auto" w:fill="auto"/>
            <w:noWrap/>
            <w:vAlign w:val="bottom"/>
            <w:hideMark/>
          </w:tcPr>
          <w:p w14:paraId="4D627CE9"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107%</w:t>
            </w:r>
          </w:p>
        </w:tc>
        <w:tc>
          <w:tcPr>
            <w:tcW w:w="2977" w:type="dxa"/>
            <w:tcBorders>
              <w:top w:val="nil"/>
              <w:left w:val="nil"/>
              <w:bottom w:val="single" w:sz="4" w:space="0" w:color="auto"/>
              <w:right w:val="single" w:sz="4" w:space="0" w:color="auto"/>
            </w:tcBorders>
            <w:shd w:val="clear" w:color="auto" w:fill="auto"/>
            <w:vAlign w:val="bottom"/>
            <w:hideMark/>
          </w:tcPr>
          <w:p w14:paraId="565ECC49"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r>
      <w:tr w:rsidR="002A7E48" w:rsidRPr="002A7E48" w14:paraId="674E68E0" w14:textId="77777777" w:rsidTr="0042240D">
        <w:trPr>
          <w:trHeight w:val="30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14:paraId="7F4EA05A"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c>
          <w:tcPr>
            <w:tcW w:w="620" w:type="dxa"/>
            <w:tcBorders>
              <w:top w:val="nil"/>
              <w:left w:val="nil"/>
              <w:bottom w:val="single" w:sz="4" w:space="0" w:color="auto"/>
              <w:right w:val="single" w:sz="4" w:space="0" w:color="auto"/>
            </w:tcBorders>
            <w:shd w:val="clear" w:color="auto" w:fill="auto"/>
            <w:noWrap/>
            <w:vAlign w:val="bottom"/>
            <w:hideMark/>
          </w:tcPr>
          <w:p w14:paraId="066AA2AC"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ESS</w:t>
            </w:r>
          </w:p>
        </w:tc>
        <w:tc>
          <w:tcPr>
            <w:tcW w:w="980" w:type="dxa"/>
            <w:tcBorders>
              <w:top w:val="nil"/>
              <w:left w:val="nil"/>
              <w:bottom w:val="single" w:sz="4" w:space="0" w:color="auto"/>
              <w:right w:val="single" w:sz="4" w:space="0" w:color="auto"/>
            </w:tcBorders>
            <w:shd w:val="clear" w:color="auto" w:fill="auto"/>
            <w:noWrap/>
            <w:vAlign w:val="bottom"/>
            <w:hideMark/>
          </w:tcPr>
          <w:p w14:paraId="43EF4B45"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Zahod</w:t>
            </w:r>
          </w:p>
        </w:tc>
        <w:tc>
          <w:tcPr>
            <w:tcW w:w="1164" w:type="dxa"/>
            <w:tcBorders>
              <w:top w:val="nil"/>
              <w:left w:val="nil"/>
              <w:bottom w:val="single" w:sz="4" w:space="0" w:color="auto"/>
              <w:right w:val="single" w:sz="4" w:space="0" w:color="auto"/>
            </w:tcBorders>
            <w:shd w:val="clear" w:color="auto" w:fill="auto"/>
            <w:noWrap/>
            <w:vAlign w:val="bottom"/>
            <w:hideMark/>
          </w:tcPr>
          <w:p w14:paraId="4E27650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140.966.076</w:t>
            </w:r>
          </w:p>
        </w:tc>
        <w:tc>
          <w:tcPr>
            <w:tcW w:w="1164" w:type="dxa"/>
            <w:tcBorders>
              <w:top w:val="nil"/>
              <w:left w:val="nil"/>
              <w:bottom w:val="single" w:sz="4" w:space="0" w:color="auto"/>
              <w:right w:val="single" w:sz="4" w:space="0" w:color="auto"/>
            </w:tcBorders>
            <w:shd w:val="clear" w:color="auto" w:fill="auto"/>
            <w:noWrap/>
            <w:vAlign w:val="bottom"/>
            <w:hideMark/>
          </w:tcPr>
          <w:p w14:paraId="585C1BB4"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159.697.471</w:t>
            </w:r>
          </w:p>
        </w:tc>
        <w:tc>
          <w:tcPr>
            <w:tcW w:w="550" w:type="dxa"/>
            <w:tcBorders>
              <w:top w:val="nil"/>
              <w:left w:val="nil"/>
              <w:bottom w:val="single" w:sz="4" w:space="0" w:color="auto"/>
              <w:right w:val="single" w:sz="4" w:space="0" w:color="auto"/>
            </w:tcBorders>
            <w:shd w:val="clear" w:color="auto" w:fill="auto"/>
            <w:noWrap/>
            <w:vAlign w:val="bottom"/>
            <w:hideMark/>
          </w:tcPr>
          <w:p w14:paraId="609FB7E2"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113%</w:t>
            </w:r>
          </w:p>
        </w:tc>
        <w:tc>
          <w:tcPr>
            <w:tcW w:w="1164" w:type="dxa"/>
            <w:tcBorders>
              <w:top w:val="nil"/>
              <w:left w:val="nil"/>
              <w:bottom w:val="single" w:sz="4" w:space="0" w:color="auto"/>
              <w:right w:val="single" w:sz="4" w:space="0" w:color="auto"/>
            </w:tcBorders>
            <w:shd w:val="clear" w:color="auto" w:fill="auto"/>
            <w:noWrap/>
            <w:vAlign w:val="bottom"/>
            <w:hideMark/>
          </w:tcPr>
          <w:p w14:paraId="6A5E3DB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161.815.866</w:t>
            </w:r>
          </w:p>
        </w:tc>
        <w:tc>
          <w:tcPr>
            <w:tcW w:w="550" w:type="dxa"/>
            <w:tcBorders>
              <w:top w:val="nil"/>
              <w:left w:val="nil"/>
              <w:bottom w:val="single" w:sz="4" w:space="0" w:color="auto"/>
              <w:right w:val="single" w:sz="4" w:space="0" w:color="auto"/>
            </w:tcBorders>
            <w:shd w:val="clear" w:color="auto" w:fill="auto"/>
            <w:noWrap/>
            <w:vAlign w:val="bottom"/>
            <w:hideMark/>
          </w:tcPr>
          <w:p w14:paraId="3C73069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115%</w:t>
            </w:r>
          </w:p>
        </w:tc>
        <w:tc>
          <w:tcPr>
            <w:tcW w:w="1164" w:type="dxa"/>
            <w:tcBorders>
              <w:top w:val="nil"/>
              <w:left w:val="nil"/>
              <w:bottom w:val="single" w:sz="4" w:space="0" w:color="auto"/>
              <w:right w:val="single" w:sz="4" w:space="0" w:color="auto"/>
            </w:tcBorders>
            <w:shd w:val="clear" w:color="auto" w:fill="auto"/>
            <w:noWrap/>
            <w:vAlign w:val="bottom"/>
            <w:hideMark/>
          </w:tcPr>
          <w:p w14:paraId="23D1095B"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140.966.076</w:t>
            </w:r>
          </w:p>
        </w:tc>
        <w:tc>
          <w:tcPr>
            <w:tcW w:w="1164" w:type="dxa"/>
            <w:tcBorders>
              <w:top w:val="nil"/>
              <w:left w:val="nil"/>
              <w:bottom w:val="single" w:sz="4" w:space="0" w:color="auto"/>
              <w:right w:val="single" w:sz="4" w:space="0" w:color="auto"/>
            </w:tcBorders>
            <w:shd w:val="clear" w:color="auto" w:fill="auto"/>
            <w:noWrap/>
            <w:vAlign w:val="bottom"/>
            <w:hideMark/>
          </w:tcPr>
          <w:p w14:paraId="25609F82"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159.697.471</w:t>
            </w:r>
          </w:p>
        </w:tc>
        <w:tc>
          <w:tcPr>
            <w:tcW w:w="1160" w:type="dxa"/>
            <w:tcBorders>
              <w:top w:val="nil"/>
              <w:left w:val="nil"/>
              <w:bottom w:val="single" w:sz="4" w:space="0" w:color="auto"/>
              <w:right w:val="single" w:sz="4" w:space="0" w:color="auto"/>
            </w:tcBorders>
            <w:shd w:val="clear" w:color="auto" w:fill="auto"/>
            <w:noWrap/>
            <w:vAlign w:val="bottom"/>
            <w:hideMark/>
          </w:tcPr>
          <w:p w14:paraId="06D40197"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113</w:t>
            </w:r>
          </w:p>
        </w:tc>
        <w:tc>
          <w:tcPr>
            <w:tcW w:w="1164" w:type="dxa"/>
            <w:tcBorders>
              <w:top w:val="nil"/>
              <w:left w:val="nil"/>
              <w:bottom w:val="single" w:sz="4" w:space="0" w:color="auto"/>
              <w:right w:val="single" w:sz="4" w:space="0" w:color="auto"/>
            </w:tcBorders>
            <w:shd w:val="clear" w:color="auto" w:fill="auto"/>
            <w:noWrap/>
            <w:vAlign w:val="bottom"/>
            <w:hideMark/>
          </w:tcPr>
          <w:p w14:paraId="0E4DBCA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161.815.866</w:t>
            </w:r>
          </w:p>
        </w:tc>
        <w:tc>
          <w:tcPr>
            <w:tcW w:w="962" w:type="dxa"/>
            <w:tcBorders>
              <w:top w:val="nil"/>
              <w:left w:val="nil"/>
              <w:bottom w:val="single" w:sz="4" w:space="0" w:color="auto"/>
              <w:right w:val="single" w:sz="4" w:space="0" w:color="auto"/>
            </w:tcBorders>
            <w:shd w:val="clear" w:color="auto" w:fill="auto"/>
            <w:noWrap/>
            <w:vAlign w:val="bottom"/>
            <w:hideMark/>
          </w:tcPr>
          <w:p w14:paraId="574AE805"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115%</w:t>
            </w:r>
          </w:p>
        </w:tc>
        <w:tc>
          <w:tcPr>
            <w:tcW w:w="2977" w:type="dxa"/>
            <w:tcBorders>
              <w:top w:val="nil"/>
              <w:left w:val="nil"/>
              <w:bottom w:val="single" w:sz="4" w:space="0" w:color="auto"/>
              <w:right w:val="single" w:sz="4" w:space="0" w:color="auto"/>
            </w:tcBorders>
            <w:shd w:val="clear" w:color="auto" w:fill="auto"/>
            <w:vAlign w:val="bottom"/>
            <w:hideMark/>
          </w:tcPr>
          <w:p w14:paraId="6FB3FF1A"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r>
      <w:tr w:rsidR="002A7E48" w:rsidRPr="002A7E48" w14:paraId="61411610" w14:textId="77777777" w:rsidTr="0042240D">
        <w:trPr>
          <w:trHeight w:val="30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14:paraId="461A50E3"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c>
          <w:tcPr>
            <w:tcW w:w="620" w:type="dxa"/>
            <w:tcBorders>
              <w:top w:val="nil"/>
              <w:left w:val="nil"/>
              <w:bottom w:val="single" w:sz="4" w:space="0" w:color="auto"/>
              <w:right w:val="single" w:sz="4" w:space="0" w:color="auto"/>
            </w:tcBorders>
            <w:shd w:val="clear" w:color="auto" w:fill="auto"/>
            <w:noWrap/>
            <w:vAlign w:val="bottom"/>
            <w:hideMark/>
          </w:tcPr>
          <w:p w14:paraId="7A9DE370"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YEI</w:t>
            </w:r>
          </w:p>
        </w:tc>
        <w:tc>
          <w:tcPr>
            <w:tcW w:w="980" w:type="dxa"/>
            <w:tcBorders>
              <w:top w:val="nil"/>
              <w:left w:val="nil"/>
              <w:bottom w:val="single" w:sz="4" w:space="0" w:color="auto"/>
              <w:right w:val="single" w:sz="4" w:space="0" w:color="auto"/>
            </w:tcBorders>
            <w:shd w:val="clear" w:color="auto" w:fill="auto"/>
            <w:noWrap/>
            <w:vAlign w:val="bottom"/>
            <w:hideMark/>
          </w:tcPr>
          <w:p w14:paraId="162B2AC3"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Vzhod</w:t>
            </w:r>
          </w:p>
        </w:tc>
        <w:tc>
          <w:tcPr>
            <w:tcW w:w="1164" w:type="dxa"/>
            <w:tcBorders>
              <w:top w:val="nil"/>
              <w:left w:val="nil"/>
              <w:bottom w:val="single" w:sz="4" w:space="0" w:color="auto"/>
              <w:right w:val="single" w:sz="4" w:space="0" w:color="auto"/>
            </w:tcBorders>
            <w:shd w:val="clear" w:color="auto" w:fill="auto"/>
            <w:noWrap/>
            <w:vAlign w:val="bottom"/>
            <w:hideMark/>
          </w:tcPr>
          <w:p w14:paraId="1114440C"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18.423.072</w:t>
            </w:r>
          </w:p>
        </w:tc>
        <w:tc>
          <w:tcPr>
            <w:tcW w:w="1164" w:type="dxa"/>
            <w:tcBorders>
              <w:top w:val="nil"/>
              <w:left w:val="nil"/>
              <w:bottom w:val="single" w:sz="4" w:space="0" w:color="auto"/>
              <w:right w:val="single" w:sz="4" w:space="0" w:color="auto"/>
            </w:tcBorders>
            <w:shd w:val="clear" w:color="auto" w:fill="auto"/>
            <w:noWrap/>
            <w:vAlign w:val="bottom"/>
            <w:hideMark/>
          </w:tcPr>
          <w:p w14:paraId="5183459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18.423.072</w:t>
            </w:r>
          </w:p>
        </w:tc>
        <w:tc>
          <w:tcPr>
            <w:tcW w:w="550" w:type="dxa"/>
            <w:tcBorders>
              <w:top w:val="nil"/>
              <w:left w:val="nil"/>
              <w:bottom w:val="single" w:sz="4" w:space="0" w:color="auto"/>
              <w:right w:val="single" w:sz="4" w:space="0" w:color="auto"/>
            </w:tcBorders>
            <w:shd w:val="clear" w:color="auto" w:fill="auto"/>
            <w:noWrap/>
            <w:vAlign w:val="bottom"/>
            <w:hideMark/>
          </w:tcPr>
          <w:p w14:paraId="3411ABC4"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100%</w:t>
            </w:r>
          </w:p>
        </w:tc>
        <w:tc>
          <w:tcPr>
            <w:tcW w:w="1164" w:type="dxa"/>
            <w:tcBorders>
              <w:top w:val="nil"/>
              <w:left w:val="nil"/>
              <w:bottom w:val="single" w:sz="4" w:space="0" w:color="auto"/>
              <w:right w:val="single" w:sz="4" w:space="0" w:color="auto"/>
            </w:tcBorders>
            <w:shd w:val="clear" w:color="auto" w:fill="auto"/>
            <w:noWrap/>
            <w:vAlign w:val="bottom"/>
            <w:hideMark/>
          </w:tcPr>
          <w:p w14:paraId="24F745F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17.308.298</w:t>
            </w:r>
          </w:p>
        </w:tc>
        <w:tc>
          <w:tcPr>
            <w:tcW w:w="550" w:type="dxa"/>
            <w:tcBorders>
              <w:top w:val="nil"/>
              <w:left w:val="nil"/>
              <w:bottom w:val="single" w:sz="4" w:space="0" w:color="auto"/>
              <w:right w:val="single" w:sz="4" w:space="0" w:color="auto"/>
            </w:tcBorders>
            <w:shd w:val="clear" w:color="auto" w:fill="auto"/>
            <w:noWrap/>
            <w:vAlign w:val="bottom"/>
            <w:hideMark/>
          </w:tcPr>
          <w:p w14:paraId="3D44AED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94%</w:t>
            </w:r>
          </w:p>
        </w:tc>
        <w:tc>
          <w:tcPr>
            <w:tcW w:w="1164" w:type="dxa"/>
            <w:tcBorders>
              <w:top w:val="nil"/>
              <w:left w:val="nil"/>
              <w:bottom w:val="single" w:sz="4" w:space="0" w:color="auto"/>
              <w:right w:val="single" w:sz="4" w:space="0" w:color="auto"/>
            </w:tcBorders>
            <w:shd w:val="clear" w:color="auto" w:fill="auto"/>
            <w:noWrap/>
            <w:vAlign w:val="bottom"/>
            <w:hideMark/>
          </w:tcPr>
          <w:p w14:paraId="0EF41CD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18.423.072</w:t>
            </w:r>
          </w:p>
        </w:tc>
        <w:tc>
          <w:tcPr>
            <w:tcW w:w="1164" w:type="dxa"/>
            <w:tcBorders>
              <w:top w:val="nil"/>
              <w:left w:val="nil"/>
              <w:bottom w:val="single" w:sz="4" w:space="0" w:color="auto"/>
              <w:right w:val="single" w:sz="4" w:space="0" w:color="auto"/>
            </w:tcBorders>
            <w:shd w:val="clear" w:color="auto" w:fill="auto"/>
            <w:noWrap/>
            <w:vAlign w:val="bottom"/>
            <w:hideMark/>
          </w:tcPr>
          <w:p w14:paraId="46040AF3"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18.423.072</w:t>
            </w:r>
          </w:p>
        </w:tc>
        <w:tc>
          <w:tcPr>
            <w:tcW w:w="1160" w:type="dxa"/>
            <w:tcBorders>
              <w:top w:val="nil"/>
              <w:left w:val="nil"/>
              <w:bottom w:val="single" w:sz="4" w:space="0" w:color="auto"/>
              <w:right w:val="single" w:sz="4" w:space="0" w:color="auto"/>
            </w:tcBorders>
            <w:shd w:val="clear" w:color="auto" w:fill="auto"/>
            <w:noWrap/>
            <w:vAlign w:val="bottom"/>
            <w:hideMark/>
          </w:tcPr>
          <w:p w14:paraId="2424DCC1"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100</w:t>
            </w:r>
          </w:p>
        </w:tc>
        <w:tc>
          <w:tcPr>
            <w:tcW w:w="1164" w:type="dxa"/>
            <w:tcBorders>
              <w:top w:val="nil"/>
              <w:left w:val="nil"/>
              <w:bottom w:val="single" w:sz="4" w:space="0" w:color="auto"/>
              <w:right w:val="single" w:sz="4" w:space="0" w:color="auto"/>
            </w:tcBorders>
            <w:shd w:val="clear" w:color="auto" w:fill="auto"/>
            <w:noWrap/>
            <w:vAlign w:val="bottom"/>
            <w:hideMark/>
          </w:tcPr>
          <w:p w14:paraId="35358EB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17.308.298</w:t>
            </w:r>
          </w:p>
        </w:tc>
        <w:tc>
          <w:tcPr>
            <w:tcW w:w="962" w:type="dxa"/>
            <w:tcBorders>
              <w:top w:val="nil"/>
              <w:left w:val="nil"/>
              <w:bottom w:val="single" w:sz="4" w:space="0" w:color="auto"/>
              <w:right w:val="single" w:sz="4" w:space="0" w:color="auto"/>
            </w:tcBorders>
            <w:shd w:val="clear" w:color="auto" w:fill="auto"/>
            <w:noWrap/>
            <w:vAlign w:val="bottom"/>
            <w:hideMark/>
          </w:tcPr>
          <w:p w14:paraId="62B1AC1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94%</w:t>
            </w:r>
          </w:p>
        </w:tc>
        <w:tc>
          <w:tcPr>
            <w:tcW w:w="2977" w:type="dxa"/>
            <w:tcBorders>
              <w:top w:val="nil"/>
              <w:left w:val="nil"/>
              <w:bottom w:val="single" w:sz="4" w:space="0" w:color="auto"/>
              <w:right w:val="single" w:sz="4" w:space="0" w:color="auto"/>
            </w:tcBorders>
            <w:shd w:val="clear" w:color="auto" w:fill="auto"/>
            <w:vAlign w:val="bottom"/>
            <w:hideMark/>
          </w:tcPr>
          <w:p w14:paraId="552400D7"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r>
      <w:tr w:rsidR="002A7E48" w:rsidRPr="002A7E48" w14:paraId="7600D823" w14:textId="77777777" w:rsidTr="0042240D">
        <w:trPr>
          <w:trHeight w:val="7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14:paraId="18F85B7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w:t>
            </w:r>
          </w:p>
        </w:tc>
        <w:tc>
          <w:tcPr>
            <w:tcW w:w="620" w:type="dxa"/>
            <w:tcBorders>
              <w:top w:val="nil"/>
              <w:left w:val="nil"/>
              <w:bottom w:val="single" w:sz="4" w:space="0" w:color="auto"/>
              <w:right w:val="single" w:sz="4" w:space="0" w:color="auto"/>
            </w:tcBorders>
            <w:shd w:val="clear" w:color="auto" w:fill="auto"/>
            <w:noWrap/>
            <w:vAlign w:val="bottom"/>
            <w:hideMark/>
          </w:tcPr>
          <w:p w14:paraId="0ADA0DDF"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ESS</w:t>
            </w:r>
          </w:p>
        </w:tc>
        <w:tc>
          <w:tcPr>
            <w:tcW w:w="980" w:type="dxa"/>
            <w:tcBorders>
              <w:top w:val="nil"/>
              <w:left w:val="nil"/>
              <w:bottom w:val="single" w:sz="4" w:space="0" w:color="auto"/>
              <w:right w:val="single" w:sz="4" w:space="0" w:color="auto"/>
            </w:tcBorders>
            <w:shd w:val="clear" w:color="auto" w:fill="auto"/>
            <w:noWrap/>
            <w:vAlign w:val="bottom"/>
            <w:hideMark/>
          </w:tcPr>
          <w:p w14:paraId="6A52E07A"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Vzhod</w:t>
            </w:r>
          </w:p>
        </w:tc>
        <w:tc>
          <w:tcPr>
            <w:tcW w:w="1164" w:type="dxa"/>
            <w:tcBorders>
              <w:top w:val="nil"/>
              <w:left w:val="nil"/>
              <w:bottom w:val="single" w:sz="4" w:space="0" w:color="auto"/>
              <w:right w:val="single" w:sz="4" w:space="0" w:color="auto"/>
            </w:tcBorders>
            <w:shd w:val="clear" w:color="auto" w:fill="auto"/>
            <w:noWrap/>
            <w:vAlign w:val="bottom"/>
            <w:hideMark/>
          </w:tcPr>
          <w:p w14:paraId="087A9891"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92.638.770</w:t>
            </w:r>
          </w:p>
        </w:tc>
        <w:tc>
          <w:tcPr>
            <w:tcW w:w="1164" w:type="dxa"/>
            <w:tcBorders>
              <w:top w:val="nil"/>
              <w:left w:val="nil"/>
              <w:bottom w:val="single" w:sz="4" w:space="0" w:color="auto"/>
              <w:right w:val="single" w:sz="4" w:space="0" w:color="auto"/>
            </w:tcBorders>
            <w:shd w:val="clear" w:color="auto" w:fill="auto"/>
            <w:noWrap/>
            <w:vAlign w:val="bottom"/>
            <w:hideMark/>
          </w:tcPr>
          <w:p w14:paraId="623BA9E5"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100.627.454</w:t>
            </w:r>
          </w:p>
        </w:tc>
        <w:tc>
          <w:tcPr>
            <w:tcW w:w="550" w:type="dxa"/>
            <w:tcBorders>
              <w:top w:val="nil"/>
              <w:left w:val="nil"/>
              <w:bottom w:val="single" w:sz="4" w:space="0" w:color="auto"/>
              <w:right w:val="single" w:sz="4" w:space="0" w:color="auto"/>
            </w:tcBorders>
            <w:shd w:val="clear" w:color="auto" w:fill="auto"/>
            <w:noWrap/>
            <w:vAlign w:val="bottom"/>
            <w:hideMark/>
          </w:tcPr>
          <w:p w14:paraId="25F1B160"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109%</w:t>
            </w:r>
          </w:p>
        </w:tc>
        <w:tc>
          <w:tcPr>
            <w:tcW w:w="1164" w:type="dxa"/>
            <w:tcBorders>
              <w:top w:val="nil"/>
              <w:left w:val="nil"/>
              <w:bottom w:val="single" w:sz="4" w:space="0" w:color="auto"/>
              <w:right w:val="single" w:sz="4" w:space="0" w:color="auto"/>
            </w:tcBorders>
            <w:shd w:val="clear" w:color="auto" w:fill="auto"/>
            <w:noWrap/>
            <w:vAlign w:val="bottom"/>
            <w:hideMark/>
          </w:tcPr>
          <w:p w14:paraId="442E7B07"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99.210.296</w:t>
            </w:r>
          </w:p>
        </w:tc>
        <w:tc>
          <w:tcPr>
            <w:tcW w:w="550" w:type="dxa"/>
            <w:tcBorders>
              <w:top w:val="nil"/>
              <w:left w:val="nil"/>
              <w:bottom w:val="single" w:sz="4" w:space="0" w:color="auto"/>
              <w:right w:val="single" w:sz="4" w:space="0" w:color="auto"/>
            </w:tcBorders>
            <w:shd w:val="clear" w:color="auto" w:fill="auto"/>
            <w:noWrap/>
            <w:vAlign w:val="bottom"/>
            <w:hideMark/>
          </w:tcPr>
          <w:p w14:paraId="46329C80"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107%</w:t>
            </w:r>
          </w:p>
        </w:tc>
        <w:tc>
          <w:tcPr>
            <w:tcW w:w="1164" w:type="dxa"/>
            <w:tcBorders>
              <w:top w:val="nil"/>
              <w:left w:val="nil"/>
              <w:bottom w:val="single" w:sz="4" w:space="0" w:color="auto"/>
              <w:right w:val="single" w:sz="4" w:space="0" w:color="auto"/>
            </w:tcBorders>
            <w:shd w:val="clear" w:color="auto" w:fill="auto"/>
            <w:noWrap/>
            <w:vAlign w:val="bottom"/>
            <w:hideMark/>
          </w:tcPr>
          <w:p w14:paraId="1EAAB5F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92.638.770</w:t>
            </w:r>
          </w:p>
        </w:tc>
        <w:tc>
          <w:tcPr>
            <w:tcW w:w="1164" w:type="dxa"/>
            <w:tcBorders>
              <w:top w:val="nil"/>
              <w:left w:val="nil"/>
              <w:bottom w:val="single" w:sz="4" w:space="0" w:color="auto"/>
              <w:right w:val="single" w:sz="4" w:space="0" w:color="auto"/>
            </w:tcBorders>
            <w:shd w:val="clear" w:color="auto" w:fill="auto"/>
            <w:noWrap/>
            <w:vAlign w:val="bottom"/>
            <w:hideMark/>
          </w:tcPr>
          <w:p w14:paraId="16147C6F"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97.027.454</w:t>
            </w:r>
          </w:p>
        </w:tc>
        <w:tc>
          <w:tcPr>
            <w:tcW w:w="1160" w:type="dxa"/>
            <w:tcBorders>
              <w:top w:val="nil"/>
              <w:left w:val="nil"/>
              <w:bottom w:val="single" w:sz="4" w:space="0" w:color="auto"/>
              <w:right w:val="single" w:sz="4" w:space="0" w:color="auto"/>
            </w:tcBorders>
            <w:shd w:val="clear" w:color="auto" w:fill="auto"/>
            <w:noWrap/>
            <w:vAlign w:val="bottom"/>
            <w:hideMark/>
          </w:tcPr>
          <w:p w14:paraId="2AF679C7"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105</w:t>
            </w:r>
          </w:p>
        </w:tc>
        <w:tc>
          <w:tcPr>
            <w:tcW w:w="1164" w:type="dxa"/>
            <w:tcBorders>
              <w:top w:val="nil"/>
              <w:left w:val="nil"/>
              <w:bottom w:val="single" w:sz="4" w:space="0" w:color="auto"/>
              <w:right w:val="single" w:sz="4" w:space="0" w:color="auto"/>
            </w:tcBorders>
            <w:shd w:val="clear" w:color="auto" w:fill="auto"/>
            <w:noWrap/>
            <w:vAlign w:val="bottom"/>
            <w:hideMark/>
          </w:tcPr>
          <w:p w14:paraId="4CAA9DC3"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99.210.296</w:t>
            </w:r>
          </w:p>
        </w:tc>
        <w:tc>
          <w:tcPr>
            <w:tcW w:w="962" w:type="dxa"/>
            <w:tcBorders>
              <w:top w:val="nil"/>
              <w:left w:val="nil"/>
              <w:bottom w:val="single" w:sz="4" w:space="0" w:color="auto"/>
              <w:right w:val="single" w:sz="4" w:space="0" w:color="auto"/>
            </w:tcBorders>
            <w:shd w:val="clear" w:color="auto" w:fill="auto"/>
            <w:noWrap/>
            <w:vAlign w:val="bottom"/>
            <w:hideMark/>
          </w:tcPr>
          <w:p w14:paraId="48730CD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107%</w:t>
            </w:r>
          </w:p>
        </w:tc>
        <w:tc>
          <w:tcPr>
            <w:tcW w:w="2977" w:type="dxa"/>
            <w:tcBorders>
              <w:top w:val="nil"/>
              <w:left w:val="nil"/>
              <w:bottom w:val="single" w:sz="4" w:space="0" w:color="auto"/>
              <w:right w:val="single" w:sz="4" w:space="0" w:color="auto"/>
            </w:tcBorders>
            <w:shd w:val="clear" w:color="auto" w:fill="auto"/>
            <w:vAlign w:val="bottom"/>
            <w:hideMark/>
          </w:tcPr>
          <w:p w14:paraId="00C08D7E"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Prenos potrjenih operacij v višini 3.600.000 EUR sredstev na PO 16.</w:t>
            </w:r>
          </w:p>
        </w:tc>
      </w:tr>
      <w:tr w:rsidR="002A7E48" w:rsidRPr="002A7E48" w14:paraId="2C806833" w14:textId="77777777" w:rsidTr="0042240D">
        <w:trPr>
          <w:trHeight w:val="30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14:paraId="1970ADDB"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c>
          <w:tcPr>
            <w:tcW w:w="620" w:type="dxa"/>
            <w:tcBorders>
              <w:top w:val="nil"/>
              <w:left w:val="nil"/>
              <w:bottom w:val="single" w:sz="4" w:space="0" w:color="auto"/>
              <w:right w:val="single" w:sz="4" w:space="0" w:color="auto"/>
            </w:tcBorders>
            <w:shd w:val="clear" w:color="auto" w:fill="auto"/>
            <w:noWrap/>
            <w:vAlign w:val="bottom"/>
            <w:hideMark/>
          </w:tcPr>
          <w:p w14:paraId="12CA623C"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ESS</w:t>
            </w:r>
          </w:p>
        </w:tc>
        <w:tc>
          <w:tcPr>
            <w:tcW w:w="980" w:type="dxa"/>
            <w:tcBorders>
              <w:top w:val="nil"/>
              <w:left w:val="nil"/>
              <w:bottom w:val="single" w:sz="4" w:space="0" w:color="auto"/>
              <w:right w:val="single" w:sz="4" w:space="0" w:color="auto"/>
            </w:tcBorders>
            <w:shd w:val="clear" w:color="auto" w:fill="auto"/>
            <w:noWrap/>
            <w:vAlign w:val="bottom"/>
            <w:hideMark/>
          </w:tcPr>
          <w:p w14:paraId="792749B2"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Zahod</w:t>
            </w:r>
          </w:p>
        </w:tc>
        <w:tc>
          <w:tcPr>
            <w:tcW w:w="1164" w:type="dxa"/>
            <w:tcBorders>
              <w:top w:val="nil"/>
              <w:left w:val="nil"/>
              <w:bottom w:val="single" w:sz="4" w:space="0" w:color="auto"/>
              <w:right w:val="single" w:sz="4" w:space="0" w:color="auto"/>
            </w:tcBorders>
            <w:shd w:val="clear" w:color="auto" w:fill="auto"/>
            <w:noWrap/>
            <w:vAlign w:val="bottom"/>
            <w:hideMark/>
          </w:tcPr>
          <w:p w14:paraId="734330D1"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64.984.361</w:t>
            </w:r>
          </w:p>
        </w:tc>
        <w:tc>
          <w:tcPr>
            <w:tcW w:w="1164" w:type="dxa"/>
            <w:tcBorders>
              <w:top w:val="nil"/>
              <w:left w:val="nil"/>
              <w:bottom w:val="single" w:sz="4" w:space="0" w:color="auto"/>
              <w:right w:val="single" w:sz="4" w:space="0" w:color="auto"/>
            </w:tcBorders>
            <w:shd w:val="clear" w:color="auto" w:fill="auto"/>
            <w:noWrap/>
            <w:vAlign w:val="bottom"/>
            <w:hideMark/>
          </w:tcPr>
          <w:p w14:paraId="73B4A534"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62.866.068</w:t>
            </w:r>
          </w:p>
        </w:tc>
        <w:tc>
          <w:tcPr>
            <w:tcW w:w="550" w:type="dxa"/>
            <w:tcBorders>
              <w:top w:val="nil"/>
              <w:left w:val="nil"/>
              <w:bottom w:val="single" w:sz="4" w:space="0" w:color="auto"/>
              <w:right w:val="single" w:sz="4" w:space="0" w:color="auto"/>
            </w:tcBorders>
            <w:shd w:val="clear" w:color="auto" w:fill="auto"/>
            <w:noWrap/>
            <w:vAlign w:val="bottom"/>
            <w:hideMark/>
          </w:tcPr>
          <w:p w14:paraId="7432AFA7"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97%</w:t>
            </w:r>
          </w:p>
        </w:tc>
        <w:tc>
          <w:tcPr>
            <w:tcW w:w="1164" w:type="dxa"/>
            <w:tcBorders>
              <w:top w:val="nil"/>
              <w:left w:val="nil"/>
              <w:bottom w:val="single" w:sz="4" w:space="0" w:color="auto"/>
              <w:right w:val="single" w:sz="4" w:space="0" w:color="auto"/>
            </w:tcBorders>
            <w:shd w:val="clear" w:color="auto" w:fill="auto"/>
            <w:noWrap/>
            <w:vAlign w:val="bottom"/>
            <w:hideMark/>
          </w:tcPr>
          <w:p w14:paraId="57898BEF"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63.879.734</w:t>
            </w:r>
          </w:p>
        </w:tc>
        <w:tc>
          <w:tcPr>
            <w:tcW w:w="550" w:type="dxa"/>
            <w:tcBorders>
              <w:top w:val="nil"/>
              <w:left w:val="nil"/>
              <w:bottom w:val="single" w:sz="4" w:space="0" w:color="auto"/>
              <w:right w:val="single" w:sz="4" w:space="0" w:color="auto"/>
            </w:tcBorders>
            <w:shd w:val="clear" w:color="auto" w:fill="auto"/>
            <w:noWrap/>
            <w:vAlign w:val="bottom"/>
            <w:hideMark/>
          </w:tcPr>
          <w:p w14:paraId="52CA29D0"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98%</w:t>
            </w:r>
          </w:p>
        </w:tc>
        <w:tc>
          <w:tcPr>
            <w:tcW w:w="1164" w:type="dxa"/>
            <w:tcBorders>
              <w:top w:val="nil"/>
              <w:left w:val="nil"/>
              <w:bottom w:val="single" w:sz="4" w:space="0" w:color="auto"/>
              <w:right w:val="single" w:sz="4" w:space="0" w:color="auto"/>
            </w:tcBorders>
            <w:shd w:val="clear" w:color="auto" w:fill="auto"/>
            <w:noWrap/>
            <w:vAlign w:val="bottom"/>
            <w:hideMark/>
          </w:tcPr>
          <w:p w14:paraId="30B2F02C"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64.984.361</w:t>
            </w:r>
          </w:p>
        </w:tc>
        <w:tc>
          <w:tcPr>
            <w:tcW w:w="1164" w:type="dxa"/>
            <w:tcBorders>
              <w:top w:val="nil"/>
              <w:left w:val="nil"/>
              <w:bottom w:val="single" w:sz="4" w:space="0" w:color="auto"/>
              <w:right w:val="single" w:sz="4" w:space="0" w:color="auto"/>
            </w:tcBorders>
            <w:shd w:val="clear" w:color="auto" w:fill="auto"/>
            <w:noWrap/>
            <w:vAlign w:val="bottom"/>
            <w:hideMark/>
          </w:tcPr>
          <w:p w14:paraId="5BB49921"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62.866.068</w:t>
            </w:r>
          </w:p>
        </w:tc>
        <w:tc>
          <w:tcPr>
            <w:tcW w:w="1160" w:type="dxa"/>
            <w:tcBorders>
              <w:top w:val="nil"/>
              <w:left w:val="nil"/>
              <w:bottom w:val="single" w:sz="4" w:space="0" w:color="auto"/>
              <w:right w:val="single" w:sz="4" w:space="0" w:color="auto"/>
            </w:tcBorders>
            <w:shd w:val="clear" w:color="auto" w:fill="auto"/>
            <w:noWrap/>
            <w:vAlign w:val="bottom"/>
            <w:hideMark/>
          </w:tcPr>
          <w:p w14:paraId="3A637C54"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97</w:t>
            </w:r>
          </w:p>
        </w:tc>
        <w:tc>
          <w:tcPr>
            <w:tcW w:w="1164" w:type="dxa"/>
            <w:tcBorders>
              <w:top w:val="nil"/>
              <w:left w:val="nil"/>
              <w:bottom w:val="single" w:sz="4" w:space="0" w:color="auto"/>
              <w:right w:val="single" w:sz="4" w:space="0" w:color="auto"/>
            </w:tcBorders>
            <w:shd w:val="clear" w:color="auto" w:fill="auto"/>
            <w:noWrap/>
            <w:vAlign w:val="bottom"/>
            <w:hideMark/>
          </w:tcPr>
          <w:p w14:paraId="15A5673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63.879.734</w:t>
            </w:r>
          </w:p>
        </w:tc>
        <w:tc>
          <w:tcPr>
            <w:tcW w:w="962" w:type="dxa"/>
            <w:tcBorders>
              <w:top w:val="nil"/>
              <w:left w:val="nil"/>
              <w:bottom w:val="single" w:sz="4" w:space="0" w:color="auto"/>
              <w:right w:val="single" w:sz="4" w:space="0" w:color="auto"/>
            </w:tcBorders>
            <w:shd w:val="clear" w:color="auto" w:fill="auto"/>
            <w:noWrap/>
            <w:vAlign w:val="bottom"/>
            <w:hideMark/>
          </w:tcPr>
          <w:p w14:paraId="0575E534"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98%</w:t>
            </w:r>
          </w:p>
        </w:tc>
        <w:tc>
          <w:tcPr>
            <w:tcW w:w="2977" w:type="dxa"/>
            <w:tcBorders>
              <w:top w:val="nil"/>
              <w:left w:val="nil"/>
              <w:bottom w:val="single" w:sz="4" w:space="0" w:color="auto"/>
              <w:right w:val="single" w:sz="4" w:space="0" w:color="auto"/>
            </w:tcBorders>
            <w:shd w:val="clear" w:color="auto" w:fill="auto"/>
            <w:vAlign w:val="bottom"/>
            <w:hideMark/>
          </w:tcPr>
          <w:p w14:paraId="16E6BA29"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r>
      <w:tr w:rsidR="002A7E48" w:rsidRPr="002A7E48" w14:paraId="79F0F61F" w14:textId="77777777" w:rsidTr="0042240D">
        <w:trPr>
          <w:trHeight w:val="30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14:paraId="552A33EF"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c>
          <w:tcPr>
            <w:tcW w:w="620" w:type="dxa"/>
            <w:tcBorders>
              <w:top w:val="nil"/>
              <w:left w:val="nil"/>
              <w:bottom w:val="single" w:sz="4" w:space="0" w:color="auto"/>
              <w:right w:val="single" w:sz="4" w:space="0" w:color="auto"/>
            </w:tcBorders>
            <w:shd w:val="clear" w:color="auto" w:fill="auto"/>
            <w:noWrap/>
            <w:vAlign w:val="bottom"/>
            <w:hideMark/>
          </w:tcPr>
          <w:p w14:paraId="4F1735A2"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ESRR</w:t>
            </w:r>
          </w:p>
        </w:tc>
        <w:tc>
          <w:tcPr>
            <w:tcW w:w="980" w:type="dxa"/>
            <w:tcBorders>
              <w:top w:val="nil"/>
              <w:left w:val="nil"/>
              <w:bottom w:val="single" w:sz="4" w:space="0" w:color="auto"/>
              <w:right w:val="single" w:sz="4" w:space="0" w:color="auto"/>
            </w:tcBorders>
            <w:shd w:val="clear" w:color="auto" w:fill="auto"/>
            <w:noWrap/>
            <w:vAlign w:val="bottom"/>
            <w:hideMark/>
          </w:tcPr>
          <w:p w14:paraId="48717193"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Vzhod</w:t>
            </w:r>
          </w:p>
        </w:tc>
        <w:tc>
          <w:tcPr>
            <w:tcW w:w="1164" w:type="dxa"/>
            <w:tcBorders>
              <w:top w:val="nil"/>
              <w:left w:val="nil"/>
              <w:bottom w:val="single" w:sz="4" w:space="0" w:color="auto"/>
              <w:right w:val="single" w:sz="4" w:space="0" w:color="auto"/>
            </w:tcBorders>
            <w:shd w:val="clear" w:color="auto" w:fill="auto"/>
            <w:noWrap/>
            <w:vAlign w:val="bottom"/>
            <w:hideMark/>
          </w:tcPr>
          <w:p w14:paraId="431EF98E"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40.035.380</w:t>
            </w:r>
          </w:p>
        </w:tc>
        <w:tc>
          <w:tcPr>
            <w:tcW w:w="1164" w:type="dxa"/>
            <w:tcBorders>
              <w:top w:val="nil"/>
              <w:left w:val="nil"/>
              <w:bottom w:val="single" w:sz="4" w:space="0" w:color="auto"/>
              <w:right w:val="single" w:sz="4" w:space="0" w:color="auto"/>
            </w:tcBorders>
            <w:shd w:val="clear" w:color="auto" w:fill="auto"/>
            <w:noWrap/>
            <w:vAlign w:val="bottom"/>
            <w:hideMark/>
          </w:tcPr>
          <w:p w14:paraId="16589EAC"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39.441.121</w:t>
            </w:r>
          </w:p>
        </w:tc>
        <w:tc>
          <w:tcPr>
            <w:tcW w:w="550" w:type="dxa"/>
            <w:tcBorders>
              <w:top w:val="nil"/>
              <w:left w:val="nil"/>
              <w:bottom w:val="single" w:sz="4" w:space="0" w:color="auto"/>
              <w:right w:val="single" w:sz="4" w:space="0" w:color="auto"/>
            </w:tcBorders>
            <w:shd w:val="clear" w:color="auto" w:fill="auto"/>
            <w:noWrap/>
            <w:vAlign w:val="bottom"/>
            <w:hideMark/>
          </w:tcPr>
          <w:p w14:paraId="60CBD70B"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99%</w:t>
            </w:r>
          </w:p>
        </w:tc>
        <w:tc>
          <w:tcPr>
            <w:tcW w:w="1164" w:type="dxa"/>
            <w:tcBorders>
              <w:top w:val="nil"/>
              <w:left w:val="nil"/>
              <w:bottom w:val="single" w:sz="4" w:space="0" w:color="auto"/>
              <w:right w:val="single" w:sz="4" w:space="0" w:color="auto"/>
            </w:tcBorders>
            <w:shd w:val="clear" w:color="auto" w:fill="auto"/>
            <w:noWrap/>
            <w:vAlign w:val="bottom"/>
            <w:hideMark/>
          </w:tcPr>
          <w:p w14:paraId="0705A16F"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32.305.734</w:t>
            </w:r>
          </w:p>
        </w:tc>
        <w:tc>
          <w:tcPr>
            <w:tcW w:w="550" w:type="dxa"/>
            <w:tcBorders>
              <w:top w:val="nil"/>
              <w:left w:val="nil"/>
              <w:bottom w:val="single" w:sz="4" w:space="0" w:color="auto"/>
              <w:right w:val="single" w:sz="4" w:space="0" w:color="auto"/>
            </w:tcBorders>
            <w:shd w:val="clear" w:color="auto" w:fill="auto"/>
            <w:noWrap/>
            <w:vAlign w:val="bottom"/>
            <w:hideMark/>
          </w:tcPr>
          <w:p w14:paraId="7E0ECA0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81%</w:t>
            </w:r>
          </w:p>
        </w:tc>
        <w:tc>
          <w:tcPr>
            <w:tcW w:w="1164" w:type="dxa"/>
            <w:tcBorders>
              <w:top w:val="nil"/>
              <w:left w:val="nil"/>
              <w:bottom w:val="single" w:sz="4" w:space="0" w:color="auto"/>
              <w:right w:val="single" w:sz="4" w:space="0" w:color="auto"/>
            </w:tcBorders>
            <w:shd w:val="clear" w:color="auto" w:fill="auto"/>
            <w:noWrap/>
            <w:vAlign w:val="bottom"/>
            <w:hideMark/>
          </w:tcPr>
          <w:p w14:paraId="18698347"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40.035.380</w:t>
            </w:r>
          </w:p>
        </w:tc>
        <w:tc>
          <w:tcPr>
            <w:tcW w:w="1164" w:type="dxa"/>
            <w:tcBorders>
              <w:top w:val="nil"/>
              <w:left w:val="nil"/>
              <w:bottom w:val="single" w:sz="4" w:space="0" w:color="auto"/>
              <w:right w:val="single" w:sz="4" w:space="0" w:color="auto"/>
            </w:tcBorders>
            <w:shd w:val="clear" w:color="auto" w:fill="auto"/>
            <w:noWrap/>
            <w:vAlign w:val="bottom"/>
            <w:hideMark/>
          </w:tcPr>
          <w:p w14:paraId="22DE03B3"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39.441.121</w:t>
            </w:r>
          </w:p>
        </w:tc>
        <w:tc>
          <w:tcPr>
            <w:tcW w:w="1160" w:type="dxa"/>
            <w:tcBorders>
              <w:top w:val="nil"/>
              <w:left w:val="nil"/>
              <w:bottom w:val="single" w:sz="4" w:space="0" w:color="auto"/>
              <w:right w:val="single" w:sz="4" w:space="0" w:color="auto"/>
            </w:tcBorders>
            <w:shd w:val="clear" w:color="auto" w:fill="auto"/>
            <w:noWrap/>
            <w:vAlign w:val="bottom"/>
            <w:hideMark/>
          </w:tcPr>
          <w:p w14:paraId="3A40B9C0"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99</w:t>
            </w:r>
          </w:p>
        </w:tc>
        <w:tc>
          <w:tcPr>
            <w:tcW w:w="1164" w:type="dxa"/>
            <w:tcBorders>
              <w:top w:val="nil"/>
              <w:left w:val="nil"/>
              <w:bottom w:val="single" w:sz="4" w:space="0" w:color="auto"/>
              <w:right w:val="single" w:sz="4" w:space="0" w:color="auto"/>
            </w:tcBorders>
            <w:shd w:val="clear" w:color="auto" w:fill="auto"/>
            <w:noWrap/>
            <w:vAlign w:val="bottom"/>
            <w:hideMark/>
          </w:tcPr>
          <w:p w14:paraId="6022DEC7"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32.305.734</w:t>
            </w:r>
          </w:p>
        </w:tc>
        <w:tc>
          <w:tcPr>
            <w:tcW w:w="962" w:type="dxa"/>
            <w:tcBorders>
              <w:top w:val="nil"/>
              <w:left w:val="nil"/>
              <w:bottom w:val="single" w:sz="4" w:space="0" w:color="auto"/>
              <w:right w:val="single" w:sz="4" w:space="0" w:color="auto"/>
            </w:tcBorders>
            <w:shd w:val="clear" w:color="auto" w:fill="auto"/>
            <w:noWrap/>
            <w:vAlign w:val="bottom"/>
            <w:hideMark/>
          </w:tcPr>
          <w:p w14:paraId="34C964F1"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81%</w:t>
            </w:r>
          </w:p>
        </w:tc>
        <w:tc>
          <w:tcPr>
            <w:tcW w:w="2977" w:type="dxa"/>
            <w:tcBorders>
              <w:top w:val="nil"/>
              <w:left w:val="nil"/>
              <w:bottom w:val="single" w:sz="4" w:space="0" w:color="auto"/>
              <w:right w:val="single" w:sz="4" w:space="0" w:color="auto"/>
            </w:tcBorders>
            <w:shd w:val="clear" w:color="auto" w:fill="auto"/>
            <w:vAlign w:val="bottom"/>
            <w:hideMark/>
          </w:tcPr>
          <w:p w14:paraId="2D323390"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r>
      <w:tr w:rsidR="002A7E48" w:rsidRPr="002A7E48" w14:paraId="06C91728" w14:textId="77777777" w:rsidTr="0042240D">
        <w:trPr>
          <w:trHeight w:val="30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14:paraId="2C1F0929"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c>
          <w:tcPr>
            <w:tcW w:w="620" w:type="dxa"/>
            <w:tcBorders>
              <w:top w:val="nil"/>
              <w:left w:val="nil"/>
              <w:bottom w:val="single" w:sz="4" w:space="0" w:color="auto"/>
              <w:right w:val="single" w:sz="4" w:space="0" w:color="auto"/>
            </w:tcBorders>
            <w:shd w:val="clear" w:color="auto" w:fill="auto"/>
            <w:noWrap/>
            <w:vAlign w:val="bottom"/>
            <w:hideMark/>
          </w:tcPr>
          <w:p w14:paraId="3DAF3426"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ESRR</w:t>
            </w:r>
          </w:p>
        </w:tc>
        <w:tc>
          <w:tcPr>
            <w:tcW w:w="980" w:type="dxa"/>
            <w:tcBorders>
              <w:top w:val="nil"/>
              <w:left w:val="nil"/>
              <w:bottom w:val="single" w:sz="4" w:space="0" w:color="auto"/>
              <w:right w:val="single" w:sz="4" w:space="0" w:color="auto"/>
            </w:tcBorders>
            <w:shd w:val="clear" w:color="auto" w:fill="auto"/>
            <w:noWrap/>
            <w:vAlign w:val="bottom"/>
            <w:hideMark/>
          </w:tcPr>
          <w:p w14:paraId="05706FDF"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Zahod</w:t>
            </w:r>
          </w:p>
        </w:tc>
        <w:tc>
          <w:tcPr>
            <w:tcW w:w="1164" w:type="dxa"/>
            <w:tcBorders>
              <w:top w:val="nil"/>
              <w:left w:val="nil"/>
              <w:bottom w:val="single" w:sz="4" w:space="0" w:color="auto"/>
              <w:right w:val="single" w:sz="4" w:space="0" w:color="auto"/>
            </w:tcBorders>
            <w:shd w:val="clear" w:color="auto" w:fill="auto"/>
            <w:noWrap/>
            <w:vAlign w:val="bottom"/>
            <w:hideMark/>
          </w:tcPr>
          <w:p w14:paraId="45807E3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32.917.180</w:t>
            </w:r>
          </w:p>
        </w:tc>
        <w:tc>
          <w:tcPr>
            <w:tcW w:w="1164" w:type="dxa"/>
            <w:tcBorders>
              <w:top w:val="nil"/>
              <w:left w:val="nil"/>
              <w:bottom w:val="single" w:sz="4" w:space="0" w:color="auto"/>
              <w:right w:val="single" w:sz="4" w:space="0" w:color="auto"/>
            </w:tcBorders>
            <w:shd w:val="clear" w:color="auto" w:fill="auto"/>
            <w:noWrap/>
            <w:vAlign w:val="bottom"/>
            <w:hideMark/>
          </w:tcPr>
          <w:p w14:paraId="6D77441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31.574.572</w:t>
            </w:r>
          </w:p>
        </w:tc>
        <w:tc>
          <w:tcPr>
            <w:tcW w:w="550" w:type="dxa"/>
            <w:tcBorders>
              <w:top w:val="nil"/>
              <w:left w:val="nil"/>
              <w:bottom w:val="single" w:sz="4" w:space="0" w:color="auto"/>
              <w:right w:val="single" w:sz="4" w:space="0" w:color="auto"/>
            </w:tcBorders>
            <w:shd w:val="clear" w:color="auto" w:fill="auto"/>
            <w:noWrap/>
            <w:vAlign w:val="bottom"/>
            <w:hideMark/>
          </w:tcPr>
          <w:p w14:paraId="137C426F"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96%</w:t>
            </w:r>
          </w:p>
        </w:tc>
        <w:tc>
          <w:tcPr>
            <w:tcW w:w="1164" w:type="dxa"/>
            <w:tcBorders>
              <w:top w:val="nil"/>
              <w:left w:val="nil"/>
              <w:bottom w:val="single" w:sz="4" w:space="0" w:color="auto"/>
              <w:right w:val="single" w:sz="4" w:space="0" w:color="auto"/>
            </w:tcBorders>
            <w:shd w:val="clear" w:color="auto" w:fill="auto"/>
            <w:noWrap/>
            <w:vAlign w:val="bottom"/>
            <w:hideMark/>
          </w:tcPr>
          <w:p w14:paraId="210D5D97"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23.307.646</w:t>
            </w:r>
          </w:p>
        </w:tc>
        <w:tc>
          <w:tcPr>
            <w:tcW w:w="550" w:type="dxa"/>
            <w:tcBorders>
              <w:top w:val="nil"/>
              <w:left w:val="nil"/>
              <w:bottom w:val="single" w:sz="4" w:space="0" w:color="auto"/>
              <w:right w:val="single" w:sz="4" w:space="0" w:color="auto"/>
            </w:tcBorders>
            <w:shd w:val="clear" w:color="auto" w:fill="auto"/>
            <w:noWrap/>
            <w:vAlign w:val="bottom"/>
            <w:hideMark/>
          </w:tcPr>
          <w:p w14:paraId="18CC255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71%</w:t>
            </w:r>
          </w:p>
        </w:tc>
        <w:tc>
          <w:tcPr>
            <w:tcW w:w="1164" w:type="dxa"/>
            <w:tcBorders>
              <w:top w:val="nil"/>
              <w:left w:val="nil"/>
              <w:bottom w:val="single" w:sz="4" w:space="0" w:color="auto"/>
              <w:right w:val="single" w:sz="4" w:space="0" w:color="auto"/>
            </w:tcBorders>
            <w:shd w:val="clear" w:color="auto" w:fill="auto"/>
            <w:noWrap/>
            <w:vAlign w:val="bottom"/>
            <w:hideMark/>
          </w:tcPr>
          <w:p w14:paraId="6AC1A9B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32.917.180</w:t>
            </w:r>
          </w:p>
        </w:tc>
        <w:tc>
          <w:tcPr>
            <w:tcW w:w="1164" w:type="dxa"/>
            <w:tcBorders>
              <w:top w:val="nil"/>
              <w:left w:val="nil"/>
              <w:bottom w:val="single" w:sz="4" w:space="0" w:color="auto"/>
              <w:right w:val="single" w:sz="4" w:space="0" w:color="auto"/>
            </w:tcBorders>
            <w:shd w:val="clear" w:color="auto" w:fill="auto"/>
            <w:noWrap/>
            <w:vAlign w:val="bottom"/>
            <w:hideMark/>
          </w:tcPr>
          <w:p w14:paraId="229897E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31.574.572</w:t>
            </w:r>
          </w:p>
        </w:tc>
        <w:tc>
          <w:tcPr>
            <w:tcW w:w="1160" w:type="dxa"/>
            <w:tcBorders>
              <w:top w:val="nil"/>
              <w:left w:val="nil"/>
              <w:bottom w:val="single" w:sz="4" w:space="0" w:color="auto"/>
              <w:right w:val="single" w:sz="4" w:space="0" w:color="auto"/>
            </w:tcBorders>
            <w:shd w:val="clear" w:color="auto" w:fill="auto"/>
            <w:noWrap/>
            <w:vAlign w:val="bottom"/>
            <w:hideMark/>
          </w:tcPr>
          <w:p w14:paraId="5308BBF5"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96</w:t>
            </w:r>
          </w:p>
        </w:tc>
        <w:tc>
          <w:tcPr>
            <w:tcW w:w="1164" w:type="dxa"/>
            <w:tcBorders>
              <w:top w:val="nil"/>
              <w:left w:val="nil"/>
              <w:bottom w:val="single" w:sz="4" w:space="0" w:color="auto"/>
              <w:right w:val="single" w:sz="4" w:space="0" w:color="auto"/>
            </w:tcBorders>
            <w:shd w:val="clear" w:color="auto" w:fill="auto"/>
            <w:noWrap/>
            <w:vAlign w:val="bottom"/>
            <w:hideMark/>
          </w:tcPr>
          <w:p w14:paraId="111F7894"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23.307.646</w:t>
            </w:r>
          </w:p>
        </w:tc>
        <w:tc>
          <w:tcPr>
            <w:tcW w:w="962" w:type="dxa"/>
            <w:tcBorders>
              <w:top w:val="nil"/>
              <w:left w:val="nil"/>
              <w:bottom w:val="single" w:sz="4" w:space="0" w:color="auto"/>
              <w:right w:val="single" w:sz="4" w:space="0" w:color="auto"/>
            </w:tcBorders>
            <w:shd w:val="clear" w:color="auto" w:fill="auto"/>
            <w:noWrap/>
            <w:vAlign w:val="bottom"/>
            <w:hideMark/>
          </w:tcPr>
          <w:p w14:paraId="7F617FAF"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71%</w:t>
            </w:r>
          </w:p>
        </w:tc>
        <w:tc>
          <w:tcPr>
            <w:tcW w:w="2977" w:type="dxa"/>
            <w:tcBorders>
              <w:top w:val="nil"/>
              <w:left w:val="nil"/>
              <w:bottom w:val="single" w:sz="4" w:space="0" w:color="auto"/>
              <w:right w:val="single" w:sz="4" w:space="0" w:color="auto"/>
            </w:tcBorders>
            <w:shd w:val="clear" w:color="auto" w:fill="auto"/>
            <w:vAlign w:val="bottom"/>
            <w:hideMark/>
          </w:tcPr>
          <w:p w14:paraId="5A6C4612"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r>
      <w:tr w:rsidR="002A7E48" w:rsidRPr="002A7E48" w14:paraId="639712AB" w14:textId="77777777" w:rsidTr="0042240D">
        <w:trPr>
          <w:trHeight w:val="30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14:paraId="6B89FB3F"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w:t>
            </w:r>
          </w:p>
        </w:tc>
        <w:tc>
          <w:tcPr>
            <w:tcW w:w="620" w:type="dxa"/>
            <w:tcBorders>
              <w:top w:val="nil"/>
              <w:left w:val="nil"/>
              <w:bottom w:val="single" w:sz="4" w:space="0" w:color="auto"/>
              <w:right w:val="single" w:sz="4" w:space="0" w:color="auto"/>
            </w:tcBorders>
            <w:shd w:val="clear" w:color="auto" w:fill="auto"/>
            <w:noWrap/>
            <w:vAlign w:val="bottom"/>
            <w:hideMark/>
          </w:tcPr>
          <w:p w14:paraId="2778960D"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ESS</w:t>
            </w:r>
          </w:p>
        </w:tc>
        <w:tc>
          <w:tcPr>
            <w:tcW w:w="980" w:type="dxa"/>
            <w:tcBorders>
              <w:top w:val="nil"/>
              <w:left w:val="nil"/>
              <w:bottom w:val="single" w:sz="4" w:space="0" w:color="auto"/>
              <w:right w:val="single" w:sz="4" w:space="0" w:color="auto"/>
            </w:tcBorders>
            <w:shd w:val="clear" w:color="auto" w:fill="auto"/>
            <w:noWrap/>
            <w:vAlign w:val="bottom"/>
            <w:hideMark/>
          </w:tcPr>
          <w:p w14:paraId="5821356E"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Vzhod</w:t>
            </w:r>
          </w:p>
        </w:tc>
        <w:tc>
          <w:tcPr>
            <w:tcW w:w="1164" w:type="dxa"/>
            <w:tcBorders>
              <w:top w:val="nil"/>
              <w:left w:val="nil"/>
              <w:bottom w:val="single" w:sz="4" w:space="0" w:color="auto"/>
              <w:right w:val="single" w:sz="4" w:space="0" w:color="auto"/>
            </w:tcBorders>
            <w:shd w:val="clear" w:color="auto" w:fill="auto"/>
            <w:noWrap/>
            <w:vAlign w:val="bottom"/>
            <w:hideMark/>
          </w:tcPr>
          <w:p w14:paraId="0D0BAC75"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120.676.227</w:t>
            </w:r>
          </w:p>
        </w:tc>
        <w:tc>
          <w:tcPr>
            <w:tcW w:w="1164" w:type="dxa"/>
            <w:tcBorders>
              <w:top w:val="nil"/>
              <w:left w:val="nil"/>
              <w:bottom w:val="single" w:sz="4" w:space="0" w:color="auto"/>
              <w:right w:val="single" w:sz="4" w:space="0" w:color="auto"/>
            </w:tcBorders>
            <w:shd w:val="clear" w:color="auto" w:fill="auto"/>
            <w:noWrap/>
            <w:vAlign w:val="bottom"/>
            <w:hideMark/>
          </w:tcPr>
          <w:p w14:paraId="13E3C2C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111.018.934</w:t>
            </w:r>
          </w:p>
        </w:tc>
        <w:tc>
          <w:tcPr>
            <w:tcW w:w="550" w:type="dxa"/>
            <w:tcBorders>
              <w:top w:val="nil"/>
              <w:left w:val="nil"/>
              <w:bottom w:val="single" w:sz="4" w:space="0" w:color="auto"/>
              <w:right w:val="single" w:sz="4" w:space="0" w:color="auto"/>
            </w:tcBorders>
            <w:shd w:val="clear" w:color="auto" w:fill="auto"/>
            <w:noWrap/>
            <w:vAlign w:val="bottom"/>
            <w:hideMark/>
          </w:tcPr>
          <w:p w14:paraId="23B3D73C"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92%</w:t>
            </w:r>
          </w:p>
        </w:tc>
        <w:tc>
          <w:tcPr>
            <w:tcW w:w="1164" w:type="dxa"/>
            <w:tcBorders>
              <w:top w:val="nil"/>
              <w:left w:val="nil"/>
              <w:bottom w:val="single" w:sz="4" w:space="0" w:color="auto"/>
              <w:right w:val="single" w:sz="4" w:space="0" w:color="auto"/>
            </w:tcBorders>
            <w:shd w:val="clear" w:color="auto" w:fill="auto"/>
            <w:noWrap/>
            <w:vAlign w:val="bottom"/>
            <w:hideMark/>
          </w:tcPr>
          <w:p w14:paraId="4554E034"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104.218.364</w:t>
            </w:r>
          </w:p>
        </w:tc>
        <w:tc>
          <w:tcPr>
            <w:tcW w:w="550" w:type="dxa"/>
            <w:tcBorders>
              <w:top w:val="nil"/>
              <w:left w:val="nil"/>
              <w:bottom w:val="single" w:sz="4" w:space="0" w:color="auto"/>
              <w:right w:val="single" w:sz="4" w:space="0" w:color="auto"/>
            </w:tcBorders>
            <w:shd w:val="clear" w:color="auto" w:fill="auto"/>
            <w:noWrap/>
            <w:vAlign w:val="bottom"/>
            <w:hideMark/>
          </w:tcPr>
          <w:p w14:paraId="642A08B3"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86%</w:t>
            </w:r>
          </w:p>
        </w:tc>
        <w:tc>
          <w:tcPr>
            <w:tcW w:w="1164" w:type="dxa"/>
            <w:tcBorders>
              <w:top w:val="nil"/>
              <w:left w:val="nil"/>
              <w:bottom w:val="single" w:sz="4" w:space="0" w:color="auto"/>
              <w:right w:val="single" w:sz="4" w:space="0" w:color="auto"/>
            </w:tcBorders>
            <w:shd w:val="clear" w:color="auto" w:fill="auto"/>
            <w:noWrap/>
            <w:vAlign w:val="bottom"/>
            <w:hideMark/>
          </w:tcPr>
          <w:p w14:paraId="3B9CA4C0"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120.676.227</w:t>
            </w:r>
          </w:p>
        </w:tc>
        <w:tc>
          <w:tcPr>
            <w:tcW w:w="1164" w:type="dxa"/>
            <w:tcBorders>
              <w:top w:val="nil"/>
              <w:left w:val="nil"/>
              <w:bottom w:val="single" w:sz="4" w:space="0" w:color="auto"/>
              <w:right w:val="single" w:sz="4" w:space="0" w:color="auto"/>
            </w:tcBorders>
            <w:shd w:val="clear" w:color="auto" w:fill="auto"/>
            <w:noWrap/>
            <w:vAlign w:val="bottom"/>
            <w:hideMark/>
          </w:tcPr>
          <w:p w14:paraId="03693EE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111.018.934</w:t>
            </w:r>
          </w:p>
        </w:tc>
        <w:tc>
          <w:tcPr>
            <w:tcW w:w="1160" w:type="dxa"/>
            <w:tcBorders>
              <w:top w:val="nil"/>
              <w:left w:val="nil"/>
              <w:bottom w:val="single" w:sz="4" w:space="0" w:color="auto"/>
              <w:right w:val="single" w:sz="4" w:space="0" w:color="auto"/>
            </w:tcBorders>
            <w:shd w:val="clear" w:color="auto" w:fill="auto"/>
            <w:noWrap/>
            <w:vAlign w:val="bottom"/>
            <w:hideMark/>
          </w:tcPr>
          <w:p w14:paraId="779F05FF"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92</w:t>
            </w:r>
          </w:p>
        </w:tc>
        <w:tc>
          <w:tcPr>
            <w:tcW w:w="1164" w:type="dxa"/>
            <w:tcBorders>
              <w:top w:val="nil"/>
              <w:left w:val="nil"/>
              <w:bottom w:val="single" w:sz="4" w:space="0" w:color="auto"/>
              <w:right w:val="single" w:sz="4" w:space="0" w:color="auto"/>
            </w:tcBorders>
            <w:shd w:val="clear" w:color="auto" w:fill="auto"/>
            <w:noWrap/>
            <w:vAlign w:val="bottom"/>
            <w:hideMark/>
          </w:tcPr>
          <w:p w14:paraId="2AB5FEE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104.218.364</w:t>
            </w:r>
          </w:p>
        </w:tc>
        <w:tc>
          <w:tcPr>
            <w:tcW w:w="962" w:type="dxa"/>
            <w:tcBorders>
              <w:top w:val="nil"/>
              <w:left w:val="nil"/>
              <w:bottom w:val="single" w:sz="4" w:space="0" w:color="auto"/>
              <w:right w:val="single" w:sz="4" w:space="0" w:color="auto"/>
            </w:tcBorders>
            <w:shd w:val="clear" w:color="auto" w:fill="auto"/>
            <w:noWrap/>
            <w:vAlign w:val="bottom"/>
            <w:hideMark/>
          </w:tcPr>
          <w:p w14:paraId="2301842B"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86%</w:t>
            </w:r>
          </w:p>
        </w:tc>
        <w:tc>
          <w:tcPr>
            <w:tcW w:w="2977" w:type="dxa"/>
            <w:tcBorders>
              <w:top w:val="nil"/>
              <w:left w:val="nil"/>
              <w:bottom w:val="single" w:sz="4" w:space="0" w:color="auto"/>
              <w:right w:val="single" w:sz="4" w:space="0" w:color="auto"/>
            </w:tcBorders>
            <w:shd w:val="clear" w:color="auto" w:fill="auto"/>
            <w:vAlign w:val="bottom"/>
            <w:hideMark/>
          </w:tcPr>
          <w:p w14:paraId="0C3836B2"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r>
      <w:tr w:rsidR="002A7E48" w:rsidRPr="002A7E48" w14:paraId="7CB577A2" w14:textId="77777777" w:rsidTr="0042240D">
        <w:trPr>
          <w:trHeight w:val="30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14:paraId="35B41951"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c>
          <w:tcPr>
            <w:tcW w:w="620" w:type="dxa"/>
            <w:tcBorders>
              <w:top w:val="nil"/>
              <w:left w:val="nil"/>
              <w:bottom w:val="single" w:sz="4" w:space="0" w:color="auto"/>
              <w:right w:val="single" w:sz="4" w:space="0" w:color="auto"/>
            </w:tcBorders>
            <w:shd w:val="clear" w:color="auto" w:fill="auto"/>
            <w:noWrap/>
            <w:vAlign w:val="bottom"/>
            <w:hideMark/>
          </w:tcPr>
          <w:p w14:paraId="593C012E"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ESS</w:t>
            </w:r>
          </w:p>
        </w:tc>
        <w:tc>
          <w:tcPr>
            <w:tcW w:w="980" w:type="dxa"/>
            <w:tcBorders>
              <w:top w:val="nil"/>
              <w:left w:val="nil"/>
              <w:bottom w:val="single" w:sz="4" w:space="0" w:color="auto"/>
              <w:right w:val="single" w:sz="4" w:space="0" w:color="auto"/>
            </w:tcBorders>
            <w:shd w:val="clear" w:color="auto" w:fill="auto"/>
            <w:noWrap/>
            <w:vAlign w:val="bottom"/>
            <w:hideMark/>
          </w:tcPr>
          <w:p w14:paraId="6E0629DC"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Zahod</w:t>
            </w:r>
          </w:p>
        </w:tc>
        <w:tc>
          <w:tcPr>
            <w:tcW w:w="1164" w:type="dxa"/>
            <w:tcBorders>
              <w:top w:val="nil"/>
              <w:left w:val="nil"/>
              <w:bottom w:val="single" w:sz="4" w:space="0" w:color="auto"/>
              <w:right w:val="single" w:sz="4" w:space="0" w:color="auto"/>
            </w:tcBorders>
            <w:shd w:val="clear" w:color="auto" w:fill="auto"/>
            <w:noWrap/>
            <w:vAlign w:val="bottom"/>
            <w:hideMark/>
          </w:tcPr>
          <w:p w14:paraId="7D80C931"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92.181.016</w:t>
            </w:r>
          </w:p>
        </w:tc>
        <w:tc>
          <w:tcPr>
            <w:tcW w:w="1164" w:type="dxa"/>
            <w:tcBorders>
              <w:top w:val="nil"/>
              <w:left w:val="nil"/>
              <w:bottom w:val="single" w:sz="4" w:space="0" w:color="auto"/>
              <w:right w:val="single" w:sz="4" w:space="0" w:color="auto"/>
            </w:tcBorders>
            <w:shd w:val="clear" w:color="auto" w:fill="auto"/>
            <w:noWrap/>
            <w:vAlign w:val="bottom"/>
            <w:hideMark/>
          </w:tcPr>
          <w:p w14:paraId="50B348C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92.555.976</w:t>
            </w:r>
          </w:p>
        </w:tc>
        <w:tc>
          <w:tcPr>
            <w:tcW w:w="550" w:type="dxa"/>
            <w:tcBorders>
              <w:top w:val="nil"/>
              <w:left w:val="nil"/>
              <w:bottom w:val="single" w:sz="4" w:space="0" w:color="auto"/>
              <w:right w:val="single" w:sz="4" w:space="0" w:color="auto"/>
            </w:tcBorders>
            <w:shd w:val="clear" w:color="auto" w:fill="auto"/>
            <w:noWrap/>
            <w:vAlign w:val="bottom"/>
            <w:hideMark/>
          </w:tcPr>
          <w:p w14:paraId="08FBA40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100%</w:t>
            </w:r>
          </w:p>
        </w:tc>
        <w:tc>
          <w:tcPr>
            <w:tcW w:w="1164" w:type="dxa"/>
            <w:tcBorders>
              <w:top w:val="nil"/>
              <w:left w:val="nil"/>
              <w:bottom w:val="single" w:sz="4" w:space="0" w:color="auto"/>
              <w:right w:val="single" w:sz="4" w:space="0" w:color="auto"/>
            </w:tcBorders>
            <w:shd w:val="clear" w:color="auto" w:fill="auto"/>
            <w:noWrap/>
            <w:vAlign w:val="bottom"/>
            <w:hideMark/>
          </w:tcPr>
          <w:p w14:paraId="38D0810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86.010.616</w:t>
            </w:r>
          </w:p>
        </w:tc>
        <w:tc>
          <w:tcPr>
            <w:tcW w:w="550" w:type="dxa"/>
            <w:tcBorders>
              <w:top w:val="nil"/>
              <w:left w:val="nil"/>
              <w:bottom w:val="single" w:sz="4" w:space="0" w:color="auto"/>
              <w:right w:val="single" w:sz="4" w:space="0" w:color="auto"/>
            </w:tcBorders>
            <w:shd w:val="clear" w:color="auto" w:fill="auto"/>
            <w:noWrap/>
            <w:vAlign w:val="bottom"/>
            <w:hideMark/>
          </w:tcPr>
          <w:p w14:paraId="31F3A7C4"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93%</w:t>
            </w:r>
          </w:p>
        </w:tc>
        <w:tc>
          <w:tcPr>
            <w:tcW w:w="1164" w:type="dxa"/>
            <w:tcBorders>
              <w:top w:val="nil"/>
              <w:left w:val="nil"/>
              <w:bottom w:val="single" w:sz="4" w:space="0" w:color="auto"/>
              <w:right w:val="single" w:sz="4" w:space="0" w:color="auto"/>
            </w:tcBorders>
            <w:shd w:val="clear" w:color="auto" w:fill="auto"/>
            <w:noWrap/>
            <w:vAlign w:val="bottom"/>
            <w:hideMark/>
          </w:tcPr>
          <w:p w14:paraId="6B77CE1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92.181.016</w:t>
            </w:r>
          </w:p>
        </w:tc>
        <w:tc>
          <w:tcPr>
            <w:tcW w:w="1164" w:type="dxa"/>
            <w:tcBorders>
              <w:top w:val="nil"/>
              <w:left w:val="nil"/>
              <w:bottom w:val="single" w:sz="4" w:space="0" w:color="auto"/>
              <w:right w:val="single" w:sz="4" w:space="0" w:color="auto"/>
            </w:tcBorders>
            <w:shd w:val="clear" w:color="auto" w:fill="auto"/>
            <w:noWrap/>
            <w:vAlign w:val="bottom"/>
            <w:hideMark/>
          </w:tcPr>
          <w:p w14:paraId="6E2A118F"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92.555.976</w:t>
            </w:r>
          </w:p>
        </w:tc>
        <w:tc>
          <w:tcPr>
            <w:tcW w:w="1160" w:type="dxa"/>
            <w:tcBorders>
              <w:top w:val="nil"/>
              <w:left w:val="nil"/>
              <w:bottom w:val="single" w:sz="4" w:space="0" w:color="auto"/>
              <w:right w:val="single" w:sz="4" w:space="0" w:color="auto"/>
            </w:tcBorders>
            <w:shd w:val="clear" w:color="auto" w:fill="auto"/>
            <w:noWrap/>
            <w:vAlign w:val="bottom"/>
            <w:hideMark/>
          </w:tcPr>
          <w:p w14:paraId="5EF0869F"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100</w:t>
            </w:r>
          </w:p>
        </w:tc>
        <w:tc>
          <w:tcPr>
            <w:tcW w:w="1164" w:type="dxa"/>
            <w:tcBorders>
              <w:top w:val="nil"/>
              <w:left w:val="nil"/>
              <w:bottom w:val="single" w:sz="4" w:space="0" w:color="auto"/>
              <w:right w:val="single" w:sz="4" w:space="0" w:color="auto"/>
            </w:tcBorders>
            <w:shd w:val="clear" w:color="auto" w:fill="auto"/>
            <w:noWrap/>
            <w:vAlign w:val="bottom"/>
            <w:hideMark/>
          </w:tcPr>
          <w:p w14:paraId="4C695C59"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86.010.616</w:t>
            </w:r>
          </w:p>
        </w:tc>
        <w:tc>
          <w:tcPr>
            <w:tcW w:w="962" w:type="dxa"/>
            <w:tcBorders>
              <w:top w:val="nil"/>
              <w:left w:val="nil"/>
              <w:bottom w:val="single" w:sz="4" w:space="0" w:color="auto"/>
              <w:right w:val="single" w:sz="4" w:space="0" w:color="auto"/>
            </w:tcBorders>
            <w:shd w:val="clear" w:color="auto" w:fill="auto"/>
            <w:noWrap/>
            <w:vAlign w:val="bottom"/>
            <w:hideMark/>
          </w:tcPr>
          <w:p w14:paraId="0108B354"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93%</w:t>
            </w:r>
          </w:p>
        </w:tc>
        <w:tc>
          <w:tcPr>
            <w:tcW w:w="2977" w:type="dxa"/>
            <w:tcBorders>
              <w:top w:val="nil"/>
              <w:left w:val="nil"/>
              <w:bottom w:val="single" w:sz="4" w:space="0" w:color="auto"/>
              <w:right w:val="single" w:sz="4" w:space="0" w:color="auto"/>
            </w:tcBorders>
            <w:shd w:val="clear" w:color="auto" w:fill="auto"/>
            <w:vAlign w:val="bottom"/>
            <w:hideMark/>
          </w:tcPr>
          <w:p w14:paraId="45D44DB2"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r>
      <w:tr w:rsidR="002A7E48" w:rsidRPr="002A7E48" w14:paraId="58B0B8CC" w14:textId="77777777" w:rsidTr="0042240D">
        <w:trPr>
          <w:trHeight w:val="30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14:paraId="58BB8294"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c>
          <w:tcPr>
            <w:tcW w:w="620" w:type="dxa"/>
            <w:tcBorders>
              <w:top w:val="nil"/>
              <w:left w:val="nil"/>
              <w:bottom w:val="single" w:sz="4" w:space="0" w:color="auto"/>
              <w:right w:val="single" w:sz="4" w:space="0" w:color="auto"/>
            </w:tcBorders>
            <w:shd w:val="clear" w:color="auto" w:fill="auto"/>
            <w:noWrap/>
            <w:vAlign w:val="bottom"/>
            <w:hideMark/>
          </w:tcPr>
          <w:p w14:paraId="2C8D4401"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ESRR</w:t>
            </w:r>
          </w:p>
        </w:tc>
        <w:tc>
          <w:tcPr>
            <w:tcW w:w="980" w:type="dxa"/>
            <w:tcBorders>
              <w:top w:val="nil"/>
              <w:left w:val="nil"/>
              <w:bottom w:val="single" w:sz="4" w:space="0" w:color="auto"/>
              <w:right w:val="single" w:sz="4" w:space="0" w:color="auto"/>
            </w:tcBorders>
            <w:shd w:val="clear" w:color="auto" w:fill="auto"/>
            <w:noWrap/>
            <w:vAlign w:val="bottom"/>
            <w:hideMark/>
          </w:tcPr>
          <w:p w14:paraId="4276A4D8"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Vzhod</w:t>
            </w:r>
          </w:p>
        </w:tc>
        <w:tc>
          <w:tcPr>
            <w:tcW w:w="1164" w:type="dxa"/>
            <w:tcBorders>
              <w:top w:val="nil"/>
              <w:left w:val="nil"/>
              <w:bottom w:val="single" w:sz="4" w:space="0" w:color="auto"/>
              <w:right w:val="single" w:sz="4" w:space="0" w:color="auto"/>
            </w:tcBorders>
            <w:shd w:val="clear" w:color="auto" w:fill="auto"/>
            <w:noWrap/>
            <w:vAlign w:val="bottom"/>
            <w:hideMark/>
          </w:tcPr>
          <w:p w14:paraId="5C9EBB13"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10.014.152</w:t>
            </w:r>
          </w:p>
        </w:tc>
        <w:tc>
          <w:tcPr>
            <w:tcW w:w="1164" w:type="dxa"/>
            <w:tcBorders>
              <w:top w:val="nil"/>
              <w:left w:val="nil"/>
              <w:bottom w:val="single" w:sz="4" w:space="0" w:color="auto"/>
              <w:right w:val="single" w:sz="4" w:space="0" w:color="auto"/>
            </w:tcBorders>
            <w:shd w:val="clear" w:color="auto" w:fill="auto"/>
            <w:noWrap/>
            <w:vAlign w:val="bottom"/>
            <w:hideMark/>
          </w:tcPr>
          <w:p w14:paraId="507BA21E"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12.332.076</w:t>
            </w:r>
          </w:p>
        </w:tc>
        <w:tc>
          <w:tcPr>
            <w:tcW w:w="550" w:type="dxa"/>
            <w:tcBorders>
              <w:top w:val="nil"/>
              <w:left w:val="nil"/>
              <w:bottom w:val="single" w:sz="4" w:space="0" w:color="auto"/>
              <w:right w:val="single" w:sz="4" w:space="0" w:color="auto"/>
            </w:tcBorders>
            <w:shd w:val="clear" w:color="auto" w:fill="auto"/>
            <w:noWrap/>
            <w:vAlign w:val="bottom"/>
            <w:hideMark/>
          </w:tcPr>
          <w:p w14:paraId="3207270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123%</w:t>
            </w:r>
          </w:p>
        </w:tc>
        <w:tc>
          <w:tcPr>
            <w:tcW w:w="1164" w:type="dxa"/>
            <w:tcBorders>
              <w:top w:val="nil"/>
              <w:left w:val="nil"/>
              <w:bottom w:val="single" w:sz="4" w:space="0" w:color="auto"/>
              <w:right w:val="single" w:sz="4" w:space="0" w:color="auto"/>
            </w:tcBorders>
            <w:shd w:val="clear" w:color="auto" w:fill="auto"/>
            <w:noWrap/>
            <w:vAlign w:val="bottom"/>
            <w:hideMark/>
          </w:tcPr>
          <w:p w14:paraId="5771E281"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10.371.741</w:t>
            </w:r>
          </w:p>
        </w:tc>
        <w:tc>
          <w:tcPr>
            <w:tcW w:w="550" w:type="dxa"/>
            <w:tcBorders>
              <w:top w:val="nil"/>
              <w:left w:val="nil"/>
              <w:bottom w:val="single" w:sz="4" w:space="0" w:color="auto"/>
              <w:right w:val="single" w:sz="4" w:space="0" w:color="auto"/>
            </w:tcBorders>
            <w:shd w:val="clear" w:color="auto" w:fill="auto"/>
            <w:noWrap/>
            <w:vAlign w:val="bottom"/>
            <w:hideMark/>
          </w:tcPr>
          <w:p w14:paraId="470B6553"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104%</w:t>
            </w:r>
          </w:p>
        </w:tc>
        <w:tc>
          <w:tcPr>
            <w:tcW w:w="1164" w:type="dxa"/>
            <w:tcBorders>
              <w:top w:val="nil"/>
              <w:left w:val="nil"/>
              <w:bottom w:val="single" w:sz="4" w:space="0" w:color="auto"/>
              <w:right w:val="single" w:sz="4" w:space="0" w:color="auto"/>
            </w:tcBorders>
            <w:shd w:val="clear" w:color="auto" w:fill="auto"/>
            <w:noWrap/>
            <w:vAlign w:val="bottom"/>
            <w:hideMark/>
          </w:tcPr>
          <w:p w14:paraId="1B3B01A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10.014.152</w:t>
            </w:r>
          </w:p>
        </w:tc>
        <w:tc>
          <w:tcPr>
            <w:tcW w:w="1164" w:type="dxa"/>
            <w:tcBorders>
              <w:top w:val="nil"/>
              <w:left w:val="nil"/>
              <w:bottom w:val="single" w:sz="4" w:space="0" w:color="auto"/>
              <w:right w:val="single" w:sz="4" w:space="0" w:color="auto"/>
            </w:tcBorders>
            <w:shd w:val="clear" w:color="auto" w:fill="auto"/>
            <w:noWrap/>
            <w:vAlign w:val="bottom"/>
            <w:hideMark/>
          </w:tcPr>
          <w:p w14:paraId="41BB886F"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12.332.076</w:t>
            </w:r>
          </w:p>
        </w:tc>
        <w:tc>
          <w:tcPr>
            <w:tcW w:w="1160" w:type="dxa"/>
            <w:tcBorders>
              <w:top w:val="nil"/>
              <w:left w:val="nil"/>
              <w:bottom w:val="single" w:sz="4" w:space="0" w:color="auto"/>
              <w:right w:val="single" w:sz="4" w:space="0" w:color="auto"/>
            </w:tcBorders>
            <w:shd w:val="clear" w:color="auto" w:fill="auto"/>
            <w:noWrap/>
            <w:vAlign w:val="bottom"/>
            <w:hideMark/>
          </w:tcPr>
          <w:p w14:paraId="526DF492"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123</w:t>
            </w:r>
          </w:p>
        </w:tc>
        <w:tc>
          <w:tcPr>
            <w:tcW w:w="1164" w:type="dxa"/>
            <w:tcBorders>
              <w:top w:val="nil"/>
              <w:left w:val="nil"/>
              <w:bottom w:val="single" w:sz="4" w:space="0" w:color="auto"/>
              <w:right w:val="single" w:sz="4" w:space="0" w:color="auto"/>
            </w:tcBorders>
            <w:shd w:val="clear" w:color="auto" w:fill="auto"/>
            <w:noWrap/>
            <w:vAlign w:val="bottom"/>
            <w:hideMark/>
          </w:tcPr>
          <w:p w14:paraId="5F4C749B"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10.371.741</w:t>
            </w:r>
          </w:p>
        </w:tc>
        <w:tc>
          <w:tcPr>
            <w:tcW w:w="962" w:type="dxa"/>
            <w:tcBorders>
              <w:top w:val="nil"/>
              <w:left w:val="nil"/>
              <w:bottom w:val="single" w:sz="4" w:space="0" w:color="auto"/>
              <w:right w:val="single" w:sz="4" w:space="0" w:color="auto"/>
            </w:tcBorders>
            <w:shd w:val="clear" w:color="auto" w:fill="auto"/>
            <w:noWrap/>
            <w:vAlign w:val="bottom"/>
            <w:hideMark/>
          </w:tcPr>
          <w:p w14:paraId="132249E9"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104%</w:t>
            </w:r>
          </w:p>
        </w:tc>
        <w:tc>
          <w:tcPr>
            <w:tcW w:w="2977" w:type="dxa"/>
            <w:tcBorders>
              <w:top w:val="nil"/>
              <w:left w:val="nil"/>
              <w:bottom w:val="single" w:sz="4" w:space="0" w:color="auto"/>
              <w:right w:val="single" w:sz="4" w:space="0" w:color="auto"/>
            </w:tcBorders>
            <w:shd w:val="clear" w:color="auto" w:fill="auto"/>
            <w:vAlign w:val="bottom"/>
            <w:hideMark/>
          </w:tcPr>
          <w:p w14:paraId="257A1CD4"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r>
      <w:tr w:rsidR="002A7E48" w:rsidRPr="002A7E48" w14:paraId="6585EE1A" w14:textId="77777777" w:rsidTr="0042240D">
        <w:trPr>
          <w:trHeight w:val="30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14:paraId="0EAE4467"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c>
          <w:tcPr>
            <w:tcW w:w="620" w:type="dxa"/>
            <w:tcBorders>
              <w:top w:val="nil"/>
              <w:left w:val="nil"/>
              <w:bottom w:val="single" w:sz="4" w:space="0" w:color="auto"/>
              <w:right w:val="single" w:sz="4" w:space="0" w:color="auto"/>
            </w:tcBorders>
            <w:shd w:val="clear" w:color="auto" w:fill="auto"/>
            <w:noWrap/>
            <w:vAlign w:val="bottom"/>
            <w:hideMark/>
          </w:tcPr>
          <w:p w14:paraId="4E82D22C"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ESRR</w:t>
            </w:r>
          </w:p>
        </w:tc>
        <w:tc>
          <w:tcPr>
            <w:tcW w:w="980" w:type="dxa"/>
            <w:tcBorders>
              <w:top w:val="nil"/>
              <w:left w:val="nil"/>
              <w:bottom w:val="single" w:sz="4" w:space="0" w:color="auto"/>
              <w:right w:val="single" w:sz="4" w:space="0" w:color="auto"/>
            </w:tcBorders>
            <w:shd w:val="clear" w:color="auto" w:fill="auto"/>
            <w:noWrap/>
            <w:vAlign w:val="bottom"/>
            <w:hideMark/>
          </w:tcPr>
          <w:p w14:paraId="0BC5C904"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Zahod</w:t>
            </w:r>
          </w:p>
        </w:tc>
        <w:tc>
          <w:tcPr>
            <w:tcW w:w="1164" w:type="dxa"/>
            <w:tcBorders>
              <w:top w:val="nil"/>
              <w:left w:val="nil"/>
              <w:bottom w:val="single" w:sz="4" w:space="0" w:color="auto"/>
              <w:right w:val="single" w:sz="4" w:space="0" w:color="auto"/>
            </w:tcBorders>
            <w:shd w:val="clear" w:color="auto" w:fill="auto"/>
            <w:noWrap/>
            <w:vAlign w:val="bottom"/>
            <w:hideMark/>
          </w:tcPr>
          <w:p w14:paraId="3DBD4890"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10.009.139</w:t>
            </w:r>
          </w:p>
        </w:tc>
        <w:tc>
          <w:tcPr>
            <w:tcW w:w="1164" w:type="dxa"/>
            <w:tcBorders>
              <w:top w:val="nil"/>
              <w:left w:val="nil"/>
              <w:bottom w:val="single" w:sz="4" w:space="0" w:color="auto"/>
              <w:right w:val="single" w:sz="4" w:space="0" w:color="auto"/>
            </w:tcBorders>
            <w:shd w:val="clear" w:color="auto" w:fill="auto"/>
            <w:noWrap/>
            <w:vAlign w:val="bottom"/>
            <w:hideMark/>
          </w:tcPr>
          <w:p w14:paraId="2195994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12.411.215</w:t>
            </w:r>
          </w:p>
        </w:tc>
        <w:tc>
          <w:tcPr>
            <w:tcW w:w="550" w:type="dxa"/>
            <w:tcBorders>
              <w:top w:val="nil"/>
              <w:left w:val="nil"/>
              <w:bottom w:val="single" w:sz="4" w:space="0" w:color="auto"/>
              <w:right w:val="single" w:sz="4" w:space="0" w:color="auto"/>
            </w:tcBorders>
            <w:shd w:val="clear" w:color="auto" w:fill="auto"/>
            <w:noWrap/>
            <w:vAlign w:val="bottom"/>
            <w:hideMark/>
          </w:tcPr>
          <w:p w14:paraId="0326E26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124%</w:t>
            </w:r>
          </w:p>
        </w:tc>
        <w:tc>
          <w:tcPr>
            <w:tcW w:w="1164" w:type="dxa"/>
            <w:tcBorders>
              <w:top w:val="nil"/>
              <w:left w:val="nil"/>
              <w:bottom w:val="single" w:sz="4" w:space="0" w:color="auto"/>
              <w:right w:val="single" w:sz="4" w:space="0" w:color="auto"/>
            </w:tcBorders>
            <w:shd w:val="clear" w:color="auto" w:fill="auto"/>
            <w:noWrap/>
            <w:vAlign w:val="bottom"/>
            <w:hideMark/>
          </w:tcPr>
          <w:p w14:paraId="05C89BE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10.602.194</w:t>
            </w:r>
          </w:p>
        </w:tc>
        <w:tc>
          <w:tcPr>
            <w:tcW w:w="550" w:type="dxa"/>
            <w:tcBorders>
              <w:top w:val="nil"/>
              <w:left w:val="nil"/>
              <w:bottom w:val="single" w:sz="4" w:space="0" w:color="auto"/>
              <w:right w:val="single" w:sz="4" w:space="0" w:color="auto"/>
            </w:tcBorders>
            <w:shd w:val="clear" w:color="auto" w:fill="auto"/>
            <w:noWrap/>
            <w:vAlign w:val="bottom"/>
            <w:hideMark/>
          </w:tcPr>
          <w:p w14:paraId="7C11CAE1"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106%</w:t>
            </w:r>
          </w:p>
        </w:tc>
        <w:tc>
          <w:tcPr>
            <w:tcW w:w="1164" w:type="dxa"/>
            <w:tcBorders>
              <w:top w:val="nil"/>
              <w:left w:val="nil"/>
              <w:bottom w:val="single" w:sz="4" w:space="0" w:color="auto"/>
              <w:right w:val="single" w:sz="4" w:space="0" w:color="auto"/>
            </w:tcBorders>
            <w:shd w:val="clear" w:color="auto" w:fill="auto"/>
            <w:noWrap/>
            <w:vAlign w:val="bottom"/>
            <w:hideMark/>
          </w:tcPr>
          <w:p w14:paraId="51A10207"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10.009.139</w:t>
            </w:r>
          </w:p>
        </w:tc>
        <w:tc>
          <w:tcPr>
            <w:tcW w:w="1164" w:type="dxa"/>
            <w:tcBorders>
              <w:top w:val="nil"/>
              <w:left w:val="nil"/>
              <w:bottom w:val="single" w:sz="4" w:space="0" w:color="auto"/>
              <w:right w:val="single" w:sz="4" w:space="0" w:color="auto"/>
            </w:tcBorders>
            <w:shd w:val="clear" w:color="auto" w:fill="auto"/>
            <w:noWrap/>
            <w:vAlign w:val="bottom"/>
            <w:hideMark/>
          </w:tcPr>
          <w:p w14:paraId="28D7B19E"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12.411.215</w:t>
            </w:r>
          </w:p>
        </w:tc>
        <w:tc>
          <w:tcPr>
            <w:tcW w:w="1160" w:type="dxa"/>
            <w:tcBorders>
              <w:top w:val="nil"/>
              <w:left w:val="nil"/>
              <w:bottom w:val="single" w:sz="4" w:space="0" w:color="auto"/>
              <w:right w:val="single" w:sz="4" w:space="0" w:color="auto"/>
            </w:tcBorders>
            <w:shd w:val="clear" w:color="auto" w:fill="auto"/>
            <w:noWrap/>
            <w:vAlign w:val="bottom"/>
            <w:hideMark/>
          </w:tcPr>
          <w:p w14:paraId="75C5C387"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124</w:t>
            </w:r>
          </w:p>
        </w:tc>
        <w:tc>
          <w:tcPr>
            <w:tcW w:w="1164" w:type="dxa"/>
            <w:tcBorders>
              <w:top w:val="nil"/>
              <w:left w:val="nil"/>
              <w:bottom w:val="single" w:sz="4" w:space="0" w:color="auto"/>
              <w:right w:val="single" w:sz="4" w:space="0" w:color="auto"/>
            </w:tcBorders>
            <w:shd w:val="clear" w:color="auto" w:fill="auto"/>
            <w:noWrap/>
            <w:vAlign w:val="bottom"/>
            <w:hideMark/>
          </w:tcPr>
          <w:p w14:paraId="3EEAF6AC"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10.602.194</w:t>
            </w:r>
          </w:p>
        </w:tc>
        <w:tc>
          <w:tcPr>
            <w:tcW w:w="962" w:type="dxa"/>
            <w:tcBorders>
              <w:top w:val="nil"/>
              <w:left w:val="nil"/>
              <w:bottom w:val="single" w:sz="4" w:space="0" w:color="auto"/>
              <w:right w:val="single" w:sz="4" w:space="0" w:color="auto"/>
            </w:tcBorders>
            <w:shd w:val="clear" w:color="auto" w:fill="auto"/>
            <w:noWrap/>
            <w:vAlign w:val="bottom"/>
            <w:hideMark/>
          </w:tcPr>
          <w:p w14:paraId="5705FC39"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106%</w:t>
            </w:r>
          </w:p>
        </w:tc>
        <w:tc>
          <w:tcPr>
            <w:tcW w:w="2977" w:type="dxa"/>
            <w:tcBorders>
              <w:top w:val="nil"/>
              <w:left w:val="nil"/>
              <w:bottom w:val="single" w:sz="4" w:space="0" w:color="auto"/>
              <w:right w:val="single" w:sz="4" w:space="0" w:color="auto"/>
            </w:tcBorders>
            <w:shd w:val="clear" w:color="auto" w:fill="auto"/>
            <w:vAlign w:val="bottom"/>
            <w:hideMark/>
          </w:tcPr>
          <w:p w14:paraId="1BAA0B73"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r>
      <w:tr w:rsidR="002A7E48" w:rsidRPr="002A7E48" w14:paraId="79AE6177" w14:textId="77777777" w:rsidTr="0042240D">
        <w:trPr>
          <w:trHeight w:val="30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14:paraId="5E0C458B"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11</w:t>
            </w:r>
          </w:p>
        </w:tc>
        <w:tc>
          <w:tcPr>
            <w:tcW w:w="620" w:type="dxa"/>
            <w:tcBorders>
              <w:top w:val="nil"/>
              <w:left w:val="nil"/>
              <w:bottom w:val="single" w:sz="4" w:space="0" w:color="auto"/>
              <w:right w:val="single" w:sz="4" w:space="0" w:color="auto"/>
            </w:tcBorders>
            <w:shd w:val="clear" w:color="auto" w:fill="auto"/>
            <w:noWrap/>
            <w:vAlign w:val="bottom"/>
            <w:hideMark/>
          </w:tcPr>
          <w:p w14:paraId="17D4C721"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ESS</w:t>
            </w:r>
          </w:p>
        </w:tc>
        <w:tc>
          <w:tcPr>
            <w:tcW w:w="980" w:type="dxa"/>
            <w:tcBorders>
              <w:top w:val="nil"/>
              <w:left w:val="nil"/>
              <w:bottom w:val="single" w:sz="4" w:space="0" w:color="auto"/>
              <w:right w:val="single" w:sz="4" w:space="0" w:color="auto"/>
            </w:tcBorders>
            <w:shd w:val="clear" w:color="auto" w:fill="auto"/>
            <w:noWrap/>
            <w:vAlign w:val="bottom"/>
            <w:hideMark/>
          </w:tcPr>
          <w:p w14:paraId="58E80A77"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Vzhod</w:t>
            </w:r>
          </w:p>
        </w:tc>
        <w:tc>
          <w:tcPr>
            <w:tcW w:w="1164" w:type="dxa"/>
            <w:tcBorders>
              <w:top w:val="nil"/>
              <w:left w:val="nil"/>
              <w:bottom w:val="single" w:sz="4" w:space="0" w:color="auto"/>
              <w:right w:val="single" w:sz="4" w:space="0" w:color="auto"/>
            </w:tcBorders>
            <w:shd w:val="clear" w:color="auto" w:fill="auto"/>
            <w:noWrap/>
            <w:vAlign w:val="bottom"/>
            <w:hideMark/>
          </w:tcPr>
          <w:p w14:paraId="58E64A0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25.505.282</w:t>
            </w:r>
          </w:p>
        </w:tc>
        <w:tc>
          <w:tcPr>
            <w:tcW w:w="1164" w:type="dxa"/>
            <w:tcBorders>
              <w:top w:val="nil"/>
              <w:left w:val="nil"/>
              <w:bottom w:val="single" w:sz="4" w:space="0" w:color="auto"/>
              <w:right w:val="single" w:sz="4" w:space="0" w:color="auto"/>
            </w:tcBorders>
            <w:shd w:val="clear" w:color="auto" w:fill="auto"/>
            <w:noWrap/>
            <w:vAlign w:val="bottom"/>
            <w:hideMark/>
          </w:tcPr>
          <w:p w14:paraId="15B2BD5F"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25.077.197</w:t>
            </w:r>
          </w:p>
        </w:tc>
        <w:tc>
          <w:tcPr>
            <w:tcW w:w="550" w:type="dxa"/>
            <w:tcBorders>
              <w:top w:val="nil"/>
              <w:left w:val="nil"/>
              <w:bottom w:val="single" w:sz="4" w:space="0" w:color="auto"/>
              <w:right w:val="single" w:sz="4" w:space="0" w:color="auto"/>
            </w:tcBorders>
            <w:shd w:val="clear" w:color="auto" w:fill="auto"/>
            <w:noWrap/>
            <w:vAlign w:val="bottom"/>
            <w:hideMark/>
          </w:tcPr>
          <w:p w14:paraId="05179C4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98%</w:t>
            </w:r>
          </w:p>
        </w:tc>
        <w:tc>
          <w:tcPr>
            <w:tcW w:w="1164" w:type="dxa"/>
            <w:tcBorders>
              <w:top w:val="nil"/>
              <w:left w:val="nil"/>
              <w:bottom w:val="single" w:sz="4" w:space="0" w:color="auto"/>
              <w:right w:val="single" w:sz="4" w:space="0" w:color="auto"/>
            </w:tcBorders>
            <w:shd w:val="clear" w:color="auto" w:fill="auto"/>
            <w:noWrap/>
            <w:vAlign w:val="bottom"/>
            <w:hideMark/>
          </w:tcPr>
          <w:p w14:paraId="75D36DE4"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20.606.860</w:t>
            </w:r>
          </w:p>
        </w:tc>
        <w:tc>
          <w:tcPr>
            <w:tcW w:w="550" w:type="dxa"/>
            <w:tcBorders>
              <w:top w:val="nil"/>
              <w:left w:val="nil"/>
              <w:bottom w:val="single" w:sz="4" w:space="0" w:color="auto"/>
              <w:right w:val="single" w:sz="4" w:space="0" w:color="auto"/>
            </w:tcBorders>
            <w:shd w:val="clear" w:color="auto" w:fill="auto"/>
            <w:noWrap/>
            <w:vAlign w:val="bottom"/>
            <w:hideMark/>
          </w:tcPr>
          <w:p w14:paraId="4B2BA7B5"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81%</w:t>
            </w:r>
          </w:p>
        </w:tc>
        <w:tc>
          <w:tcPr>
            <w:tcW w:w="1164" w:type="dxa"/>
            <w:tcBorders>
              <w:top w:val="nil"/>
              <w:left w:val="nil"/>
              <w:bottom w:val="single" w:sz="4" w:space="0" w:color="auto"/>
              <w:right w:val="single" w:sz="4" w:space="0" w:color="auto"/>
            </w:tcBorders>
            <w:shd w:val="clear" w:color="auto" w:fill="auto"/>
            <w:noWrap/>
            <w:vAlign w:val="bottom"/>
            <w:hideMark/>
          </w:tcPr>
          <w:p w14:paraId="64CDA989"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25.505.282</w:t>
            </w:r>
          </w:p>
        </w:tc>
        <w:tc>
          <w:tcPr>
            <w:tcW w:w="1164" w:type="dxa"/>
            <w:tcBorders>
              <w:top w:val="nil"/>
              <w:left w:val="nil"/>
              <w:bottom w:val="single" w:sz="4" w:space="0" w:color="auto"/>
              <w:right w:val="single" w:sz="4" w:space="0" w:color="auto"/>
            </w:tcBorders>
            <w:shd w:val="clear" w:color="auto" w:fill="auto"/>
            <w:noWrap/>
            <w:vAlign w:val="bottom"/>
            <w:hideMark/>
          </w:tcPr>
          <w:p w14:paraId="40EDE45B"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25.077.197</w:t>
            </w:r>
          </w:p>
        </w:tc>
        <w:tc>
          <w:tcPr>
            <w:tcW w:w="1160" w:type="dxa"/>
            <w:tcBorders>
              <w:top w:val="nil"/>
              <w:left w:val="nil"/>
              <w:bottom w:val="single" w:sz="4" w:space="0" w:color="auto"/>
              <w:right w:val="single" w:sz="4" w:space="0" w:color="auto"/>
            </w:tcBorders>
            <w:shd w:val="clear" w:color="auto" w:fill="auto"/>
            <w:noWrap/>
            <w:vAlign w:val="bottom"/>
            <w:hideMark/>
          </w:tcPr>
          <w:p w14:paraId="015E4D01"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98</w:t>
            </w:r>
          </w:p>
        </w:tc>
        <w:tc>
          <w:tcPr>
            <w:tcW w:w="1164" w:type="dxa"/>
            <w:tcBorders>
              <w:top w:val="nil"/>
              <w:left w:val="nil"/>
              <w:bottom w:val="single" w:sz="4" w:space="0" w:color="auto"/>
              <w:right w:val="single" w:sz="4" w:space="0" w:color="auto"/>
            </w:tcBorders>
            <w:shd w:val="clear" w:color="auto" w:fill="auto"/>
            <w:noWrap/>
            <w:vAlign w:val="bottom"/>
            <w:hideMark/>
          </w:tcPr>
          <w:p w14:paraId="19BCDFF4"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20.606.860</w:t>
            </w:r>
          </w:p>
        </w:tc>
        <w:tc>
          <w:tcPr>
            <w:tcW w:w="962" w:type="dxa"/>
            <w:tcBorders>
              <w:top w:val="nil"/>
              <w:left w:val="nil"/>
              <w:bottom w:val="single" w:sz="4" w:space="0" w:color="auto"/>
              <w:right w:val="single" w:sz="4" w:space="0" w:color="auto"/>
            </w:tcBorders>
            <w:shd w:val="clear" w:color="auto" w:fill="auto"/>
            <w:noWrap/>
            <w:vAlign w:val="bottom"/>
            <w:hideMark/>
          </w:tcPr>
          <w:p w14:paraId="7DE85D25"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81%</w:t>
            </w:r>
          </w:p>
        </w:tc>
        <w:tc>
          <w:tcPr>
            <w:tcW w:w="2977" w:type="dxa"/>
            <w:tcBorders>
              <w:top w:val="nil"/>
              <w:left w:val="nil"/>
              <w:bottom w:val="single" w:sz="4" w:space="0" w:color="auto"/>
              <w:right w:val="single" w:sz="4" w:space="0" w:color="auto"/>
            </w:tcBorders>
            <w:shd w:val="clear" w:color="auto" w:fill="auto"/>
            <w:vAlign w:val="bottom"/>
            <w:hideMark/>
          </w:tcPr>
          <w:p w14:paraId="564A410D"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r>
      <w:tr w:rsidR="002A7E48" w:rsidRPr="002A7E48" w14:paraId="01AEF832" w14:textId="77777777" w:rsidTr="0042240D">
        <w:trPr>
          <w:trHeight w:val="30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14:paraId="31DE18F4"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c>
          <w:tcPr>
            <w:tcW w:w="620" w:type="dxa"/>
            <w:tcBorders>
              <w:top w:val="nil"/>
              <w:left w:val="nil"/>
              <w:bottom w:val="single" w:sz="4" w:space="0" w:color="auto"/>
              <w:right w:val="single" w:sz="4" w:space="0" w:color="auto"/>
            </w:tcBorders>
            <w:shd w:val="clear" w:color="auto" w:fill="auto"/>
            <w:noWrap/>
            <w:vAlign w:val="bottom"/>
            <w:hideMark/>
          </w:tcPr>
          <w:p w14:paraId="307012E5"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ESS</w:t>
            </w:r>
          </w:p>
        </w:tc>
        <w:tc>
          <w:tcPr>
            <w:tcW w:w="980" w:type="dxa"/>
            <w:tcBorders>
              <w:top w:val="nil"/>
              <w:left w:val="nil"/>
              <w:bottom w:val="single" w:sz="4" w:space="0" w:color="auto"/>
              <w:right w:val="single" w:sz="4" w:space="0" w:color="auto"/>
            </w:tcBorders>
            <w:shd w:val="clear" w:color="auto" w:fill="auto"/>
            <w:noWrap/>
            <w:vAlign w:val="bottom"/>
            <w:hideMark/>
          </w:tcPr>
          <w:p w14:paraId="5691B541"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Zahod</w:t>
            </w:r>
          </w:p>
        </w:tc>
        <w:tc>
          <w:tcPr>
            <w:tcW w:w="1164" w:type="dxa"/>
            <w:tcBorders>
              <w:top w:val="nil"/>
              <w:left w:val="nil"/>
              <w:bottom w:val="single" w:sz="4" w:space="0" w:color="auto"/>
              <w:right w:val="single" w:sz="4" w:space="0" w:color="auto"/>
            </w:tcBorders>
            <w:shd w:val="clear" w:color="auto" w:fill="auto"/>
            <w:noWrap/>
            <w:vAlign w:val="bottom"/>
            <w:hideMark/>
          </w:tcPr>
          <w:p w14:paraId="2EE36531"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37.368.698</w:t>
            </w:r>
          </w:p>
        </w:tc>
        <w:tc>
          <w:tcPr>
            <w:tcW w:w="1164" w:type="dxa"/>
            <w:tcBorders>
              <w:top w:val="nil"/>
              <w:left w:val="nil"/>
              <w:bottom w:val="single" w:sz="4" w:space="0" w:color="auto"/>
              <w:right w:val="single" w:sz="4" w:space="0" w:color="auto"/>
            </w:tcBorders>
            <w:shd w:val="clear" w:color="auto" w:fill="auto"/>
            <w:noWrap/>
            <w:vAlign w:val="bottom"/>
            <w:hideMark/>
          </w:tcPr>
          <w:p w14:paraId="64ADD5D3"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36.928.016</w:t>
            </w:r>
          </w:p>
        </w:tc>
        <w:tc>
          <w:tcPr>
            <w:tcW w:w="550" w:type="dxa"/>
            <w:tcBorders>
              <w:top w:val="nil"/>
              <w:left w:val="nil"/>
              <w:bottom w:val="single" w:sz="4" w:space="0" w:color="auto"/>
              <w:right w:val="single" w:sz="4" w:space="0" w:color="auto"/>
            </w:tcBorders>
            <w:shd w:val="clear" w:color="auto" w:fill="auto"/>
            <w:noWrap/>
            <w:vAlign w:val="bottom"/>
            <w:hideMark/>
          </w:tcPr>
          <w:p w14:paraId="7BF0F55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99%</w:t>
            </w:r>
          </w:p>
        </w:tc>
        <w:tc>
          <w:tcPr>
            <w:tcW w:w="1164" w:type="dxa"/>
            <w:tcBorders>
              <w:top w:val="nil"/>
              <w:left w:val="nil"/>
              <w:bottom w:val="single" w:sz="4" w:space="0" w:color="auto"/>
              <w:right w:val="single" w:sz="4" w:space="0" w:color="auto"/>
            </w:tcBorders>
            <w:shd w:val="clear" w:color="auto" w:fill="auto"/>
            <w:noWrap/>
            <w:vAlign w:val="bottom"/>
            <w:hideMark/>
          </w:tcPr>
          <w:p w14:paraId="6601D85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29.019.730</w:t>
            </w:r>
          </w:p>
        </w:tc>
        <w:tc>
          <w:tcPr>
            <w:tcW w:w="550" w:type="dxa"/>
            <w:tcBorders>
              <w:top w:val="nil"/>
              <w:left w:val="nil"/>
              <w:bottom w:val="single" w:sz="4" w:space="0" w:color="auto"/>
              <w:right w:val="single" w:sz="4" w:space="0" w:color="auto"/>
            </w:tcBorders>
            <w:shd w:val="clear" w:color="auto" w:fill="auto"/>
            <w:noWrap/>
            <w:vAlign w:val="bottom"/>
            <w:hideMark/>
          </w:tcPr>
          <w:p w14:paraId="6FD53647"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78%</w:t>
            </w:r>
          </w:p>
        </w:tc>
        <w:tc>
          <w:tcPr>
            <w:tcW w:w="1164" w:type="dxa"/>
            <w:tcBorders>
              <w:top w:val="nil"/>
              <w:left w:val="nil"/>
              <w:bottom w:val="single" w:sz="4" w:space="0" w:color="auto"/>
              <w:right w:val="single" w:sz="4" w:space="0" w:color="auto"/>
            </w:tcBorders>
            <w:shd w:val="clear" w:color="auto" w:fill="auto"/>
            <w:noWrap/>
            <w:vAlign w:val="bottom"/>
            <w:hideMark/>
          </w:tcPr>
          <w:p w14:paraId="6190363B"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37.368.698</w:t>
            </w:r>
          </w:p>
        </w:tc>
        <w:tc>
          <w:tcPr>
            <w:tcW w:w="1164" w:type="dxa"/>
            <w:tcBorders>
              <w:top w:val="nil"/>
              <w:left w:val="nil"/>
              <w:bottom w:val="single" w:sz="4" w:space="0" w:color="auto"/>
              <w:right w:val="single" w:sz="4" w:space="0" w:color="auto"/>
            </w:tcBorders>
            <w:shd w:val="clear" w:color="auto" w:fill="auto"/>
            <w:noWrap/>
            <w:vAlign w:val="bottom"/>
            <w:hideMark/>
          </w:tcPr>
          <w:p w14:paraId="747D59C2"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36.928.016</w:t>
            </w:r>
          </w:p>
        </w:tc>
        <w:tc>
          <w:tcPr>
            <w:tcW w:w="1160" w:type="dxa"/>
            <w:tcBorders>
              <w:top w:val="nil"/>
              <w:left w:val="nil"/>
              <w:bottom w:val="single" w:sz="4" w:space="0" w:color="auto"/>
              <w:right w:val="single" w:sz="4" w:space="0" w:color="auto"/>
            </w:tcBorders>
            <w:shd w:val="clear" w:color="auto" w:fill="auto"/>
            <w:noWrap/>
            <w:vAlign w:val="bottom"/>
            <w:hideMark/>
          </w:tcPr>
          <w:p w14:paraId="07E97000"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99</w:t>
            </w:r>
          </w:p>
        </w:tc>
        <w:tc>
          <w:tcPr>
            <w:tcW w:w="1164" w:type="dxa"/>
            <w:tcBorders>
              <w:top w:val="nil"/>
              <w:left w:val="nil"/>
              <w:bottom w:val="single" w:sz="4" w:space="0" w:color="auto"/>
              <w:right w:val="single" w:sz="4" w:space="0" w:color="auto"/>
            </w:tcBorders>
            <w:shd w:val="clear" w:color="auto" w:fill="auto"/>
            <w:noWrap/>
            <w:vAlign w:val="bottom"/>
            <w:hideMark/>
          </w:tcPr>
          <w:p w14:paraId="217A61AE"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29.019.730</w:t>
            </w:r>
          </w:p>
        </w:tc>
        <w:tc>
          <w:tcPr>
            <w:tcW w:w="962" w:type="dxa"/>
            <w:tcBorders>
              <w:top w:val="nil"/>
              <w:left w:val="nil"/>
              <w:bottom w:val="single" w:sz="4" w:space="0" w:color="auto"/>
              <w:right w:val="single" w:sz="4" w:space="0" w:color="auto"/>
            </w:tcBorders>
            <w:shd w:val="clear" w:color="auto" w:fill="auto"/>
            <w:noWrap/>
            <w:vAlign w:val="bottom"/>
            <w:hideMark/>
          </w:tcPr>
          <w:p w14:paraId="6F02141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78%</w:t>
            </w:r>
          </w:p>
        </w:tc>
        <w:tc>
          <w:tcPr>
            <w:tcW w:w="2977" w:type="dxa"/>
            <w:tcBorders>
              <w:top w:val="nil"/>
              <w:left w:val="nil"/>
              <w:bottom w:val="single" w:sz="4" w:space="0" w:color="auto"/>
              <w:right w:val="single" w:sz="4" w:space="0" w:color="auto"/>
            </w:tcBorders>
            <w:shd w:val="clear" w:color="auto" w:fill="auto"/>
            <w:vAlign w:val="bottom"/>
            <w:hideMark/>
          </w:tcPr>
          <w:p w14:paraId="3DC9CC4A"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r>
      <w:tr w:rsidR="002A7E48" w:rsidRPr="002A7E48" w14:paraId="6A4C0DF0" w14:textId="77777777" w:rsidTr="0042240D">
        <w:trPr>
          <w:trHeight w:val="30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14:paraId="30744A51"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12</w:t>
            </w:r>
          </w:p>
        </w:tc>
        <w:tc>
          <w:tcPr>
            <w:tcW w:w="620" w:type="dxa"/>
            <w:tcBorders>
              <w:top w:val="nil"/>
              <w:left w:val="nil"/>
              <w:bottom w:val="single" w:sz="4" w:space="0" w:color="auto"/>
              <w:right w:val="single" w:sz="4" w:space="0" w:color="auto"/>
            </w:tcBorders>
            <w:shd w:val="clear" w:color="auto" w:fill="auto"/>
            <w:noWrap/>
            <w:vAlign w:val="bottom"/>
            <w:hideMark/>
          </w:tcPr>
          <w:p w14:paraId="7853C916"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KS</w:t>
            </w:r>
          </w:p>
        </w:tc>
        <w:tc>
          <w:tcPr>
            <w:tcW w:w="980" w:type="dxa"/>
            <w:tcBorders>
              <w:top w:val="nil"/>
              <w:left w:val="nil"/>
              <w:bottom w:val="single" w:sz="4" w:space="0" w:color="auto"/>
              <w:right w:val="single" w:sz="4" w:space="0" w:color="auto"/>
            </w:tcBorders>
            <w:shd w:val="clear" w:color="auto" w:fill="auto"/>
            <w:noWrap/>
            <w:vAlign w:val="bottom"/>
            <w:hideMark/>
          </w:tcPr>
          <w:p w14:paraId="415642A9"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Celotna SI</w:t>
            </w:r>
          </w:p>
        </w:tc>
        <w:tc>
          <w:tcPr>
            <w:tcW w:w="1164" w:type="dxa"/>
            <w:tcBorders>
              <w:top w:val="nil"/>
              <w:left w:val="nil"/>
              <w:bottom w:val="single" w:sz="4" w:space="0" w:color="auto"/>
              <w:right w:val="single" w:sz="4" w:space="0" w:color="auto"/>
            </w:tcBorders>
            <w:shd w:val="clear" w:color="auto" w:fill="auto"/>
            <w:noWrap/>
            <w:vAlign w:val="bottom"/>
            <w:hideMark/>
          </w:tcPr>
          <w:p w14:paraId="25481601"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89.537.036</w:t>
            </w:r>
          </w:p>
        </w:tc>
        <w:tc>
          <w:tcPr>
            <w:tcW w:w="1164" w:type="dxa"/>
            <w:tcBorders>
              <w:top w:val="nil"/>
              <w:left w:val="nil"/>
              <w:bottom w:val="single" w:sz="4" w:space="0" w:color="auto"/>
              <w:right w:val="single" w:sz="4" w:space="0" w:color="auto"/>
            </w:tcBorders>
            <w:shd w:val="clear" w:color="auto" w:fill="auto"/>
            <w:noWrap/>
            <w:vAlign w:val="bottom"/>
            <w:hideMark/>
          </w:tcPr>
          <w:p w14:paraId="5980D83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95.402.437</w:t>
            </w:r>
          </w:p>
        </w:tc>
        <w:tc>
          <w:tcPr>
            <w:tcW w:w="550" w:type="dxa"/>
            <w:tcBorders>
              <w:top w:val="nil"/>
              <w:left w:val="nil"/>
              <w:bottom w:val="single" w:sz="4" w:space="0" w:color="auto"/>
              <w:right w:val="single" w:sz="4" w:space="0" w:color="auto"/>
            </w:tcBorders>
            <w:shd w:val="clear" w:color="auto" w:fill="auto"/>
            <w:noWrap/>
            <w:vAlign w:val="bottom"/>
            <w:hideMark/>
          </w:tcPr>
          <w:p w14:paraId="3EF38422"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107%</w:t>
            </w:r>
          </w:p>
        </w:tc>
        <w:tc>
          <w:tcPr>
            <w:tcW w:w="1164" w:type="dxa"/>
            <w:tcBorders>
              <w:top w:val="nil"/>
              <w:left w:val="nil"/>
              <w:bottom w:val="single" w:sz="4" w:space="0" w:color="auto"/>
              <w:right w:val="single" w:sz="4" w:space="0" w:color="auto"/>
            </w:tcBorders>
            <w:shd w:val="clear" w:color="auto" w:fill="auto"/>
            <w:noWrap/>
            <w:vAlign w:val="bottom"/>
            <w:hideMark/>
          </w:tcPr>
          <w:p w14:paraId="1F20D123"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84.176.037</w:t>
            </w:r>
          </w:p>
        </w:tc>
        <w:tc>
          <w:tcPr>
            <w:tcW w:w="550" w:type="dxa"/>
            <w:tcBorders>
              <w:top w:val="nil"/>
              <w:left w:val="nil"/>
              <w:bottom w:val="single" w:sz="4" w:space="0" w:color="auto"/>
              <w:right w:val="single" w:sz="4" w:space="0" w:color="auto"/>
            </w:tcBorders>
            <w:shd w:val="clear" w:color="auto" w:fill="auto"/>
            <w:noWrap/>
            <w:vAlign w:val="bottom"/>
            <w:hideMark/>
          </w:tcPr>
          <w:p w14:paraId="4903FBD0"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94%</w:t>
            </w:r>
          </w:p>
        </w:tc>
        <w:tc>
          <w:tcPr>
            <w:tcW w:w="1164" w:type="dxa"/>
            <w:tcBorders>
              <w:top w:val="nil"/>
              <w:left w:val="nil"/>
              <w:bottom w:val="single" w:sz="4" w:space="0" w:color="auto"/>
              <w:right w:val="single" w:sz="4" w:space="0" w:color="auto"/>
            </w:tcBorders>
            <w:shd w:val="clear" w:color="auto" w:fill="auto"/>
            <w:noWrap/>
            <w:vAlign w:val="bottom"/>
            <w:hideMark/>
          </w:tcPr>
          <w:p w14:paraId="38E03B12"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89.537.036</w:t>
            </w:r>
          </w:p>
        </w:tc>
        <w:tc>
          <w:tcPr>
            <w:tcW w:w="1164" w:type="dxa"/>
            <w:tcBorders>
              <w:top w:val="nil"/>
              <w:left w:val="nil"/>
              <w:bottom w:val="single" w:sz="4" w:space="0" w:color="auto"/>
              <w:right w:val="single" w:sz="4" w:space="0" w:color="auto"/>
            </w:tcBorders>
            <w:shd w:val="clear" w:color="auto" w:fill="auto"/>
            <w:noWrap/>
            <w:vAlign w:val="bottom"/>
            <w:hideMark/>
          </w:tcPr>
          <w:p w14:paraId="0D46F995"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95.402.437</w:t>
            </w:r>
          </w:p>
        </w:tc>
        <w:tc>
          <w:tcPr>
            <w:tcW w:w="1160" w:type="dxa"/>
            <w:tcBorders>
              <w:top w:val="nil"/>
              <w:left w:val="nil"/>
              <w:bottom w:val="single" w:sz="4" w:space="0" w:color="auto"/>
              <w:right w:val="single" w:sz="4" w:space="0" w:color="auto"/>
            </w:tcBorders>
            <w:shd w:val="clear" w:color="auto" w:fill="auto"/>
            <w:noWrap/>
            <w:vAlign w:val="bottom"/>
            <w:hideMark/>
          </w:tcPr>
          <w:p w14:paraId="76E18D03"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107</w:t>
            </w:r>
          </w:p>
        </w:tc>
        <w:tc>
          <w:tcPr>
            <w:tcW w:w="1164" w:type="dxa"/>
            <w:tcBorders>
              <w:top w:val="nil"/>
              <w:left w:val="nil"/>
              <w:bottom w:val="single" w:sz="4" w:space="0" w:color="auto"/>
              <w:right w:val="single" w:sz="4" w:space="0" w:color="auto"/>
            </w:tcBorders>
            <w:shd w:val="clear" w:color="auto" w:fill="auto"/>
            <w:noWrap/>
            <w:vAlign w:val="bottom"/>
            <w:hideMark/>
          </w:tcPr>
          <w:p w14:paraId="45EB9BA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84.176.037</w:t>
            </w:r>
          </w:p>
        </w:tc>
        <w:tc>
          <w:tcPr>
            <w:tcW w:w="962" w:type="dxa"/>
            <w:tcBorders>
              <w:top w:val="nil"/>
              <w:left w:val="nil"/>
              <w:bottom w:val="single" w:sz="4" w:space="0" w:color="auto"/>
              <w:right w:val="single" w:sz="4" w:space="0" w:color="auto"/>
            </w:tcBorders>
            <w:shd w:val="clear" w:color="auto" w:fill="auto"/>
            <w:noWrap/>
            <w:vAlign w:val="bottom"/>
            <w:hideMark/>
          </w:tcPr>
          <w:p w14:paraId="7ABF67B3"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94%</w:t>
            </w:r>
          </w:p>
        </w:tc>
        <w:tc>
          <w:tcPr>
            <w:tcW w:w="2977" w:type="dxa"/>
            <w:tcBorders>
              <w:top w:val="nil"/>
              <w:left w:val="nil"/>
              <w:bottom w:val="single" w:sz="4" w:space="0" w:color="auto"/>
              <w:right w:val="single" w:sz="4" w:space="0" w:color="auto"/>
            </w:tcBorders>
            <w:shd w:val="clear" w:color="auto" w:fill="auto"/>
            <w:vAlign w:val="bottom"/>
            <w:hideMark/>
          </w:tcPr>
          <w:p w14:paraId="1BFA3EE8"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r>
      <w:tr w:rsidR="002A7E48" w:rsidRPr="002A7E48" w14:paraId="13A2764A" w14:textId="77777777" w:rsidTr="0042240D">
        <w:trPr>
          <w:trHeight w:val="30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14:paraId="02BFB13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13</w:t>
            </w:r>
          </w:p>
        </w:tc>
        <w:tc>
          <w:tcPr>
            <w:tcW w:w="620" w:type="dxa"/>
            <w:tcBorders>
              <w:top w:val="nil"/>
              <w:left w:val="nil"/>
              <w:bottom w:val="single" w:sz="4" w:space="0" w:color="auto"/>
              <w:right w:val="single" w:sz="4" w:space="0" w:color="auto"/>
            </w:tcBorders>
            <w:shd w:val="clear" w:color="auto" w:fill="auto"/>
            <w:noWrap/>
            <w:vAlign w:val="bottom"/>
            <w:hideMark/>
          </w:tcPr>
          <w:p w14:paraId="0EFE5C95"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ESRR</w:t>
            </w:r>
          </w:p>
        </w:tc>
        <w:tc>
          <w:tcPr>
            <w:tcW w:w="980" w:type="dxa"/>
            <w:tcBorders>
              <w:top w:val="nil"/>
              <w:left w:val="nil"/>
              <w:bottom w:val="single" w:sz="4" w:space="0" w:color="auto"/>
              <w:right w:val="single" w:sz="4" w:space="0" w:color="auto"/>
            </w:tcBorders>
            <w:shd w:val="clear" w:color="auto" w:fill="auto"/>
            <w:noWrap/>
            <w:vAlign w:val="bottom"/>
            <w:hideMark/>
          </w:tcPr>
          <w:p w14:paraId="4F326C30"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Vzhod</w:t>
            </w:r>
          </w:p>
        </w:tc>
        <w:tc>
          <w:tcPr>
            <w:tcW w:w="1164" w:type="dxa"/>
            <w:tcBorders>
              <w:top w:val="nil"/>
              <w:left w:val="nil"/>
              <w:bottom w:val="single" w:sz="4" w:space="0" w:color="auto"/>
              <w:right w:val="single" w:sz="4" w:space="0" w:color="auto"/>
            </w:tcBorders>
            <w:shd w:val="clear" w:color="auto" w:fill="auto"/>
            <w:noWrap/>
            <w:vAlign w:val="bottom"/>
            <w:hideMark/>
          </w:tcPr>
          <w:p w14:paraId="5C6D56C9"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14.112.244</w:t>
            </w:r>
          </w:p>
        </w:tc>
        <w:tc>
          <w:tcPr>
            <w:tcW w:w="1164" w:type="dxa"/>
            <w:tcBorders>
              <w:top w:val="nil"/>
              <w:left w:val="nil"/>
              <w:bottom w:val="single" w:sz="4" w:space="0" w:color="auto"/>
              <w:right w:val="single" w:sz="4" w:space="0" w:color="auto"/>
            </w:tcBorders>
            <w:shd w:val="clear" w:color="auto" w:fill="auto"/>
            <w:noWrap/>
            <w:vAlign w:val="bottom"/>
            <w:hideMark/>
          </w:tcPr>
          <w:p w14:paraId="69A745B1"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15.019.211</w:t>
            </w:r>
          </w:p>
        </w:tc>
        <w:tc>
          <w:tcPr>
            <w:tcW w:w="550" w:type="dxa"/>
            <w:tcBorders>
              <w:top w:val="nil"/>
              <w:left w:val="nil"/>
              <w:bottom w:val="single" w:sz="4" w:space="0" w:color="auto"/>
              <w:right w:val="single" w:sz="4" w:space="0" w:color="auto"/>
            </w:tcBorders>
            <w:shd w:val="clear" w:color="auto" w:fill="auto"/>
            <w:noWrap/>
            <w:vAlign w:val="bottom"/>
            <w:hideMark/>
          </w:tcPr>
          <w:p w14:paraId="51298DF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106%</w:t>
            </w:r>
          </w:p>
        </w:tc>
        <w:tc>
          <w:tcPr>
            <w:tcW w:w="1164" w:type="dxa"/>
            <w:tcBorders>
              <w:top w:val="nil"/>
              <w:left w:val="nil"/>
              <w:bottom w:val="single" w:sz="4" w:space="0" w:color="auto"/>
              <w:right w:val="single" w:sz="4" w:space="0" w:color="auto"/>
            </w:tcBorders>
            <w:shd w:val="clear" w:color="auto" w:fill="auto"/>
            <w:noWrap/>
            <w:vAlign w:val="bottom"/>
            <w:hideMark/>
          </w:tcPr>
          <w:p w14:paraId="4238F1F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12.977.754</w:t>
            </w:r>
          </w:p>
        </w:tc>
        <w:tc>
          <w:tcPr>
            <w:tcW w:w="550" w:type="dxa"/>
            <w:tcBorders>
              <w:top w:val="nil"/>
              <w:left w:val="nil"/>
              <w:bottom w:val="single" w:sz="4" w:space="0" w:color="auto"/>
              <w:right w:val="single" w:sz="4" w:space="0" w:color="auto"/>
            </w:tcBorders>
            <w:shd w:val="clear" w:color="auto" w:fill="auto"/>
            <w:noWrap/>
            <w:vAlign w:val="bottom"/>
            <w:hideMark/>
          </w:tcPr>
          <w:p w14:paraId="1DA7360C"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92%</w:t>
            </w:r>
          </w:p>
        </w:tc>
        <w:tc>
          <w:tcPr>
            <w:tcW w:w="1164" w:type="dxa"/>
            <w:tcBorders>
              <w:top w:val="nil"/>
              <w:left w:val="nil"/>
              <w:bottom w:val="single" w:sz="4" w:space="0" w:color="auto"/>
              <w:right w:val="single" w:sz="4" w:space="0" w:color="auto"/>
            </w:tcBorders>
            <w:shd w:val="clear" w:color="auto" w:fill="auto"/>
            <w:noWrap/>
            <w:vAlign w:val="bottom"/>
            <w:hideMark/>
          </w:tcPr>
          <w:p w14:paraId="32D12F5F"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14.112.244</w:t>
            </w:r>
          </w:p>
        </w:tc>
        <w:tc>
          <w:tcPr>
            <w:tcW w:w="1164" w:type="dxa"/>
            <w:tcBorders>
              <w:top w:val="nil"/>
              <w:left w:val="nil"/>
              <w:bottom w:val="single" w:sz="4" w:space="0" w:color="auto"/>
              <w:right w:val="single" w:sz="4" w:space="0" w:color="auto"/>
            </w:tcBorders>
            <w:shd w:val="clear" w:color="auto" w:fill="auto"/>
            <w:noWrap/>
            <w:vAlign w:val="bottom"/>
            <w:hideMark/>
          </w:tcPr>
          <w:p w14:paraId="1E130E27"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15.019.211</w:t>
            </w:r>
          </w:p>
        </w:tc>
        <w:tc>
          <w:tcPr>
            <w:tcW w:w="1160" w:type="dxa"/>
            <w:tcBorders>
              <w:top w:val="nil"/>
              <w:left w:val="nil"/>
              <w:bottom w:val="single" w:sz="4" w:space="0" w:color="auto"/>
              <w:right w:val="single" w:sz="4" w:space="0" w:color="auto"/>
            </w:tcBorders>
            <w:shd w:val="clear" w:color="auto" w:fill="auto"/>
            <w:noWrap/>
            <w:vAlign w:val="bottom"/>
            <w:hideMark/>
          </w:tcPr>
          <w:p w14:paraId="5C12C250"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106</w:t>
            </w:r>
          </w:p>
        </w:tc>
        <w:tc>
          <w:tcPr>
            <w:tcW w:w="1164" w:type="dxa"/>
            <w:tcBorders>
              <w:top w:val="nil"/>
              <w:left w:val="nil"/>
              <w:bottom w:val="single" w:sz="4" w:space="0" w:color="auto"/>
              <w:right w:val="single" w:sz="4" w:space="0" w:color="auto"/>
            </w:tcBorders>
            <w:shd w:val="clear" w:color="auto" w:fill="auto"/>
            <w:noWrap/>
            <w:vAlign w:val="bottom"/>
            <w:hideMark/>
          </w:tcPr>
          <w:p w14:paraId="56B5503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12.977.754</w:t>
            </w:r>
          </w:p>
        </w:tc>
        <w:tc>
          <w:tcPr>
            <w:tcW w:w="962" w:type="dxa"/>
            <w:tcBorders>
              <w:top w:val="nil"/>
              <w:left w:val="nil"/>
              <w:bottom w:val="single" w:sz="4" w:space="0" w:color="auto"/>
              <w:right w:val="single" w:sz="4" w:space="0" w:color="auto"/>
            </w:tcBorders>
            <w:shd w:val="clear" w:color="auto" w:fill="auto"/>
            <w:noWrap/>
            <w:vAlign w:val="bottom"/>
            <w:hideMark/>
          </w:tcPr>
          <w:p w14:paraId="04D3A0C2"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92%</w:t>
            </w:r>
          </w:p>
        </w:tc>
        <w:tc>
          <w:tcPr>
            <w:tcW w:w="2977" w:type="dxa"/>
            <w:tcBorders>
              <w:top w:val="nil"/>
              <w:left w:val="nil"/>
              <w:bottom w:val="single" w:sz="4" w:space="0" w:color="auto"/>
              <w:right w:val="single" w:sz="4" w:space="0" w:color="auto"/>
            </w:tcBorders>
            <w:shd w:val="clear" w:color="auto" w:fill="auto"/>
            <w:vAlign w:val="bottom"/>
            <w:hideMark/>
          </w:tcPr>
          <w:p w14:paraId="45CAE43B"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r>
      <w:tr w:rsidR="002A7E48" w:rsidRPr="002A7E48" w14:paraId="7DB2C65C" w14:textId="77777777" w:rsidTr="0042240D">
        <w:trPr>
          <w:trHeight w:val="30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14:paraId="5AA0B9F7"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c>
          <w:tcPr>
            <w:tcW w:w="620" w:type="dxa"/>
            <w:tcBorders>
              <w:top w:val="nil"/>
              <w:left w:val="nil"/>
              <w:bottom w:val="single" w:sz="4" w:space="0" w:color="auto"/>
              <w:right w:val="single" w:sz="4" w:space="0" w:color="auto"/>
            </w:tcBorders>
            <w:shd w:val="clear" w:color="auto" w:fill="auto"/>
            <w:noWrap/>
            <w:vAlign w:val="bottom"/>
            <w:hideMark/>
          </w:tcPr>
          <w:p w14:paraId="630B24B3"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ESRR</w:t>
            </w:r>
          </w:p>
        </w:tc>
        <w:tc>
          <w:tcPr>
            <w:tcW w:w="980" w:type="dxa"/>
            <w:tcBorders>
              <w:top w:val="nil"/>
              <w:left w:val="nil"/>
              <w:bottom w:val="single" w:sz="4" w:space="0" w:color="auto"/>
              <w:right w:val="single" w:sz="4" w:space="0" w:color="auto"/>
            </w:tcBorders>
            <w:shd w:val="clear" w:color="auto" w:fill="auto"/>
            <w:noWrap/>
            <w:vAlign w:val="bottom"/>
            <w:hideMark/>
          </w:tcPr>
          <w:p w14:paraId="3D8BDD6A"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Zahod</w:t>
            </w:r>
          </w:p>
        </w:tc>
        <w:tc>
          <w:tcPr>
            <w:tcW w:w="1164" w:type="dxa"/>
            <w:tcBorders>
              <w:top w:val="nil"/>
              <w:left w:val="nil"/>
              <w:bottom w:val="single" w:sz="4" w:space="0" w:color="auto"/>
              <w:right w:val="single" w:sz="4" w:space="0" w:color="auto"/>
            </w:tcBorders>
            <w:shd w:val="clear" w:color="auto" w:fill="auto"/>
            <w:noWrap/>
            <w:vAlign w:val="bottom"/>
            <w:hideMark/>
          </w:tcPr>
          <w:p w14:paraId="39BA050C"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3.050.266</w:t>
            </w:r>
          </w:p>
        </w:tc>
        <w:tc>
          <w:tcPr>
            <w:tcW w:w="1164" w:type="dxa"/>
            <w:tcBorders>
              <w:top w:val="nil"/>
              <w:left w:val="nil"/>
              <w:bottom w:val="single" w:sz="4" w:space="0" w:color="auto"/>
              <w:right w:val="single" w:sz="4" w:space="0" w:color="auto"/>
            </w:tcBorders>
            <w:shd w:val="clear" w:color="auto" w:fill="auto"/>
            <w:noWrap/>
            <w:vAlign w:val="bottom"/>
            <w:hideMark/>
          </w:tcPr>
          <w:p w14:paraId="3060798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3.245.669</w:t>
            </w:r>
          </w:p>
        </w:tc>
        <w:tc>
          <w:tcPr>
            <w:tcW w:w="550" w:type="dxa"/>
            <w:tcBorders>
              <w:top w:val="nil"/>
              <w:left w:val="nil"/>
              <w:bottom w:val="single" w:sz="4" w:space="0" w:color="auto"/>
              <w:right w:val="single" w:sz="4" w:space="0" w:color="auto"/>
            </w:tcBorders>
            <w:shd w:val="clear" w:color="auto" w:fill="auto"/>
            <w:noWrap/>
            <w:vAlign w:val="bottom"/>
            <w:hideMark/>
          </w:tcPr>
          <w:p w14:paraId="0022CD32"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106%</w:t>
            </w:r>
          </w:p>
        </w:tc>
        <w:tc>
          <w:tcPr>
            <w:tcW w:w="1164" w:type="dxa"/>
            <w:tcBorders>
              <w:top w:val="nil"/>
              <w:left w:val="nil"/>
              <w:bottom w:val="single" w:sz="4" w:space="0" w:color="auto"/>
              <w:right w:val="single" w:sz="4" w:space="0" w:color="auto"/>
            </w:tcBorders>
            <w:shd w:val="clear" w:color="auto" w:fill="auto"/>
            <w:noWrap/>
            <w:vAlign w:val="bottom"/>
            <w:hideMark/>
          </w:tcPr>
          <w:p w14:paraId="52269D87"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2.805.158</w:t>
            </w:r>
          </w:p>
        </w:tc>
        <w:tc>
          <w:tcPr>
            <w:tcW w:w="550" w:type="dxa"/>
            <w:tcBorders>
              <w:top w:val="nil"/>
              <w:left w:val="nil"/>
              <w:bottom w:val="single" w:sz="4" w:space="0" w:color="auto"/>
              <w:right w:val="single" w:sz="4" w:space="0" w:color="auto"/>
            </w:tcBorders>
            <w:shd w:val="clear" w:color="auto" w:fill="auto"/>
            <w:noWrap/>
            <w:vAlign w:val="bottom"/>
            <w:hideMark/>
          </w:tcPr>
          <w:p w14:paraId="2E761DE3"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92%</w:t>
            </w:r>
          </w:p>
        </w:tc>
        <w:tc>
          <w:tcPr>
            <w:tcW w:w="1164" w:type="dxa"/>
            <w:tcBorders>
              <w:top w:val="nil"/>
              <w:left w:val="nil"/>
              <w:bottom w:val="single" w:sz="4" w:space="0" w:color="auto"/>
              <w:right w:val="single" w:sz="4" w:space="0" w:color="auto"/>
            </w:tcBorders>
            <w:shd w:val="clear" w:color="auto" w:fill="auto"/>
            <w:noWrap/>
            <w:vAlign w:val="bottom"/>
            <w:hideMark/>
          </w:tcPr>
          <w:p w14:paraId="0465472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3.050.266</w:t>
            </w:r>
          </w:p>
        </w:tc>
        <w:tc>
          <w:tcPr>
            <w:tcW w:w="1164" w:type="dxa"/>
            <w:tcBorders>
              <w:top w:val="nil"/>
              <w:left w:val="nil"/>
              <w:bottom w:val="single" w:sz="4" w:space="0" w:color="auto"/>
              <w:right w:val="single" w:sz="4" w:space="0" w:color="auto"/>
            </w:tcBorders>
            <w:shd w:val="clear" w:color="auto" w:fill="auto"/>
            <w:noWrap/>
            <w:vAlign w:val="bottom"/>
            <w:hideMark/>
          </w:tcPr>
          <w:p w14:paraId="3C67C47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3.245.669</w:t>
            </w:r>
          </w:p>
        </w:tc>
        <w:tc>
          <w:tcPr>
            <w:tcW w:w="1160" w:type="dxa"/>
            <w:tcBorders>
              <w:top w:val="nil"/>
              <w:left w:val="nil"/>
              <w:bottom w:val="single" w:sz="4" w:space="0" w:color="auto"/>
              <w:right w:val="single" w:sz="4" w:space="0" w:color="auto"/>
            </w:tcBorders>
            <w:shd w:val="clear" w:color="auto" w:fill="auto"/>
            <w:noWrap/>
            <w:vAlign w:val="bottom"/>
            <w:hideMark/>
          </w:tcPr>
          <w:p w14:paraId="73E9CC05"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106</w:t>
            </w:r>
          </w:p>
        </w:tc>
        <w:tc>
          <w:tcPr>
            <w:tcW w:w="1164" w:type="dxa"/>
            <w:tcBorders>
              <w:top w:val="nil"/>
              <w:left w:val="nil"/>
              <w:bottom w:val="single" w:sz="4" w:space="0" w:color="auto"/>
              <w:right w:val="single" w:sz="4" w:space="0" w:color="auto"/>
            </w:tcBorders>
            <w:shd w:val="clear" w:color="auto" w:fill="auto"/>
            <w:noWrap/>
            <w:vAlign w:val="bottom"/>
            <w:hideMark/>
          </w:tcPr>
          <w:p w14:paraId="6B44C922"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2.805.158</w:t>
            </w:r>
          </w:p>
        </w:tc>
        <w:tc>
          <w:tcPr>
            <w:tcW w:w="962" w:type="dxa"/>
            <w:tcBorders>
              <w:top w:val="nil"/>
              <w:left w:val="nil"/>
              <w:bottom w:val="single" w:sz="4" w:space="0" w:color="auto"/>
              <w:right w:val="single" w:sz="4" w:space="0" w:color="auto"/>
            </w:tcBorders>
            <w:shd w:val="clear" w:color="auto" w:fill="auto"/>
            <w:noWrap/>
            <w:vAlign w:val="bottom"/>
            <w:hideMark/>
          </w:tcPr>
          <w:p w14:paraId="48E51E27"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92%</w:t>
            </w:r>
          </w:p>
        </w:tc>
        <w:tc>
          <w:tcPr>
            <w:tcW w:w="2977" w:type="dxa"/>
            <w:tcBorders>
              <w:top w:val="nil"/>
              <w:left w:val="nil"/>
              <w:bottom w:val="single" w:sz="4" w:space="0" w:color="auto"/>
              <w:right w:val="single" w:sz="4" w:space="0" w:color="auto"/>
            </w:tcBorders>
            <w:shd w:val="clear" w:color="auto" w:fill="auto"/>
            <w:vAlign w:val="bottom"/>
            <w:hideMark/>
          </w:tcPr>
          <w:p w14:paraId="18C2A14D"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r>
      <w:tr w:rsidR="002A7E48" w:rsidRPr="002A7E48" w14:paraId="28E05239" w14:textId="77777777" w:rsidTr="0042240D">
        <w:trPr>
          <w:trHeight w:val="30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14:paraId="4E70AAE3"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14</w:t>
            </w:r>
          </w:p>
        </w:tc>
        <w:tc>
          <w:tcPr>
            <w:tcW w:w="620" w:type="dxa"/>
            <w:tcBorders>
              <w:top w:val="nil"/>
              <w:left w:val="nil"/>
              <w:bottom w:val="single" w:sz="4" w:space="0" w:color="auto"/>
              <w:right w:val="single" w:sz="4" w:space="0" w:color="auto"/>
            </w:tcBorders>
            <w:shd w:val="clear" w:color="auto" w:fill="auto"/>
            <w:noWrap/>
            <w:vAlign w:val="bottom"/>
            <w:hideMark/>
          </w:tcPr>
          <w:p w14:paraId="53589CDB"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ESS</w:t>
            </w:r>
          </w:p>
        </w:tc>
        <w:tc>
          <w:tcPr>
            <w:tcW w:w="980" w:type="dxa"/>
            <w:tcBorders>
              <w:top w:val="nil"/>
              <w:left w:val="nil"/>
              <w:bottom w:val="single" w:sz="4" w:space="0" w:color="auto"/>
              <w:right w:val="single" w:sz="4" w:space="0" w:color="auto"/>
            </w:tcBorders>
            <w:shd w:val="clear" w:color="auto" w:fill="auto"/>
            <w:noWrap/>
            <w:vAlign w:val="bottom"/>
            <w:hideMark/>
          </w:tcPr>
          <w:p w14:paraId="098667F6"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Vzhod</w:t>
            </w:r>
          </w:p>
        </w:tc>
        <w:tc>
          <w:tcPr>
            <w:tcW w:w="1164" w:type="dxa"/>
            <w:tcBorders>
              <w:top w:val="nil"/>
              <w:left w:val="nil"/>
              <w:bottom w:val="single" w:sz="4" w:space="0" w:color="auto"/>
              <w:right w:val="single" w:sz="4" w:space="0" w:color="auto"/>
            </w:tcBorders>
            <w:shd w:val="clear" w:color="auto" w:fill="auto"/>
            <w:noWrap/>
            <w:vAlign w:val="bottom"/>
            <w:hideMark/>
          </w:tcPr>
          <w:p w14:paraId="044EF92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9.072.157</w:t>
            </w:r>
          </w:p>
        </w:tc>
        <w:tc>
          <w:tcPr>
            <w:tcW w:w="1164" w:type="dxa"/>
            <w:tcBorders>
              <w:top w:val="nil"/>
              <w:left w:val="nil"/>
              <w:bottom w:val="single" w:sz="4" w:space="0" w:color="auto"/>
              <w:right w:val="single" w:sz="4" w:space="0" w:color="auto"/>
            </w:tcBorders>
            <w:shd w:val="clear" w:color="auto" w:fill="auto"/>
            <w:noWrap/>
            <w:vAlign w:val="bottom"/>
            <w:hideMark/>
          </w:tcPr>
          <w:p w14:paraId="64B8E3CB"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9.579.249</w:t>
            </w:r>
          </w:p>
        </w:tc>
        <w:tc>
          <w:tcPr>
            <w:tcW w:w="550" w:type="dxa"/>
            <w:tcBorders>
              <w:top w:val="nil"/>
              <w:left w:val="nil"/>
              <w:bottom w:val="single" w:sz="4" w:space="0" w:color="auto"/>
              <w:right w:val="single" w:sz="4" w:space="0" w:color="auto"/>
            </w:tcBorders>
            <w:shd w:val="clear" w:color="auto" w:fill="auto"/>
            <w:noWrap/>
            <w:vAlign w:val="bottom"/>
            <w:hideMark/>
          </w:tcPr>
          <w:p w14:paraId="2407DD6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106%</w:t>
            </w:r>
          </w:p>
        </w:tc>
        <w:tc>
          <w:tcPr>
            <w:tcW w:w="1164" w:type="dxa"/>
            <w:tcBorders>
              <w:top w:val="nil"/>
              <w:left w:val="nil"/>
              <w:bottom w:val="single" w:sz="4" w:space="0" w:color="auto"/>
              <w:right w:val="single" w:sz="4" w:space="0" w:color="auto"/>
            </w:tcBorders>
            <w:shd w:val="clear" w:color="auto" w:fill="auto"/>
            <w:noWrap/>
            <w:vAlign w:val="bottom"/>
            <w:hideMark/>
          </w:tcPr>
          <w:p w14:paraId="5CC59F85"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8.390.401</w:t>
            </w:r>
          </w:p>
        </w:tc>
        <w:tc>
          <w:tcPr>
            <w:tcW w:w="550" w:type="dxa"/>
            <w:tcBorders>
              <w:top w:val="nil"/>
              <w:left w:val="nil"/>
              <w:bottom w:val="single" w:sz="4" w:space="0" w:color="auto"/>
              <w:right w:val="single" w:sz="4" w:space="0" w:color="auto"/>
            </w:tcBorders>
            <w:shd w:val="clear" w:color="auto" w:fill="auto"/>
            <w:noWrap/>
            <w:vAlign w:val="bottom"/>
            <w:hideMark/>
          </w:tcPr>
          <w:p w14:paraId="248588C2"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92%</w:t>
            </w:r>
          </w:p>
        </w:tc>
        <w:tc>
          <w:tcPr>
            <w:tcW w:w="1164" w:type="dxa"/>
            <w:tcBorders>
              <w:top w:val="nil"/>
              <w:left w:val="nil"/>
              <w:bottom w:val="single" w:sz="4" w:space="0" w:color="auto"/>
              <w:right w:val="single" w:sz="4" w:space="0" w:color="auto"/>
            </w:tcBorders>
            <w:shd w:val="clear" w:color="auto" w:fill="auto"/>
            <w:noWrap/>
            <w:vAlign w:val="bottom"/>
            <w:hideMark/>
          </w:tcPr>
          <w:p w14:paraId="31DC5358"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9.072.157</w:t>
            </w:r>
          </w:p>
        </w:tc>
        <w:tc>
          <w:tcPr>
            <w:tcW w:w="1164" w:type="dxa"/>
            <w:tcBorders>
              <w:top w:val="nil"/>
              <w:left w:val="nil"/>
              <w:bottom w:val="single" w:sz="4" w:space="0" w:color="auto"/>
              <w:right w:val="single" w:sz="4" w:space="0" w:color="auto"/>
            </w:tcBorders>
            <w:shd w:val="clear" w:color="auto" w:fill="auto"/>
            <w:noWrap/>
            <w:vAlign w:val="bottom"/>
            <w:hideMark/>
          </w:tcPr>
          <w:p w14:paraId="6C761AC7"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9.579.249</w:t>
            </w:r>
          </w:p>
        </w:tc>
        <w:tc>
          <w:tcPr>
            <w:tcW w:w="1160" w:type="dxa"/>
            <w:tcBorders>
              <w:top w:val="nil"/>
              <w:left w:val="nil"/>
              <w:bottom w:val="single" w:sz="4" w:space="0" w:color="auto"/>
              <w:right w:val="single" w:sz="4" w:space="0" w:color="auto"/>
            </w:tcBorders>
            <w:shd w:val="clear" w:color="auto" w:fill="auto"/>
            <w:noWrap/>
            <w:vAlign w:val="bottom"/>
            <w:hideMark/>
          </w:tcPr>
          <w:p w14:paraId="09EE2CE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106</w:t>
            </w:r>
          </w:p>
        </w:tc>
        <w:tc>
          <w:tcPr>
            <w:tcW w:w="1164" w:type="dxa"/>
            <w:tcBorders>
              <w:top w:val="nil"/>
              <w:left w:val="nil"/>
              <w:bottom w:val="single" w:sz="4" w:space="0" w:color="auto"/>
              <w:right w:val="single" w:sz="4" w:space="0" w:color="auto"/>
            </w:tcBorders>
            <w:shd w:val="clear" w:color="auto" w:fill="auto"/>
            <w:noWrap/>
            <w:vAlign w:val="bottom"/>
            <w:hideMark/>
          </w:tcPr>
          <w:p w14:paraId="113D168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8.390.401</w:t>
            </w:r>
          </w:p>
        </w:tc>
        <w:tc>
          <w:tcPr>
            <w:tcW w:w="962" w:type="dxa"/>
            <w:tcBorders>
              <w:top w:val="nil"/>
              <w:left w:val="nil"/>
              <w:bottom w:val="single" w:sz="4" w:space="0" w:color="auto"/>
              <w:right w:val="single" w:sz="4" w:space="0" w:color="auto"/>
            </w:tcBorders>
            <w:shd w:val="clear" w:color="auto" w:fill="auto"/>
            <w:noWrap/>
            <w:vAlign w:val="bottom"/>
            <w:hideMark/>
          </w:tcPr>
          <w:p w14:paraId="6F96CC07"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92%</w:t>
            </w:r>
          </w:p>
        </w:tc>
        <w:tc>
          <w:tcPr>
            <w:tcW w:w="2977" w:type="dxa"/>
            <w:tcBorders>
              <w:top w:val="nil"/>
              <w:left w:val="nil"/>
              <w:bottom w:val="single" w:sz="4" w:space="0" w:color="auto"/>
              <w:right w:val="single" w:sz="4" w:space="0" w:color="auto"/>
            </w:tcBorders>
            <w:shd w:val="clear" w:color="auto" w:fill="auto"/>
            <w:vAlign w:val="bottom"/>
            <w:hideMark/>
          </w:tcPr>
          <w:p w14:paraId="071E1A37"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r>
      <w:tr w:rsidR="002A7E48" w:rsidRPr="002A7E48" w14:paraId="47AFDC01" w14:textId="77777777" w:rsidTr="0042240D">
        <w:trPr>
          <w:trHeight w:val="30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14:paraId="40BF2EEC"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c>
          <w:tcPr>
            <w:tcW w:w="620" w:type="dxa"/>
            <w:tcBorders>
              <w:top w:val="nil"/>
              <w:left w:val="nil"/>
              <w:bottom w:val="single" w:sz="4" w:space="0" w:color="auto"/>
              <w:right w:val="single" w:sz="4" w:space="0" w:color="auto"/>
            </w:tcBorders>
            <w:shd w:val="clear" w:color="auto" w:fill="auto"/>
            <w:noWrap/>
            <w:vAlign w:val="bottom"/>
            <w:hideMark/>
          </w:tcPr>
          <w:p w14:paraId="0177E1E4"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ESS</w:t>
            </w:r>
          </w:p>
        </w:tc>
        <w:tc>
          <w:tcPr>
            <w:tcW w:w="980" w:type="dxa"/>
            <w:tcBorders>
              <w:top w:val="nil"/>
              <w:left w:val="nil"/>
              <w:bottom w:val="single" w:sz="4" w:space="0" w:color="auto"/>
              <w:right w:val="single" w:sz="4" w:space="0" w:color="auto"/>
            </w:tcBorders>
            <w:shd w:val="clear" w:color="auto" w:fill="auto"/>
            <w:noWrap/>
            <w:vAlign w:val="bottom"/>
            <w:hideMark/>
          </w:tcPr>
          <w:p w14:paraId="6F21863F"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Zahod</w:t>
            </w:r>
          </w:p>
        </w:tc>
        <w:tc>
          <w:tcPr>
            <w:tcW w:w="1164" w:type="dxa"/>
            <w:tcBorders>
              <w:top w:val="nil"/>
              <w:left w:val="nil"/>
              <w:bottom w:val="single" w:sz="4" w:space="0" w:color="auto"/>
              <w:right w:val="single" w:sz="4" w:space="0" w:color="auto"/>
            </w:tcBorders>
            <w:shd w:val="clear" w:color="auto" w:fill="auto"/>
            <w:noWrap/>
            <w:vAlign w:val="bottom"/>
            <w:hideMark/>
          </w:tcPr>
          <w:p w14:paraId="74281559"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3.795.887</w:t>
            </w:r>
          </w:p>
        </w:tc>
        <w:tc>
          <w:tcPr>
            <w:tcW w:w="1164" w:type="dxa"/>
            <w:tcBorders>
              <w:top w:val="nil"/>
              <w:left w:val="nil"/>
              <w:bottom w:val="single" w:sz="4" w:space="0" w:color="auto"/>
              <w:right w:val="single" w:sz="4" w:space="0" w:color="auto"/>
            </w:tcBorders>
            <w:shd w:val="clear" w:color="auto" w:fill="auto"/>
            <w:noWrap/>
            <w:vAlign w:val="bottom"/>
            <w:hideMark/>
          </w:tcPr>
          <w:p w14:paraId="40C7E374"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4.008.338</w:t>
            </w:r>
          </w:p>
        </w:tc>
        <w:tc>
          <w:tcPr>
            <w:tcW w:w="550" w:type="dxa"/>
            <w:tcBorders>
              <w:top w:val="nil"/>
              <w:left w:val="nil"/>
              <w:bottom w:val="single" w:sz="4" w:space="0" w:color="auto"/>
              <w:right w:val="single" w:sz="4" w:space="0" w:color="auto"/>
            </w:tcBorders>
            <w:shd w:val="clear" w:color="auto" w:fill="auto"/>
            <w:noWrap/>
            <w:vAlign w:val="bottom"/>
            <w:hideMark/>
          </w:tcPr>
          <w:p w14:paraId="4F6DB72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106%</w:t>
            </w:r>
          </w:p>
        </w:tc>
        <w:tc>
          <w:tcPr>
            <w:tcW w:w="1164" w:type="dxa"/>
            <w:tcBorders>
              <w:top w:val="nil"/>
              <w:left w:val="nil"/>
              <w:bottom w:val="single" w:sz="4" w:space="0" w:color="auto"/>
              <w:right w:val="single" w:sz="4" w:space="0" w:color="auto"/>
            </w:tcBorders>
            <w:shd w:val="clear" w:color="auto" w:fill="auto"/>
            <w:noWrap/>
            <w:vAlign w:val="bottom"/>
            <w:hideMark/>
          </w:tcPr>
          <w:p w14:paraId="3F19119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3.506.499</w:t>
            </w:r>
          </w:p>
        </w:tc>
        <w:tc>
          <w:tcPr>
            <w:tcW w:w="550" w:type="dxa"/>
            <w:tcBorders>
              <w:top w:val="nil"/>
              <w:left w:val="nil"/>
              <w:bottom w:val="single" w:sz="4" w:space="0" w:color="auto"/>
              <w:right w:val="single" w:sz="4" w:space="0" w:color="auto"/>
            </w:tcBorders>
            <w:shd w:val="clear" w:color="auto" w:fill="auto"/>
            <w:noWrap/>
            <w:vAlign w:val="bottom"/>
            <w:hideMark/>
          </w:tcPr>
          <w:p w14:paraId="3FC58CD3"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92%</w:t>
            </w:r>
          </w:p>
        </w:tc>
        <w:tc>
          <w:tcPr>
            <w:tcW w:w="1164" w:type="dxa"/>
            <w:tcBorders>
              <w:top w:val="nil"/>
              <w:left w:val="nil"/>
              <w:bottom w:val="single" w:sz="4" w:space="0" w:color="auto"/>
              <w:right w:val="single" w:sz="4" w:space="0" w:color="auto"/>
            </w:tcBorders>
            <w:shd w:val="clear" w:color="auto" w:fill="auto"/>
            <w:noWrap/>
            <w:vAlign w:val="bottom"/>
            <w:hideMark/>
          </w:tcPr>
          <w:p w14:paraId="18B85DDC"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3.795.887</w:t>
            </w:r>
          </w:p>
        </w:tc>
        <w:tc>
          <w:tcPr>
            <w:tcW w:w="1164" w:type="dxa"/>
            <w:tcBorders>
              <w:top w:val="nil"/>
              <w:left w:val="nil"/>
              <w:bottom w:val="single" w:sz="4" w:space="0" w:color="auto"/>
              <w:right w:val="single" w:sz="4" w:space="0" w:color="auto"/>
            </w:tcBorders>
            <w:shd w:val="clear" w:color="auto" w:fill="auto"/>
            <w:noWrap/>
            <w:vAlign w:val="bottom"/>
            <w:hideMark/>
          </w:tcPr>
          <w:p w14:paraId="73F58747"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4.008.338</w:t>
            </w:r>
          </w:p>
        </w:tc>
        <w:tc>
          <w:tcPr>
            <w:tcW w:w="1160" w:type="dxa"/>
            <w:tcBorders>
              <w:top w:val="nil"/>
              <w:left w:val="nil"/>
              <w:bottom w:val="single" w:sz="4" w:space="0" w:color="auto"/>
              <w:right w:val="single" w:sz="4" w:space="0" w:color="auto"/>
            </w:tcBorders>
            <w:shd w:val="clear" w:color="auto" w:fill="auto"/>
            <w:noWrap/>
            <w:vAlign w:val="bottom"/>
            <w:hideMark/>
          </w:tcPr>
          <w:p w14:paraId="2D539E23"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106</w:t>
            </w:r>
          </w:p>
        </w:tc>
        <w:tc>
          <w:tcPr>
            <w:tcW w:w="1164" w:type="dxa"/>
            <w:tcBorders>
              <w:top w:val="nil"/>
              <w:left w:val="nil"/>
              <w:bottom w:val="single" w:sz="4" w:space="0" w:color="auto"/>
              <w:right w:val="single" w:sz="4" w:space="0" w:color="auto"/>
            </w:tcBorders>
            <w:shd w:val="clear" w:color="auto" w:fill="auto"/>
            <w:noWrap/>
            <w:vAlign w:val="bottom"/>
            <w:hideMark/>
          </w:tcPr>
          <w:p w14:paraId="7BE67B8E"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3.506.499</w:t>
            </w:r>
          </w:p>
        </w:tc>
        <w:tc>
          <w:tcPr>
            <w:tcW w:w="962" w:type="dxa"/>
            <w:tcBorders>
              <w:top w:val="nil"/>
              <w:left w:val="nil"/>
              <w:bottom w:val="single" w:sz="4" w:space="0" w:color="auto"/>
              <w:right w:val="single" w:sz="4" w:space="0" w:color="auto"/>
            </w:tcBorders>
            <w:shd w:val="clear" w:color="auto" w:fill="auto"/>
            <w:noWrap/>
            <w:vAlign w:val="bottom"/>
            <w:hideMark/>
          </w:tcPr>
          <w:p w14:paraId="541EE46E"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92%</w:t>
            </w:r>
          </w:p>
        </w:tc>
        <w:tc>
          <w:tcPr>
            <w:tcW w:w="2977" w:type="dxa"/>
            <w:tcBorders>
              <w:top w:val="nil"/>
              <w:left w:val="nil"/>
              <w:bottom w:val="single" w:sz="4" w:space="0" w:color="auto"/>
              <w:right w:val="single" w:sz="4" w:space="0" w:color="auto"/>
            </w:tcBorders>
            <w:shd w:val="clear" w:color="auto" w:fill="auto"/>
            <w:vAlign w:val="bottom"/>
            <w:hideMark/>
          </w:tcPr>
          <w:p w14:paraId="402E34E4"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r>
      <w:tr w:rsidR="002A7E48" w:rsidRPr="002A7E48" w14:paraId="65E81B3A" w14:textId="77777777" w:rsidTr="0042240D">
        <w:trPr>
          <w:trHeight w:val="7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14:paraId="4097EFA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15</w:t>
            </w:r>
          </w:p>
        </w:tc>
        <w:tc>
          <w:tcPr>
            <w:tcW w:w="620" w:type="dxa"/>
            <w:tcBorders>
              <w:top w:val="nil"/>
              <w:left w:val="nil"/>
              <w:bottom w:val="single" w:sz="4" w:space="0" w:color="auto"/>
              <w:right w:val="single" w:sz="4" w:space="0" w:color="auto"/>
            </w:tcBorders>
            <w:shd w:val="clear" w:color="auto" w:fill="auto"/>
            <w:noWrap/>
            <w:vAlign w:val="bottom"/>
            <w:hideMark/>
          </w:tcPr>
          <w:p w14:paraId="1FD1929E"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ESRR</w:t>
            </w:r>
          </w:p>
        </w:tc>
        <w:tc>
          <w:tcPr>
            <w:tcW w:w="980" w:type="dxa"/>
            <w:tcBorders>
              <w:top w:val="nil"/>
              <w:left w:val="nil"/>
              <w:bottom w:val="single" w:sz="4" w:space="0" w:color="auto"/>
              <w:right w:val="single" w:sz="4" w:space="0" w:color="auto"/>
            </w:tcBorders>
            <w:shd w:val="clear" w:color="auto" w:fill="auto"/>
            <w:noWrap/>
            <w:vAlign w:val="bottom"/>
            <w:hideMark/>
          </w:tcPr>
          <w:p w14:paraId="45F26CAC"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Celotna SI</w:t>
            </w:r>
          </w:p>
        </w:tc>
        <w:tc>
          <w:tcPr>
            <w:tcW w:w="1164" w:type="dxa"/>
            <w:tcBorders>
              <w:top w:val="nil"/>
              <w:left w:val="nil"/>
              <w:bottom w:val="single" w:sz="4" w:space="0" w:color="auto"/>
              <w:right w:val="single" w:sz="4" w:space="0" w:color="auto"/>
            </w:tcBorders>
            <w:shd w:val="clear" w:color="auto" w:fill="auto"/>
            <w:noWrap/>
            <w:vAlign w:val="bottom"/>
            <w:hideMark/>
          </w:tcPr>
          <w:p w14:paraId="003FE1F2"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255.741.210</w:t>
            </w:r>
          </w:p>
        </w:tc>
        <w:tc>
          <w:tcPr>
            <w:tcW w:w="1164" w:type="dxa"/>
            <w:tcBorders>
              <w:top w:val="nil"/>
              <w:left w:val="nil"/>
              <w:bottom w:val="single" w:sz="4" w:space="0" w:color="auto"/>
              <w:right w:val="single" w:sz="4" w:space="0" w:color="auto"/>
            </w:tcBorders>
            <w:shd w:val="clear" w:color="auto" w:fill="auto"/>
            <w:noWrap/>
            <w:vAlign w:val="bottom"/>
            <w:hideMark/>
          </w:tcPr>
          <w:p w14:paraId="2DCBC420"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219.642.032</w:t>
            </w:r>
          </w:p>
        </w:tc>
        <w:tc>
          <w:tcPr>
            <w:tcW w:w="550" w:type="dxa"/>
            <w:tcBorders>
              <w:top w:val="nil"/>
              <w:left w:val="nil"/>
              <w:bottom w:val="single" w:sz="4" w:space="0" w:color="auto"/>
              <w:right w:val="single" w:sz="4" w:space="0" w:color="auto"/>
            </w:tcBorders>
            <w:shd w:val="clear" w:color="auto" w:fill="auto"/>
            <w:noWrap/>
            <w:vAlign w:val="bottom"/>
            <w:hideMark/>
          </w:tcPr>
          <w:p w14:paraId="7D2FD6D7"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86%</w:t>
            </w:r>
          </w:p>
        </w:tc>
        <w:tc>
          <w:tcPr>
            <w:tcW w:w="1164" w:type="dxa"/>
            <w:tcBorders>
              <w:top w:val="nil"/>
              <w:left w:val="nil"/>
              <w:bottom w:val="single" w:sz="4" w:space="0" w:color="auto"/>
              <w:right w:val="single" w:sz="4" w:space="0" w:color="auto"/>
            </w:tcBorders>
            <w:shd w:val="clear" w:color="auto" w:fill="auto"/>
            <w:noWrap/>
            <w:vAlign w:val="bottom"/>
            <w:hideMark/>
          </w:tcPr>
          <w:p w14:paraId="2F51EED1"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95.507.422</w:t>
            </w:r>
          </w:p>
        </w:tc>
        <w:tc>
          <w:tcPr>
            <w:tcW w:w="550" w:type="dxa"/>
            <w:tcBorders>
              <w:top w:val="nil"/>
              <w:left w:val="nil"/>
              <w:bottom w:val="single" w:sz="4" w:space="0" w:color="auto"/>
              <w:right w:val="single" w:sz="4" w:space="0" w:color="auto"/>
            </w:tcBorders>
            <w:shd w:val="clear" w:color="auto" w:fill="auto"/>
            <w:noWrap/>
            <w:vAlign w:val="bottom"/>
            <w:hideMark/>
          </w:tcPr>
          <w:p w14:paraId="75439360"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37%</w:t>
            </w:r>
          </w:p>
        </w:tc>
        <w:tc>
          <w:tcPr>
            <w:tcW w:w="1164" w:type="dxa"/>
            <w:tcBorders>
              <w:top w:val="nil"/>
              <w:left w:val="nil"/>
              <w:bottom w:val="single" w:sz="4" w:space="0" w:color="auto"/>
              <w:right w:val="single" w:sz="4" w:space="0" w:color="auto"/>
            </w:tcBorders>
            <w:shd w:val="clear" w:color="auto" w:fill="auto"/>
            <w:noWrap/>
            <w:vAlign w:val="bottom"/>
            <w:hideMark/>
          </w:tcPr>
          <w:p w14:paraId="3C79C6B5"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255.741.210</w:t>
            </w:r>
          </w:p>
        </w:tc>
        <w:tc>
          <w:tcPr>
            <w:tcW w:w="1164" w:type="dxa"/>
            <w:tcBorders>
              <w:top w:val="nil"/>
              <w:left w:val="nil"/>
              <w:bottom w:val="single" w:sz="4" w:space="0" w:color="auto"/>
              <w:right w:val="single" w:sz="4" w:space="0" w:color="auto"/>
            </w:tcBorders>
            <w:shd w:val="clear" w:color="auto" w:fill="auto"/>
            <w:noWrap/>
            <w:vAlign w:val="bottom"/>
            <w:hideMark/>
          </w:tcPr>
          <w:p w14:paraId="26C8D8E9"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260.241.195</w:t>
            </w:r>
          </w:p>
        </w:tc>
        <w:tc>
          <w:tcPr>
            <w:tcW w:w="1160" w:type="dxa"/>
            <w:tcBorders>
              <w:top w:val="nil"/>
              <w:left w:val="nil"/>
              <w:bottom w:val="single" w:sz="4" w:space="0" w:color="auto"/>
              <w:right w:val="single" w:sz="4" w:space="0" w:color="auto"/>
            </w:tcBorders>
            <w:shd w:val="clear" w:color="auto" w:fill="auto"/>
            <w:noWrap/>
            <w:vAlign w:val="bottom"/>
            <w:hideMark/>
          </w:tcPr>
          <w:p w14:paraId="02361D3E"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102</w:t>
            </w:r>
          </w:p>
        </w:tc>
        <w:tc>
          <w:tcPr>
            <w:tcW w:w="1164" w:type="dxa"/>
            <w:tcBorders>
              <w:top w:val="nil"/>
              <w:left w:val="nil"/>
              <w:bottom w:val="single" w:sz="4" w:space="0" w:color="auto"/>
              <w:right w:val="single" w:sz="4" w:space="0" w:color="auto"/>
            </w:tcBorders>
            <w:shd w:val="clear" w:color="auto" w:fill="auto"/>
            <w:noWrap/>
            <w:vAlign w:val="bottom"/>
            <w:hideMark/>
          </w:tcPr>
          <w:p w14:paraId="710C88A5"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95.507.422</w:t>
            </w:r>
          </w:p>
        </w:tc>
        <w:tc>
          <w:tcPr>
            <w:tcW w:w="962" w:type="dxa"/>
            <w:tcBorders>
              <w:top w:val="nil"/>
              <w:left w:val="nil"/>
              <w:bottom w:val="single" w:sz="4" w:space="0" w:color="auto"/>
              <w:right w:val="single" w:sz="4" w:space="0" w:color="auto"/>
            </w:tcBorders>
            <w:shd w:val="clear" w:color="auto" w:fill="auto"/>
            <w:noWrap/>
            <w:vAlign w:val="bottom"/>
            <w:hideMark/>
          </w:tcPr>
          <w:p w14:paraId="08E319D5"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37%</w:t>
            </w:r>
          </w:p>
        </w:tc>
        <w:tc>
          <w:tcPr>
            <w:tcW w:w="2977" w:type="dxa"/>
            <w:tcBorders>
              <w:top w:val="nil"/>
              <w:left w:val="nil"/>
              <w:bottom w:val="single" w:sz="4" w:space="0" w:color="auto"/>
              <w:right w:val="single" w:sz="4" w:space="0" w:color="auto"/>
            </w:tcBorders>
            <w:shd w:val="clear" w:color="auto" w:fill="auto"/>
            <w:vAlign w:val="bottom"/>
            <w:hideMark/>
          </w:tcPr>
          <w:p w14:paraId="0B62BC8D"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Prenos potrjenih operacij v višini 40.599.163 EUR iz PO 3.</w:t>
            </w:r>
          </w:p>
        </w:tc>
      </w:tr>
      <w:tr w:rsidR="002A7E48" w:rsidRPr="002A7E48" w14:paraId="483D9800" w14:textId="77777777" w:rsidTr="0042240D">
        <w:trPr>
          <w:trHeight w:val="7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14:paraId="14696E25"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16</w:t>
            </w:r>
          </w:p>
        </w:tc>
        <w:tc>
          <w:tcPr>
            <w:tcW w:w="620" w:type="dxa"/>
            <w:tcBorders>
              <w:top w:val="nil"/>
              <w:left w:val="nil"/>
              <w:bottom w:val="single" w:sz="4" w:space="0" w:color="auto"/>
              <w:right w:val="single" w:sz="4" w:space="0" w:color="auto"/>
            </w:tcBorders>
            <w:shd w:val="clear" w:color="auto" w:fill="auto"/>
            <w:noWrap/>
            <w:vAlign w:val="bottom"/>
            <w:hideMark/>
          </w:tcPr>
          <w:p w14:paraId="2BB32E66"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ESS</w:t>
            </w:r>
          </w:p>
        </w:tc>
        <w:tc>
          <w:tcPr>
            <w:tcW w:w="980" w:type="dxa"/>
            <w:tcBorders>
              <w:top w:val="nil"/>
              <w:left w:val="nil"/>
              <w:bottom w:val="single" w:sz="4" w:space="0" w:color="auto"/>
              <w:right w:val="single" w:sz="4" w:space="0" w:color="auto"/>
            </w:tcBorders>
            <w:shd w:val="clear" w:color="auto" w:fill="auto"/>
            <w:noWrap/>
            <w:vAlign w:val="bottom"/>
            <w:hideMark/>
          </w:tcPr>
          <w:p w14:paraId="1407D84C"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Celotna SI</w:t>
            </w:r>
          </w:p>
        </w:tc>
        <w:tc>
          <w:tcPr>
            <w:tcW w:w="1164" w:type="dxa"/>
            <w:tcBorders>
              <w:top w:val="nil"/>
              <w:left w:val="nil"/>
              <w:bottom w:val="single" w:sz="4" w:space="0" w:color="auto"/>
              <w:right w:val="single" w:sz="4" w:space="0" w:color="auto"/>
            </w:tcBorders>
            <w:shd w:val="clear" w:color="auto" w:fill="auto"/>
            <w:noWrap/>
            <w:vAlign w:val="bottom"/>
            <w:hideMark/>
          </w:tcPr>
          <w:p w14:paraId="0C019BE7"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13.205.000</w:t>
            </w:r>
          </w:p>
        </w:tc>
        <w:tc>
          <w:tcPr>
            <w:tcW w:w="1164" w:type="dxa"/>
            <w:tcBorders>
              <w:top w:val="nil"/>
              <w:left w:val="nil"/>
              <w:bottom w:val="single" w:sz="4" w:space="0" w:color="auto"/>
              <w:right w:val="single" w:sz="4" w:space="0" w:color="auto"/>
            </w:tcBorders>
            <w:shd w:val="clear" w:color="auto" w:fill="auto"/>
            <w:noWrap/>
            <w:vAlign w:val="bottom"/>
            <w:hideMark/>
          </w:tcPr>
          <w:p w14:paraId="34C69A8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5.669.256</w:t>
            </w:r>
          </w:p>
        </w:tc>
        <w:tc>
          <w:tcPr>
            <w:tcW w:w="550" w:type="dxa"/>
            <w:tcBorders>
              <w:top w:val="nil"/>
              <w:left w:val="nil"/>
              <w:bottom w:val="single" w:sz="4" w:space="0" w:color="auto"/>
              <w:right w:val="single" w:sz="4" w:space="0" w:color="auto"/>
            </w:tcBorders>
            <w:shd w:val="clear" w:color="auto" w:fill="auto"/>
            <w:noWrap/>
            <w:vAlign w:val="bottom"/>
            <w:hideMark/>
          </w:tcPr>
          <w:p w14:paraId="4223DE73"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43%</w:t>
            </w:r>
          </w:p>
        </w:tc>
        <w:tc>
          <w:tcPr>
            <w:tcW w:w="1164" w:type="dxa"/>
            <w:tcBorders>
              <w:top w:val="nil"/>
              <w:left w:val="nil"/>
              <w:bottom w:val="single" w:sz="4" w:space="0" w:color="auto"/>
              <w:right w:val="single" w:sz="4" w:space="0" w:color="auto"/>
            </w:tcBorders>
            <w:shd w:val="clear" w:color="auto" w:fill="auto"/>
            <w:noWrap/>
            <w:vAlign w:val="bottom"/>
            <w:hideMark/>
          </w:tcPr>
          <w:p w14:paraId="7519C9B3"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1.244.684</w:t>
            </w:r>
          </w:p>
        </w:tc>
        <w:tc>
          <w:tcPr>
            <w:tcW w:w="550" w:type="dxa"/>
            <w:tcBorders>
              <w:top w:val="nil"/>
              <w:left w:val="nil"/>
              <w:bottom w:val="single" w:sz="4" w:space="0" w:color="auto"/>
              <w:right w:val="single" w:sz="4" w:space="0" w:color="auto"/>
            </w:tcBorders>
            <w:shd w:val="clear" w:color="auto" w:fill="auto"/>
            <w:noWrap/>
            <w:vAlign w:val="bottom"/>
            <w:hideMark/>
          </w:tcPr>
          <w:p w14:paraId="795BD5C1"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w:t>
            </w:r>
          </w:p>
        </w:tc>
        <w:tc>
          <w:tcPr>
            <w:tcW w:w="1164" w:type="dxa"/>
            <w:tcBorders>
              <w:top w:val="nil"/>
              <w:left w:val="nil"/>
              <w:bottom w:val="single" w:sz="4" w:space="0" w:color="auto"/>
              <w:right w:val="single" w:sz="4" w:space="0" w:color="auto"/>
            </w:tcBorders>
            <w:shd w:val="clear" w:color="auto" w:fill="auto"/>
            <w:noWrap/>
            <w:vAlign w:val="bottom"/>
            <w:hideMark/>
          </w:tcPr>
          <w:p w14:paraId="5324458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13.205.000</w:t>
            </w:r>
          </w:p>
        </w:tc>
        <w:tc>
          <w:tcPr>
            <w:tcW w:w="1164" w:type="dxa"/>
            <w:tcBorders>
              <w:top w:val="nil"/>
              <w:left w:val="nil"/>
              <w:bottom w:val="single" w:sz="4" w:space="0" w:color="auto"/>
              <w:right w:val="single" w:sz="4" w:space="0" w:color="auto"/>
            </w:tcBorders>
            <w:shd w:val="clear" w:color="auto" w:fill="auto"/>
            <w:noWrap/>
            <w:vAlign w:val="bottom"/>
            <w:hideMark/>
          </w:tcPr>
          <w:p w14:paraId="318BFBA0"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9.269.256</w:t>
            </w:r>
          </w:p>
        </w:tc>
        <w:tc>
          <w:tcPr>
            <w:tcW w:w="1160" w:type="dxa"/>
            <w:tcBorders>
              <w:top w:val="nil"/>
              <w:left w:val="nil"/>
              <w:bottom w:val="single" w:sz="4" w:space="0" w:color="auto"/>
              <w:right w:val="single" w:sz="4" w:space="0" w:color="auto"/>
            </w:tcBorders>
            <w:shd w:val="clear" w:color="auto" w:fill="auto"/>
            <w:noWrap/>
            <w:vAlign w:val="bottom"/>
            <w:hideMark/>
          </w:tcPr>
          <w:p w14:paraId="6240E9B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70</w:t>
            </w:r>
          </w:p>
        </w:tc>
        <w:tc>
          <w:tcPr>
            <w:tcW w:w="1164" w:type="dxa"/>
            <w:tcBorders>
              <w:top w:val="nil"/>
              <w:left w:val="nil"/>
              <w:bottom w:val="single" w:sz="4" w:space="0" w:color="auto"/>
              <w:right w:val="single" w:sz="4" w:space="0" w:color="auto"/>
            </w:tcBorders>
            <w:shd w:val="clear" w:color="auto" w:fill="auto"/>
            <w:noWrap/>
            <w:vAlign w:val="bottom"/>
            <w:hideMark/>
          </w:tcPr>
          <w:p w14:paraId="6F52DAFC"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1.244.684</w:t>
            </w:r>
          </w:p>
        </w:tc>
        <w:tc>
          <w:tcPr>
            <w:tcW w:w="962" w:type="dxa"/>
            <w:tcBorders>
              <w:top w:val="nil"/>
              <w:left w:val="nil"/>
              <w:bottom w:val="single" w:sz="4" w:space="0" w:color="auto"/>
              <w:right w:val="single" w:sz="4" w:space="0" w:color="auto"/>
            </w:tcBorders>
            <w:shd w:val="clear" w:color="auto" w:fill="auto"/>
            <w:noWrap/>
            <w:vAlign w:val="bottom"/>
            <w:hideMark/>
          </w:tcPr>
          <w:p w14:paraId="58A7D6A7"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9%</w:t>
            </w:r>
          </w:p>
        </w:tc>
        <w:tc>
          <w:tcPr>
            <w:tcW w:w="2977" w:type="dxa"/>
            <w:tcBorders>
              <w:top w:val="nil"/>
              <w:left w:val="nil"/>
              <w:bottom w:val="single" w:sz="4" w:space="0" w:color="auto"/>
              <w:right w:val="single" w:sz="4" w:space="0" w:color="auto"/>
            </w:tcBorders>
            <w:shd w:val="clear" w:color="auto" w:fill="auto"/>
            <w:vAlign w:val="bottom"/>
            <w:hideMark/>
          </w:tcPr>
          <w:p w14:paraId="39E2AE18"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Prenos potrjenih operacij v višini 3.600.000 EUR iz PO 9 ESS.</w:t>
            </w:r>
          </w:p>
        </w:tc>
      </w:tr>
      <w:tr w:rsidR="002A7E48" w:rsidRPr="002A7E48" w14:paraId="3DA38CD3" w14:textId="77777777" w:rsidTr="0042240D">
        <w:trPr>
          <w:trHeight w:val="30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14:paraId="7DFD0433" w14:textId="77777777" w:rsidR="002A7E48" w:rsidRPr="002A7E48" w:rsidRDefault="002A7E48" w:rsidP="002A7E48">
            <w:pPr>
              <w:spacing w:after="0" w:line="240" w:lineRule="auto"/>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 </w:t>
            </w:r>
          </w:p>
        </w:tc>
        <w:tc>
          <w:tcPr>
            <w:tcW w:w="620" w:type="dxa"/>
            <w:tcBorders>
              <w:top w:val="nil"/>
              <w:left w:val="nil"/>
              <w:bottom w:val="single" w:sz="4" w:space="0" w:color="auto"/>
              <w:right w:val="single" w:sz="4" w:space="0" w:color="auto"/>
            </w:tcBorders>
            <w:shd w:val="clear" w:color="auto" w:fill="auto"/>
            <w:noWrap/>
            <w:vAlign w:val="bottom"/>
            <w:hideMark/>
          </w:tcPr>
          <w:p w14:paraId="6E970E50" w14:textId="77777777" w:rsidR="002A7E48" w:rsidRPr="002A7E48" w:rsidRDefault="002A7E48" w:rsidP="002A7E48">
            <w:pPr>
              <w:spacing w:after="0" w:line="240" w:lineRule="auto"/>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 </w:t>
            </w:r>
          </w:p>
        </w:tc>
        <w:tc>
          <w:tcPr>
            <w:tcW w:w="980" w:type="dxa"/>
            <w:tcBorders>
              <w:top w:val="nil"/>
              <w:left w:val="nil"/>
              <w:bottom w:val="single" w:sz="4" w:space="0" w:color="auto"/>
              <w:right w:val="single" w:sz="4" w:space="0" w:color="auto"/>
            </w:tcBorders>
            <w:shd w:val="clear" w:color="auto" w:fill="auto"/>
            <w:noWrap/>
            <w:vAlign w:val="bottom"/>
            <w:hideMark/>
          </w:tcPr>
          <w:p w14:paraId="340D0195" w14:textId="77777777" w:rsidR="002A7E48" w:rsidRPr="002A7E48" w:rsidRDefault="002A7E48" w:rsidP="002A7E48">
            <w:pPr>
              <w:spacing w:after="0" w:line="240" w:lineRule="auto"/>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 </w:t>
            </w:r>
          </w:p>
        </w:tc>
        <w:tc>
          <w:tcPr>
            <w:tcW w:w="1164" w:type="dxa"/>
            <w:tcBorders>
              <w:top w:val="nil"/>
              <w:left w:val="nil"/>
              <w:bottom w:val="single" w:sz="4" w:space="0" w:color="auto"/>
              <w:right w:val="single" w:sz="4" w:space="0" w:color="auto"/>
            </w:tcBorders>
            <w:shd w:val="clear" w:color="auto" w:fill="auto"/>
            <w:noWrap/>
            <w:vAlign w:val="bottom"/>
            <w:hideMark/>
          </w:tcPr>
          <w:p w14:paraId="720287F8" w14:textId="77777777" w:rsidR="002A7E48" w:rsidRPr="002A7E48" w:rsidRDefault="002A7E48" w:rsidP="002A7E48">
            <w:pPr>
              <w:spacing w:after="0" w:line="240" w:lineRule="auto"/>
              <w:jc w:val="right"/>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3.336.871.135</w:t>
            </w:r>
          </w:p>
        </w:tc>
        <w:tc>
          <w:tcPr>
            <w:tcW w:w="1164" w:type="dxa"/>
            <w:tcBorders>
              <w:top w:val="nil"/>
              <w:left w:val="nil"/>
              <w:bottom w:val="single" w:sz="4" w:space="0" w:color="auto"/>
              <w:right w:val="single" w:sz="4" w:space="0" w:color="auto"/>
            </w:tcBorders>
            <w:shd w:val="clear" w:color="auto" w:fill="auto"/>
            <w:noWrap/>
            <w:vAlign w:val="bottom"/>
            <w:hideMark/>
          </w:tcPr>
          <w:p w14:paraId="662722F0" w14:textId="77777777" w:rsidR="002A7E48" w:rsidRPr="002A7E48" w:rsidRDefault="002A7E48" w:rsidP="002A7E48">
            <w:pPr>
              <w:spacing w:after="0" w:line="240" w:lineRule="auto"/>
              <w:jc w:val="right"/>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3.561.362.616</w:t>
            </w:r>
          </w:p>
        </w:tc>
        <w:tc>
          <w:tcPr>
            <w:tcW w:w="550" w:type="dxa"/>
            <w:tcBorders>
              <w:top w:val="nil"/>
              <w:left w:val="nil"/>
              <w:bottom w:val="single" w:sz="4" w:space="0" w:color="auto"/>
              <w:right w:val="single" w:sz="4" w:space="0" w:color="auto"/>
            </w:tcBorders>
            <w:shd w:val="clear" w:color="auto" w:fill="auto"/>
            <w:noWrap/>
            <w:vAlign w:val="bottom"/>
            <w:hideMark/>
          </w:tcPr>
          <w:p w14:paraId="0674361F" w14:textId="77777777" w:rsidR="002A7E48" w:rsidRPr="002A7E48" w:rsidRDefault="002A7E48" w:rsidP="002A7E48">
            <w:pPr>
              <w:spacing w:after="0" w:line="240" w:lineRule="auto"/>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 </w:t>
            </w:r>
          </w:p>
        </w:tc>
        <w:tc>
          <w:tcPr>
            <w:tcW w:w="1164" w:type="dxa"/>
            <w:tcBorders>
              <w:top w:val="nil"/>
              <w:left w:val="nil"/>
              <w:bottom w:val="single" w:sz="4" w:space="0" w:color="auto"/>
              <w:right w:val="single" w:sz="4" w:space="0" w:color="auto"/>
            </w:tcBorders>
            <w:shd w:val="clear" w:color="auto" w:fill="auto"/>
            <w:noWrap/>
            <w:vAlign w:val="bottom"/>
            <w:hideMark/>
          </w:tcPr>
          <w:p w14:paraId="334CEA13" w14:textId="77777777" w:rsidR="002A7E48" w:rsidRPr="002A7E48" w:rsidRDefault="002A7E48" w:rsidP="002A7E48">
            <w:pPr>
              <w:spacing w:after="0" w:line="240" w:lineRule="auto"/>
              <w:jc w:val="right"/>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2.907.158.242</w:t>
            </w:r>
          </w:p>
        </w:tc>
        <w:tc>
          <w:tcPr>
            <w:tcW w:w="550" w:type="dxa"/>
            <w:tcBorders>
              <w:top w:val="nil"/>
              <w:left w:val="nil"/>
              <w:bottom w:val="single" w:sz="4" w:space="0" w:color="auto"/>
              <w:right w:val="single" w:sz="4" w:space="0" w:color="auto"/>
            </w:tcBorders>
            <w:shd w:val="clear" w:color="auto" w:fill="auto"/>
            <w:noWrap/>
            <w:vAlign w:val="bottom"/>
            <w:hideMark/>
          </w:tcPr>
          <w:p w14:paraId="28BCB831" w14:textId="77777777" w:rsidR="002A7E48" w:rsidRPr="002A7E48" w:rsidRDefault="002A7E48" w:rsidP="002A7E48">
            <w:pPr>
              <w:spacing w:after="0" w:line="240" w:lineRule="auto"/>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 </w:t>
            </w:r>
          </w:p>
        </w:tc>
        <w:tc>
          <w:tcPr>
            <w:tcW w:w="1164" w:type="dxa"/>
            <w:tcBorders>
              <w:top w:val="nil"/>
              <w:left w:val="nil"/>
              <w:bottom w:val="single" w:sz="4" w:space="0" w:color="auto"/>
              <w:right w:val="single" w:sz="4" w:space="0" w:color="auto"/>
            </w:tcBorders>
            <w:shd w:val="clear" w:color="auto" w:fill="auto"/>
            <w:noWrap/>
            <w:vAlign w:val="bottom"/>
            <w:hideMark/>
          </w:tcPr>
          <w:p w14:paraId="6AF2E8BE" w14:textId="77777777" w:rsidR="002A7E48" w:rsidRPr="002A7E48" w:rsidRDefault="002A7E48" w:rsidP="002A7E48">
            <w:pPr>
              <w:spacing w:after="0" w:line="240" w:lineRule="auto"/>
              <w:jc w:val="right"/>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3.336.871.135</w:t>
            </w:r>
          </w:p>
        </w:tc>
        <w:tc>
          <w:tcPr>
            <w:tcW w:w="1164" w:type="dxa"/>
            <w:tcBorders>
              <w:top w:val="nil"/>
              <w:left w:val="nil"/>
              <w:bottom w:val="single" w:sz="4" w:space="0" w:color="auto"/>
              <w:right w:val="single" w:sz="4" w:space="0" w:color="auto"/>
            </w:tcBorders>
            <w:shd w:val="clear" w:color="auto" w:fill="auto"/>
            <w:noWrap/>
            <w:vAlign w:val="bottom"/>
            <w:hideMark/>
          </w:tcPr>
          <w:p w14:paraId="03D7C307" w14:textId="77777777" w:rsidR="002A7E48" w:rsidRPr="002A7E48" w:rsidRDefault="002A7E48" w:rsidP="002A7E48">
            <w:pPr>
              <w:spacing w:after="0" w:line="240" w:lineRule="auto"/>
              <w:jc w:val="right"/>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3.561.362.616</w:t>
            </w:r>
          </w:p>
        </w:tc>
        <w:tc>
          <w:tcPr>
            <w:tcW w:w="1160" w:type="dxa"/>
            <w:tcBorders>
              <w:top w:val="nil"/>
              <w:left w:val="nil"/>
              <w:bottom w:val="single" w:sz="4" w:space="0" w:color="auto"/>
              <w:right w:val="single" w:sz="4" w:space="0" w:color="auto"/>
            </w:tcBorders>
            <w:shd w:val="clear" w:color="auto" w:fill="auto"/>
            <w:noWrap/>
            <w:vAlign w:val="bottom"/>
            <w:hideMark/>
          </w:tcPr>
          <w:p w14:paraId="07619CB8"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c>
          <w:tcPr>
            <w:tcW w:w="1164" w:type="dxa"/>
            <w:tcBorders>
              <w:top w:val="nil"/>
              <w:left w:val="nil"/>
              <w:bottom w:val="single" w:sz="4" w:space="0" w:color="auto"/>
              <w:right w:val="single" w:sz="4" w:space="0" w:color="auto"/>
            </w:tcBorders>
            <w:shd w:val="clear" w:color="auto" w:fill="auto"/>
            <w:noWrap/>
            <w:vAlign w:val="bottom"/>
            <w:hideMark/>
          </w:tcPr>
          <w:p w14:paraId="46C5E2A9" w14:textId="77777777" w:rsidR="002A7E48" w:rsidRPr="002A7E48" w:rsidRDefault="002A7E48" w:rsidP="002A7E48">
            <w:pPr>
              <w:spacing w:after="0" w:line="240" w:lineRule="auto"/>
              <w:jc w:val="right"/>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2.907.158.242</w:t>
            </w:r>
          </w:p>
        </w:tc>
        <w:tc>
          <w:tcPr>
            <w:tcW w:w="962" w:type="dxa"/>
            <w:tcBorders>
              <w:top w:val="nil"/>
              <w:left w:val="nil"/>
              <w:bottom w:val="single" w:sz="4" w:space="0" w:color="auto"/>
              <w:right w:val="single" w:sz="4" w:space="0" w:color="auto"/>
            </w:tcBorders>
            <w:shd w:val="clear" w:color="auto" w:fill="auto"/>
            <w:noWrap/>
            <w:vAlign w:val="bottom"/>
            <w:hideMark/>
          </w:tcPr>
          <w:p w14:paraId="3095407E" w14:textId="77777777" w:rsidR="002A7E48" w:rsidRPr="002A7E48" w:rsidRDefault="002A7E48" w:rsidP="002A7E48">
            <w:pPr>
              <w:spacing w:after="0" w:line="240" w:lineRule="auto"/>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 </w:t>
            </w:r>
          </w:p>
        </w:tc>
        <w:tc>
          <w:tcPr>
            <w:tcW w:w="2977" w:type="dxa"/>
            <w:tcBorders>
              <w:top w:val="nil"/>
              <w:left w:val="nil"/>
              <w:bottom w:val="single" w:sz="4" w:space="0" w:color="auto"/>
              <w:right w:val="single" w:sz="4" w:space="0" w:color="auto"/>
            </w:tcBorders>
            <w:shd w:val="clear" w:color="auto" w:fill="auto"/>
            <w:vAlign w:val="bottom"/>
            <w:hideMark/>
          </w:tcPr>
          <w:p w14:paraId="68D7E61B"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r>
    </w:tbl>
    <w:p w14:paraId="465E4D86" w14:textId="77777777" w:rsidR="002A7E48" w:rsidRPr="002A7E48" w:rsidRDefault="002A7E48" w:rsidP="002A7E48">
      <w:pPr>
        <w:rPr>
          <w:rFonts w:ascii="Arial" w:eastAsia="Calibri" w:hAnsi="Arial" w:cs="Arial"/>
          <w:sz w:val="20"/>
          <w:szCs w:val="20"/>
        </w:rPr>
      </w:pPr>
    </w:p>
    <w:p w14:paraId="2AD0E379" w14:textId="77777777" w:rsidR="002A7E48" w:rsidRPr="002A7E48" w:rsidRDefault="002A7E48" w:rsidP="002A7E48">
      <w:pPr>
        <w:rPr>
          <w:rFonts w:ascii="Arial" w:eastAsia="Calibri" w:hAnsi="Arial" w:cs="Arial"/>
          <w:sz w:val="20"/>
          <w:szCs w:val="20"/>
        </w:rPr>
        <w:sectPr w:rsidR="002A7E48" w:rsidRPr="002A7E48" w:rsidSect="003F084F">
          <w:pgSz w:w="16838" w:h="11906" w:orient="landscape"/>
          <w:pgMar w:top="1417" w:right="1417" w:bottom="1417" w:left="1417" w:header="708" w:footer="708" w:gutter="0"/>
          <w:cols w:space="708"/>
          <w:docGrid w:linePitch="360"/>
        </w:sectPr>
      </w:pPr>
    </w:p>
    <w:p w14:paraId="2AB371F9" w14:textId="77777777" w:rsidR="002A7E48" w:rsidRPr="002A7E48" w:rsidRDefault="002A7E48" w:rsidP="002A7E48">
      <w:pPr>
        <w:keepNext/>
        <w:keepLines/>
        <w:spacing w:after="0" w:line="240" w:lineRule="auto"/>
        <w:outlineLvl w:val="1"/>
        <w:rPr>
          <w:rFonts w:ascii="Arial" w:eastAsia="Times New Roman" w:hAnsi="Arial" w:cs="Arial"/>
          <w:b/>
          <w:sz w:val="24"/>
          <w:szCs w:val="26"/>
        </w:rPr>
      </w:pPr>
      <w:r w:rsidRPr="002A7E48">
        <w:rPr>
          <w:rFonts w:ascii="Arial" w:eastAsia="Times New Roman" w:hAnsi="Arial" w:cs="Arial"/>
          <w:b/>
          <w:sz w:val="24"/>
          <w:szCs w:val="26"/>
        </w:rPr>
        <w:lastRenderedPageBreak/>
        <w:t>PO2</w:t>
      </w:r>
    </w:p>
    <w:p w14:paraId="41282F34" w14:textId="77777777" w:rsidR="002A7E48" w:rsidRPr="002A7E48" w:rsidRDefault="002A7E48" w:rsidP="002A7E48">
      <w:pPr>
        <w:spacing w:after="0"/>
        <w:jc w:val="both"/>
        <w:rPr>
          <w:rFonts w:ascii="Arial" w:eastAsia="Calibri" w:hAnsi="Arial" w:cs="Arial"/>
          <w:sz w:val="20"/>
          <w:szCs w:val="20"/>
        </w:rPr>
      </w:pPr>
      <w:r w:rsidRPr="002A7E48">
        <w:rPr>
          <w:rFonts w:ascii="Arial" w:eastAsia="Calibri" w:hAnsi="Arial" w:cs="Arial"/>
          <w:sz w:val="20"/>
          <w:szCs w:val="20"/>
        </w:rPr>
        <w:t xml:space="preserve">V okviru prednostne naložbe 02 - Dostop do širokopasovnih elektronskih komunikacijskih storitev na  območjih, kjer širokopasovna infrastruktura še ni zgrajena in kjer hkrati ni tržnega interesa za njeno gradnjo se predlaga 21,11 % znižanje kazalnika okvira uspešnosti. </w:t>
      </w:r>
    </w:p>
    <w:p w14:paraId="3DA7BE40" w14:textId="77777777" w:rsidR="002A7E48" w:rsidRPr="002A7E48" w:rsidRDefault="002A7E48" w:rsidP="002A7E48">
      <w:pPr>
        <w:spacing w:after="0"/>
        <w:jc w:val="both"/>
        <w:rPr>
          <w:rFonts w:ascii="Arial" w:eastAsia="Calibri" w:hAnsi="Arial" w:cs="Arial"/>
          <w:sz w:val="20"/>
          <w:szCs w:val="20"/>
        </w:rPr>
      </w:pPr>
      <w:r w:rsidRPr="002A7E48">
        <w:rPr>
          <w:rFonts w:ascii="Arial" w:eastAsia="Calibri" w:hAnsi="Arial" w:cs="Arial"/>
          <w:sz w:val="20"/>
          <w:szCs w:val="20"/>
        </w:rPr>
        <w:t xml:space="preserve">Predlog za znižanje kazalnikov v prvi vrsti temelji na vsesplošnem dvigu cen in na dolgotrajnih postopkih pridobivanja dovoljenj na različnih ravneh ter na slabem sodelovanju obstoječih infrastrukturnih operaterjev. Nesporno dejstvo je, da se geopolitična situacija, ki smo ji priča glede na vojno v Ukrajini in uvedene sankcije mednarodne skupnosti proti Ruski federaciji, odraža tudi na svetovnem trgu s poslabšanimi pogoji za dobavo gradbenega in telekomunikacijskega materiala. Prekinjene so nekatere dobavne verige, soočamo se tudi z drastičnim dvigom cen materialov. Na spremenjene okoliščine so opozorili tudi že posamezni upravičenci, s katerimi so sklenjene pogodbe v okviru Javnih razpisov za sofinanciranje gradnje odprtih širokopasovnih omrežij naslednje generacije (GOŠO 4 in GOŠO 5). Opozarjajo na povišanje cen materiala na svetovnem trgu, višje transportne stroške in stroške dela, pri čemer gre po njihovih navedbah za spremenjene okoliščine, ki jih niso mogli predvideti ob pripravi ponudbe, prijavi na razpis in ob sami sklenitvi pogodbe. </w:t>
      </w:r>
    </w:p>
    <w:p w14:paraId="673A675A" w14:textId="77777777" w:rsidR="002A7E48" w:rsidRPr="002A7E48" w:rsidRDefault="002A7E48" w:rsidP="002A7E48">
      <w:pPr>
        <w:spacing w:after="0"/>
        <w:jc w:val="both"/>
        <w:rPr>
          <w:rFonts w:ascii="Arial" w:eastAsia="Calibri" w:hAnsi="Arial" w:cs="Arial"/>
          <w:sz w:val="20"/>
          <w:szCs w:val="20"/>
        </w:rPr>
      </w:pPr>
      <w:r w:rsidRPr="002A7E48">
        <w:rPr>
          <w:rFonts w:ascii="Arial" w:eastAsia="Calibri" w:hAnsi="Arial" w:cs="Arial"/>
          <w:sz w:val="20"/>
          <w:szCs w:val="20"/>
        </w:rPr>
        <w:t>Na podlagi razpoložljivih podatkov se ugotavlja, da so se cene gradbenih storitev v sektorju »ostala nizka gradnja«  v obdobju  december 2020 pa do danes (zadnji dostopni podatki so za Q3 2022) močno povišale. Glede na indeks GZS Zbornice gradbeništva in industrije gradbenega materiala za obračun razlike v ceni gradbenih storitev so se cene v relevantnem segmentu povečale za 26,75 %.</w:t>
      </w:r>
    </w:p>
    <w:p w14:paraId="469BDA30" w14:textId="77777777" w:rsidR="002A7E48" w:rsidRPr="002A7E48" w:rsidRDefault="002A7E48" w:rsidP="002A7E48">
      <w:pPr>
        <w:spacing w:after="0"/>
        <w:jc w:val="both"/>
        <w:rPr>
          <w:rFonts w:ascii="Arial" w:eastAsia="Calibri" w:hAnsi="Arial" w:cs="Arial"/>
          <w:sz w:val="20"/>
          <w:szCs w:val="20"/>
        </w:rPr>
      </w:pPr>
    </w:p>
    <w:p w14:paraId="640E2BE4" w14:textId="77777777" w:rsidR="002A7E48" w:rsidRPr="002A7E48" w:rsidRDefault="002A7E48" w:rsidP="002A7E48">
      <w:pPr>
        <w:spacing w:after="0"/>
        <w:jc w:val="both"/>
        <w:rPr>
          <w:rFonts w:ascii="Arial" w:eastAsia="Calibri" w:hAnsi="Arial" w:cs="Arial"/>
          <w:b/>
          <w:sz w:val="20"/>
          <w:szCs w:val="20"/>
        </w:rPr>
      </w:pPr>
      <w:r w:rsidRPr="002A7E48">
        <w:rPr>
          <w:rFonts w:ascii="Arial" w:eastAsia="Calibri" w:hAnsi="Arial" w:cs="Arial"/>
          <w:b/>
          <w:sz w:val="20"/>
          <w:szCs w:val="20"/>
        </w:rPr>
        <w:t>Tabela 4: Izsek Tabele Pregled indeksov razlik v ceni po vrstah gradenj za segment Ostala nizka gradnja</w:t>
      </w:r>
    </w:p>
    <w:tbl>
      <w:tblPr>
        <w:tblW w:w="11024" w:type="dxa"/>
        <w:tblInd w:w="-851" w:type="dxa"/>
        <w:tblCellMar>
          <w:left w:w="70" w:type="dxa"/>
          <w:right w:w="70" w:type="dxa"/>
        </w:tblCellMar>
        <w:tblLook w:val="04A0" w:firstRow="1" w:lastRow="0" w:firstColumn="1" w:lastColumn="0" w:noHBand="0" w:noVBand="1"/>
      </w:tblPr>
      <w:tblGrid>
        <w:gridCol w:w="968"/>
        <w:gridCol w:w="848"/>
        <w:gridCol w:w="854"/>
        <w:gridCol w:w="7"/>
        <w:gridCol w:w="913"/>
        <w:gridCol w:w="7"/>
        <w:gridCol w:w="837"/>
        <w:gridCol w:w="7"/>
        <w:gridCol w:w="761"/>
        <w:gridCol w:w="7"/>
        <w:gridCol w:w="892"/>
        <w:gridCol w:w="7"/>
        <w:gridCol w:w="778"/>
        <w:gridCol w:w="7"/>
        <w:gridCol w:w="844"/>
        <w:gridCol w:w="7"/>
        <w:gridCol w:w="774"/>
        <w:gridCol w:w="7"/>
        <w:gridCol w:w="837"/>
        <w:gridCol w:w="7"/>
        <w:gridCol w:w="844"/>
        <w:gridCol w:w="7"/>
        <w:gridCol w:w="844"/>
        <w:gridCol w:w="7"/>
      </w:tblGrid>
      <w:tr w:rsidR="002A7E48" w:rsidRPr="002A7E48" w14:paraId="3EA23098" w14:textId="77777777" w:rsidTr="0042240D">
        <w:trPr>
          <w:trHeight w:val="315"/>
        </w:trPr>
        <w:tc>
          <w:tcPr>
            <w:tcW w:w="2630" w:type="dxa"/>
            <w:gridSpan w:val="4"/>
            <w:tcBorders>
              <w:top w:val="nil"/>
              <w:left w:val="nil"/>
              <w:bottom w:val="nil"/>
              <w:right w:val="nil"/>
            </w:tcBorders>
            <w:shd w:val="clear" w:color="auto" w:fill="auto"/>
            <w:noWrap/>
            <w:hideMark/>
          </w:tcPr>
          <w:p w14:paraId="0EB6BC79" w14:textId="77777777" w:rsidR="002A7E48" w:rsidRPr="002A7E48" w:rsidRDefault="002A7E48" w:rsidP="002A7E48">
            <w:pPr>
              <w:spacing w:after="0" w:line="260" w:lineRule="exact"/>
              <w:rPr>
                <w:rFonts w:ascii="Arial" w:eastAsia="Times New Roman" w:hAnsi="Arial" w:cs="Arial"/>
                <w:sz w:val="16"/>
                <w:szCs w:val="16"/>
              </w:rPr>
            </w:pPr>
            <w:r w:rsidRPr="002A7E48">
              <w:rPr>
                <w:rFonts w:ascii="Arial" w:eastAsia="Times New Roman" w:hAnsi="Arial" w:cs="Arial"/>
                <w:sz w:val="16"/>
                <w:szCs w:val="16"/>
              </w:rPr>
              <w:t>"Ostale nizke gradnje"</w:t>
            </w:r>
          </w:p>
        </w:tc>
        <w:tc>
          <w:tcPr>
            <w:tcW w:w="920" w:type="dxa"/>
            <w:gridSpan w:val="2"/>
            <w:tcBorders>
              <w:top w:val="nil"/>
              <w:left w:val="nil"/>
              <w:bottom w:val="nil"/>
              <w:right w:val="nil"/>
            </w:tcBorders>
            <w:shd w:val="clear" w:color="auto" w:fill="auto"/>
            <w:noWrap/>
            <w:hideMark/>
          </w:tcPr>
          <w:p w14:paraId="13691DFD" w14:textId="77777777" w:rsidR="002A7E48" w:rsidRPr="002A7E48" w:rsidRDefault="002A7E48" w:rsidP="002A7E48">
            <w:pPr>
              <w:spacing w:after="0" w:line="260" w:lineRule="exact"/>
              <w:rPr>
                <w:rFonts w:ascii="Arial" w:eastAsia="Times New Roman" w:hAnsi="Arial" w:cs="Arial"/>
                <w:sz w:val="16"/>
                <w:szCs w:val="16"/>
              </w:rPr>
            </w:pPr>
          </w:p>
        </w:tc>
        <w:tc>
          <w:tcPr>
            <w:tcW w:w="844" w:type="dxa"/>
            <w:gridSpan w:val="2"/>
            <w:tcBorders>
              <w:top w:val="nil"/>
              <w:left w:val="nil"/>
              <w:bottom w:val="nil"/>
              <w:right w:val="nil"/>
            </w:tcBorders>
            <w:shd w:val="clear" w:color="auto" w:fill="auto"/>
            <w:noWrap/>
            <w:hideMark/>
          </w:tcPr>
          <w:p w14:paraId="42B036F2" w14:textId="77777777" w:rsidR="002A7E48" w:rsidRPr="002A7E48" w:rsidRDefault="002A7E48" w:rsidP="002A7E48">
            <w:pPr>
              <w:spacing w:after="0" w:line="260" w:lineRule="exact"/>
              <w:rPr>
                <w:rFonts w:ascii="Arial" w:eastAsia="Times New Roman" w:hAnsi="Arial" w:cs="Arial"/>
                <w:sz w:val="16"/>
                <w:szCs w:val="16"/>
              </w:rPr>
            </w:pPr>
          </w:p>
        </w:tc>
        <w:tc>
          <w:tcPr>
            <w:tcW w:w="768" w:type="dxa"/>
            <w:gridSpan w:val="2"/>
            <w:tcBorders>
              <w:top w:val="nil"/>
              <w:left w:val="nil"/>
              <w:bottom w:val="nil"/>
              <w:right w:val="nil"/>
            </w:tcBorders>
            <w:shd w:val="clear" w:color="auto" w:fill="auto"/>
            <w:noWrap/>
            <w:hideMark/>
          </w:tcPr>
          <w:p w14:paraId="7D38B90D" w14:textId="77777777" w:rsidR="002A7E48" w:rsidRPr="002A7E48" w:rsidRDefault="002A7E48" w:rsidP="002A7E48">
            <w:pPr>
              <w:spacing w:after="0" w:line="260" w:lineRule="exact"/>
              <w:rPr>
                <w:rFonts w:ascii="Arial" w:eastAsia="Times New Roman" w:hAnsi="Arial" w:cs="Arial"/>
                <w:sz w:val="16"/>
                <w:szCs w:val="16"/>
              </w:rPr>
            </w:pPr>
          </w:p>
        </w:tc>
        <w:tc>
          <w:tcPr>
            <w:tcW w:w="899" w:type="dxa"/>
            <w:gridSpan w:val="2"/>
            <w:tcBorders>
              <w:top w:val="nil"/>
              <w:left w:val="nil"/>
              <w:bottom w:val="nil"/>
              <w:right w:val="nil"/>
            </w:tcBorders>
            <w:shd w:val="clear" w:color="auto" w:fill="auto"/>
            <w:noWrap/>
            <w:hideMark/>
          </w:tcPr>
          <w:p w14:paraId="04203172" w14:textId="77777777" w:rsidR="002A7E48" w:rsidRPr="002A7E48" w:rsidRDefault="002A7E48" w:rsidP="002A7E48">
            <w:pPr>
              <w:spacing w:after="0" w:line="260" w:lineRule="exact"/>
              <w:rPr>
                <w:rFonts w:ascii="Arial" w:eastAsia="Times New Roman" w:hAnsi="Arial" w:cs="Arial"/>
                <w:sz w:val="16"/>
                <w:szCs w:val="16"/>
              </w:rPr>
            </w:pPr>
          </w:p>
        </w:tc>
        <w:tc>
          <w:tcPr>
            <w:tcW w:w="785" w:type="dxa"/>
            <w:gridSpan w:val="2"/>
            <w:tcBorders>
              <w:top w:val="nil"/>
              <w:left w:val="nil"/>
              <w:bottom w:val="nil"/>
              <w:right w:val="nil"/>
            </w:tcBorders>
            <w:shd w:val="clear" w:color="auto" w:fill="auto"/>
            <w:noWrap/>
            <w:hideMark/>
          </w:tcPr>
          <w:p w14:paraId="6215907E" w14:textId="77777777" w:rsidR="002A7E48" w:rsidRPr="002A7E48" w:rsidRDefault="002A7E48" w:rsidP="002A7E48">
            <w:pPr>
              <w:spacing w:after="0" w:line="260" w:lineRule="exact"/>
              <w:rPr>
                <w:rFonts w:ascii="Arial" w:eastAsia="Times New Roman" w:hAnsi="Arial" w:cs="Arial"/>
                <w:sz w:val="16"/>
                <w:szCs w:val="16"/>
              </w:rPr>
            </w:pPr>
          </w:p>
        </w:tc>
        <w:tc>
          <w:tcPr>
            <w:tcW w:w="851" w:type="dxa"/>
            <w:gridSpan w:val="2"/>
            <w:tcBorders>
              <w:top w:val="nil"/>
              <w:left w:val="nil"/>
              <w:bottom w:val="nil"/>
              <w:right w:val="nil"/>
            </w:tcBorders>
            <w:shd w:val="clear" w:color="auto" w:fill="auto"/>
            <w:noWrap/>
            <w:hideMark/>
          </w:tcPr>
          <w:p w14:paraId="705526CF" w14:textId="77777777" w:rsidR="002A7E48" w:rsidRPr="002A7E48" w:rsidRDefault="002A7E48" w:rsidP="002A7E48">
            <w:pPr>
              <w:spacing w:after="0" w:line="260" w:lineRule="exact"/>
              <w:rPr>
                <w:rFonts w:ascii="Arial" w:eastAsia="Times New Roman" w:hAnsi="Arial" w:cs="Arial"/>
                <w:sz w:val="16"/>
                <w:szCs w:val="16"/>
              </w:rPr>
            </w:pPr>
          </w:p>
        </w:tc>
        <w:tc>
          <w:tcPr>
            <w:tcW w:w="781" w:type="dxa"/>
            <w:gridSpan w:val="2"/>
            <w:tcBorders>
              <w:top w:val="nil"/>
              <w:left w:val="nil"/>
              <w:bottom w:val="nil"/>
              <w:right w:val="nil"/>
            </w:tcBorders>
            <w:shd w:val="clear" w:color="auto" w:fill="auto"/>
            <w:noWrap/>
            <w:hideMark/>
          </w:tcPr>
          <w:p w14:paraId="0DBEC8C4" w14:textId="77777777" w:rsidR="002A7E48" w:rsidRPr="002A7E48" w:rsidRDefault="002A7E48" w:rsidP="002A7E48">
            <w:pPr>
              <w:spacing w:after="0" w:line="260" w:lineRule="exact"/>
              <w:rPr>
                <w:rFonts w:ascii="Arial" w:eastAsia="Times New Roman" w:hAnsi="Arial" w:cs="Arial"/>
                <w:sz w:val="16"/>
                <w:szCs w:val="16"/>
              </w:rPr>
            </w:pPr>
          </w:p>
        </w:tc>
        <w:tc>
          <w:tcPr>
            <w:tcW w:w="844" w:type="dxa"/>
            <w:gridSpan w:val="2"/>
            <w:tcBorders>
              <w:top w:val="nil"/>
              <w:left w:val="nil"/>
              <w:bottom w:val="nil"/>
              <w:right w:val="nil"/>
            </w:tcBorders>
            <w:shd w:val="clear" w:color="auto" w:fill="auto"/>
            <w:noWrap/>
            <w:hideMark/>
          </w:tcPr>
          <w:p w14:paraId="6B28BA87" w14:textId="77777777" w:rsidR="002A7E48" w:rsidRPr="002A7E48" w:rsidRDefault="002A7E48" w:rsidP="002A7E48">
            <w:pPr>
              <w:spacing w:after="0" w:line="260" w:lineRule="exact"/>
              <w:rPr>
                <w:rFonts w:ascii="Arial" w:eastAsia="Times New Roman" w:hAnsi="Arial" w:cs="Arial"/>
                <w:sz w:val="16"/>
                <w:szCs w:val="16"/>
              </w:rPr>
            </w:pPr>
          </w:p>
        </w:tc>
        <w:tc>
          <w:tcPr>
            <w:tcW w:w="851" w:type="dxa"/>
            <w:gridSpan w:val="2"/>
            <w:tcBorders>
              <w:top w:val="nil"/>
              <w:left w:val="nil"/>
              <w:bottom w:val="nil"/>
              <w:right w:val="nil"/>
            </w:tcBorders>
            <w:shd w:val="clear" w:color="auto" w:fill="auto"/>
            <w:noWrap/>
            <w:hideMark/>
          </w:tcPr>
          <w:p w14:paraId="1488B725" w14:textId="77777777" w:rsidR="002A7E48" w:rsidRPr="002A7E48" w:rsidRDefault="002A7E48" w:rsidP="002A7E48">
            <w:pPr>
              <w:spacing w:after="0" w:line="260" w:lineRule="exact"/>
              <w:rPr>
                <w:rFonts w:ascii="Arial" w:eastAsia="Times New Roman" w:hAnsi="Arial" w:cs="Arial"/>
                <w:sz w:val="16"/>
                <w:szCs w:val="16"/>
              </w:rPr>
            </w:pPr>
          </w:p>
        </w:tc>
        <w:tc>
          <w:tcPr>
            <w:tcW w:w="851" w:type="dxa"/>
            <w:gridSpan w:val="2"/>
            <w:tcBorders>
              <w:top w:val="nil"/>
              <w:left w:val="nil"/>
              <w:bottom w:val="nil"/>
              <w:right w:val="nil"/>
            </w:tcBorders>
            <w:shd w:val="clear" w:color="auto" w:fill="auto"/>
            <w:noWrap/>
            <w:hideMark/>
          </w:tcPr>
          <w:p w14:paraId="5BE6C1B5" w14:textId="77777777" w:rsidR="002A7E48" w:rsidRPr="002A7E48" w:rsidRDefault="002A7E48" w:rsidP="002A7E48">
            <w:pPr>
              <w:spacing w:after="0" w:line="260" w:lineRule="exact"/>
              <w:rPr>
                <w:rFonts w:ascii="Arial" w:eastAsia="Times New Roman" w:hAnsi="Arial" w:cs="Arial"/>
                <w:sz w:val="16"/>
                <w:szCs w:val="16"/>
              </w:rPr>
            </w:pPr>
          </w:p>
        </w:tc>
      </w:tr>
      <w:tr w:rsidR="002A7E48" w:rsidRPr="002A7E48" w14:paraId="3A4D4BA8" w14:textId="77777777" w:rsidTr="0042240D">
        <w:trPr>
          <w:gridAfter w:val="1"/>
          <w:wAfter w:w="7" w:type="dxa"/>
          <w:trHeight w:val="182"/>
        </w:trPr>
        <w:tc>
          <w:tcPr>
            <w:tcW w:w="921" w:type="dxa"/>
            <w:tcBorders>
              <w:top w:val="single" w:sz="8" w:space="0" w:color="000000"/>
              <w:left w:val="single" w:sz="8" w:space="0" w:color="000000"/>
              <w:bottom w:val="single" w:sz="4" w:space="0" w:color="000000"/>
              <w:right w:val="single" w:sz="4" w:space="0" w:color="000000"/>
            </w:tcBorders>
            <w:shd w:val="clear" w:color="E2EFDA" w:fill="E2EFDA"/>
            <w:hideMark/>
          </w:tcPr>
          <w:p w14:paraId="6F2F0A03" w14:textId="77777777" w:rsidR="002A7E48" w:rsidRPr="002A7E48" w:rsidRDefault="002A7E48" w:rsidP="002A7E48">
            <w:pPr>
              <w:spacing w:after="0" w:line="260" w:lineRule="exact"/>
              <w:rPr>
                <w:rFonts w:ascii="Arial" w:eastAsia="Times New Roman" w:hAnsi="Arial" w:cs="Arial"/>
                <w:sz w:val="16"/>
                <w:szCs w:val="16"/>
              </w:rPr>
            </w:pPr>
            <w:r w:rsidRPr="002A7E48">
              <w:rPr>
                <w:rFonts w:ascii="Arial" w:eastAsia="Times New Roman" w:hAnsi="Arial" w:cs="Arial"/>
                <w:sz w:val="16"/>
                <w:szCs w:val="16"/>
              </w:rPr>
              <w:t>Leto/Mesec</w:t>
            </w:r>
          </w:p>
        </w:tc>
        <w:tc>
          <w:tcPr>
            <w:tcW w:w="848" w:type="dxa"/>
            <w:tcBorders>
              <w:top w:val="single" w:sz="8" w:space="0" w:color="000000"/>
              <w:left w:val="nil"/>
              <w:bottom w:val="single" w:sz="4" w:space="0" w:color="000000"/>
              <w:right w:val="single" w:sz="4" w:space="0" w:color="000000"/>
            </w:tcBorders>
            <w:shd w:val="clear" w:color="E2EFDA" w:fill="E2EFDA"/>
            <w:noWrap/>
            <w:hideMark/>
          </w:tcPr>
          <w:p w14:paraId="7AA00A46" w14:textId="77777777" w:rsidR="002A7E48" w:rsidRPr="002A7E48" w:rsidRDefault="002A7E48" w:rsidP="002A7E48">
            <w:pPr>
              <w:spacing w:after="0" w:line="260" w:lineRule="exact"/>
              <w:rPr>
                <w:rFonts w:ascii="Arial" w:eastAsia="Times New Roman" w:hAnsi="Arial" w:cs="Arial"/>
                <w:sz w:val="16"/>
                <w:szCs w:val="16"/>
              </w:rPr>
            </w:pPr>
            <w:r w:rsidRPr="002A7E48">
              <w:rPr>
                <w:rFonts w:ascii="Arial" w:eastAsia="Times New Roman" w:hAnsi="Arial" w:cs="Arial"/>
                <w:sz w:val="16"/>
                <w:szCs w:val="16"/>
              </w:rPr>
              <w:t>2020 - 12</w:t>
            </w:r>
          </w:p>
        </w:tc>
        <w:tc>
          <w:tcPr>
            <w:tcW w:w="854" w:type="dxa"/>
            <w:tcBorders>
              <w:top w:val="single" w:sz="8" w:space="0" w:color="000000"/>
              <w:left w:val="nil"/>
              <w:bottom w:val="single" w:sz="4" w:space="0" w:color="000000"/>
              <w:right w:val="single" w:sz="4" w:space="0" w:color="000000"/>
            </w:tcBorders>
            <w:shd w:val="clear" w:color="E2EFDA" w:fill="E2EFDA"/>
            <w:noWrap/>
            <w:hideMark/>
          </w:tcPr>
          <w:p w14:paraId="68B722ED" w14:textId="77777777" w:rsidR="002A7E48" w:rsidRPr="002A7E48" w:rsidRDefault="002A7E48" w:rsidP="002A7E48">
            <w:pPr>
              <w:spacing w:after="0" w:line="260" w:lineRule="exact"/>
              <w:rPr>
                <w:rFonts w:ascii="Arial" w:eastAsia="Times New Roman" w:hAnsi="Arial" w:cs="Arial"/>
                <w:sz w:val="16"/>
                <w:szCs w:val="16"/>
              </w:rPr>
            </w:pPr>
            <w:r w:rsidRPr="002A7E48">
              <w:rPr>
                <w:rFonts w:ascii="Arial" w:eastAsia="Times New Roman" w:hAnsi="Arial" w:cs="Arial"/>
                <w:sz w:val="16"/>
                <w:szCs w:val="16"/>
              </w:rPr>
              <w:t>2021 - 1</w:t>
            </w:r>
          </w:p>
        </w:tc>
        <w:tc>
          <w:tcPr>
            <w:tcW w:w="920" w:type="dxa"/>
            <w:gridSpan w:val="2"/>
            <w:tcBorders>
              <w:top w:val="single" w:sz="8" w:space="0" w:color="000000"/>
              <w:left w:val="nil"/>
              <w:bottom w:val="single" w:sz="4" w:space="0" w:color="000000"/>
              <w:right w:val="single" w:sz="4" w:space="0" w:color="000000"/>
            </w:tcBorders>
            <w:shd w:val="clear" w:color="E2EFDA" w:fill="E2EFDA"/>
            <w:noWrap/>
            <w:hideMark/>
          </w:tcPr>
          <w:p w14:paraId="54C3D5E8" w14:textId="77777777" w:rsidR="002A7E48" w:rsidRPr="002A7E48" w:rsidRDefault="002A7E48" w:rsidP="002A7E48">
            <w:pPr>
              <w:spacing w:after="0" w:line="260" w:lineRule="exact"/>
              <w:rPr>
                <w:rFonts w:ascii="Arial" w:eastAsia="Times New Roman" w:hAnsi="Arial" w:cs="Arial"/>
                <w:sz w:val="16"/>
                <w:szCs w:val="16"/>
              </w:rPr>
            </w:pPr>
            <w:r w:rsidRPr="002A7E48">
              <w:rPr>
                <w:rFonts w:ascii="Arial" w:eastAsia="Times New Roman" w:hAnsi="Arial" w:cs="Arial"/>
                <w:sz w:val="16"/>
                <w:szCs w:val="16"/>
              </w:rPr>
              <w:t>2021 - 2</w:t>
            </w:r>
          </w:p>
        </w:tc>
        <w:tc>
          <w:tcPr>
            <w:tcW w:w="844" w:type="dxa"/>
            <w:gridSpan w:val="2"/>
            <w:tcBorders>
              <w:top w:val="single" w:sz="8" w:space="0" w:color="000000"/>
              <w:left w:val="nil"/>
              <w:bottom w:val="single" w:sz="4" w:space="0" w:color="000000"/>
              <w:right w:val="single" w:sz="4" w:space="0" w:color="000000"/>
            </w:tcBorders>
            <w:shd w:val="clear" w:color="E2EFDA" w:fill="E2EFDA"/>
            <w:noWrap/>
            <w:hideMark/>
          </w:tcPr>
          <w:p w14:paraId="77F21020" w14:textId="77777777" w:rsidR="002A7E48" w:rsidRPr="002A7E48" w:rsidRDefault="002A7E48" w:rsidP="002A7E48">
            <w:pPr>
              <w:spacing w:after="0" w:line="260" w:lineRule="exact"/>
              <w:rPr>
                <w:rFonts w:ascii="Arial" w:eastAsia="Times New Roman" w:hAnsi="Arial" w:cs="Arial"/>
                <w:sz w:val="16"/>
                <w:szCs w:val="16"/>
              </w:rPr>
            </w:pPr>
            <w:r w:rsidRPr="002A7E48">
              <w:rPr>
                <w:rFonts w:ascii="Arial" w:eastAsia="Times New Roman" w:hAnsi="Arial" w:cs="Arial"/>
                <w:sz w:val="16"/>
                <w:szCs w:val="16"/>
              </w:rPr>
              <w:t>2021 - 3</w:t>
            </w:r>
          </w:p>
        </w:tc>
        <w:tc>
          <w:tcPr>
            <w:tcW w:w="768" w:type="dxa"/>
            <w:gridSpan w:val="2"/>
            <w:tcBorders>
              <w:top w:val="single" w:sz="8" w:space="0" w:color="000000"/>
              <w:left w:val="nil"/>
              <w:bottom w:val="single" w:sz="4" w:space="0" w:color="000000"/>
              <w:right w:val="single" w:sz="4" w:space="0" w:color="000000"/>
            </w:tcBorders>
            <w:shd w:val="clear" w:color="E2EFDA" w:fill="E2EFDA"/>
            <w:noWrap/>
            <w:hideMark/>
          </w:tcPr>
          <w:p w14:paraId="1C619C94" w14:textId="77777777" w:rsidR="002A7E48" w:rsidRPr="002A7E48" w:rsidRDefault="002A7E48" w:rsidP="002A7E48">
            <w:pPr>
              <w:spacing w:after="0" w:line="260" w:lineRule="exact"/>
              <w:rPr>
                <w:rFonts w:ascii="Arial" w:eastAsia="Times New Roman" w:hAnsi="Arial" w:cs="Arial"/>
                <w:sz w:val="16"/>
                <w:szCs w:val="16"/>
              </w:rPr>
            </w:pPr>
            <w:r w:rsidRPr="002A7E48">
              <w:rPr>
                <w:rFonts w:ascii="Arial" w:eastAsia="Times New Roman" w:hAnsi="Arial" w:cs="Arial"/>
                <w:sz w:val="16"/>
                <w:szCs w:val="16"/>
              </w:rPr>
              <w:t>2021 - 4</w:t>
            </w:r>
          </w:p>
        </w:tc>
        <w:tc>
          <w:tcPr>
            <w:tcW w:w="899" w:type="dxa"/>
            <w:gridSpan w:val="2"/>
            <w:tcBorders>
              <w:top w:val="single" w:sz="8" w:space="0" w:color="000000"/>
              <w:left w:val="nil"/>
              <w:bottom w:val="single" w:sz="4" w:space="0" w:color="000000"/>
              <w:right w:val="single" w:sz="4" w:space="0" w:color="000000"/>
            </w:tcBorders>
            <w:shd w:val="clear" w:color="E2EFDA" w:fill="E2EFDA"/>
            <w:noWrap/>
            <w:hideMark/>
          </w:tcPr>
          <w:p w14:paraId="67C0A478" w14:textId="77777777" w:rsidR="002A7E48" w:rsidRPr="002A7E48" w:rsidRDefault="002A7E48" w:rsidP="002A7E48">
            <w:pPr>
              <w:spacing w:after="0" w:line="260" w:lineRule="exact"/>
              <w:rPr>
                <w:rFonts w:ascii="Arial" w:eastAsia="Times New Roman" w:hAnsi="Arial" w:cs="Arial"/>
                <w:sz w:val="16"/>
                <w:szCs w:val="16"/>
              </w:rPr>
            </w:pPr>
            <w:r w:rsidRPr="002A7E48">
              <w:rPr>
                <w:rFonts w:ascii="Arial" w:eastAsia="Times New Roman" w:hAnsi="Arial" w:cs="Arial"/>
                <w:sz w:val="16"/>
                <w:szCs w:val="16"/>
              </w:rPr>
              <w:t>2021 - 5</w:t>
            </w:r>
          </w:p>
        </w:tc>
        <w:tc>
          <w:tcPr>
            <w:tcW w:w="785" w:type="dxa"/>
            <w:gridSpan w:val="2"/>
            <w:tcBorders>
              <w:top w:val="single" w:sz="8" w:space="0" w:color="000000"/>
              <w:left w:val="nil"/>
              <w:bottom w:val="single" w:sz="4" w:space="0" w:color="000000"/>
              <w:right w:val="single" w:sz="4" w:space="0" w:color="000000"/>
            </w:tcBorders>
            <w:shd w:val="clear" w:color="E2EFDA" w:fill="E2EFDA"/>
            <w:noWrap/>
            <w:hideMark/>
          </w:tcPr>
          <w:p w14:paraId="64726D1A" w14:textId="77777777" w:rsidR="002A7E48" w:rsidRPr="002A7E48" w:rsidRDefault="002A7E48" w:rsidP="002A7E48">
            <w:pPr>
              <w:spacing w:after="0" w:line="260" w:lineRule="exact"/>
              <w:rPr>
                <w:rFonts w:ascii="Arial" w:eastAsia="Times New Roman" w:hAnsi="Arial" w:cs="Arial"/>
                <w:sz w:val="16"/>
                <w:szCs w:val="16"/>
              </w:rPr>
            </w:pPr>
            <w:r w:rsidRPr="002A7E48">
              <w:rPr>
                <w:rFonts w:ascii="Arial" w:eastAsia="Times New Roman" w:hAnsi="Arial" w:cs="Arial"/>
                <w:sz w:val="16"/>
                <w:szCs w:val="16"/>
              </w:rPr>
              <w:t>2021 - 6</w:t>
            </w:r>
          </w:p>
        </w:tc>
        <w:tc>
          <w:tcPr>
            <w:tcW w:w="851" w:type="dxa"/>
            <w:gridSpan w:val="2"/>
            <w:tcBorders>
              <w:top w:val="single" w:sz="8" w:space="0" w:color="000000"/>
              <w:left w:val="nil"/>
              <w:bottom w:val="single" w:sz="4" w:space="0" w:color="000000"/>
              <w:right w:val="single" w:sz="4" w:space="0" w:color="000000"/>
            </w:tcBorders>
            <w:shd w:val="clear" w:color="E2EFDA" w:fill="E2EFDA"/>
            <w:noWrap/>
            <w:hideMark/>
          </w:tcPr>
          <w:p w14:paraId="14D072A9" w14:textId="77777777" w:rsidR="002A7E48" w:rsidRPr="002A7E48" w:rsidRDefault="002A7E48" w:rsidP="002A7E48">
            <w:pPr>
              <w:spacing w:after="0" w:line="260" w:lineRule="exact"/>
              <w:rPr>
                <w:rFonts w:ascii="Arial" w:eastAsia="Times New Roman" w:hAnsi="Arial" w:cs="Arial"/>
                <w:sz w:val="16"/>
                <w:szCs w:val="16"/>
              </w:rPr>
            </w:pPr>
            <w:r w:rsidRPr="002A7E48">
              <w:rPr>
                <w:rFonts w:ascii="Arial" w:eastAsia="Times New Roman" w:hAnsi="Arial" w:cs="Arial"/>
                <w:sz w:val="16"/>
                <w:szCs w:val="16"/>
              </w:rPr>
              <w:t>2021 - 7</w:t>
            </w:r>
          </w:p>
        </w:tc>
        <w:tc>
          <w:tcPr>
            <w:tcW w:w="781" w:type="dxa"/>
            <w:gridSpan w:val="2"/>
            <w:tcBorders>
              <w:top w:val="single" w:sz="8" w:space="0" w:color="000000"/>
              <w:left w:val="nil"/>
              <w:bottom w:val="single" w:sz="4" w:space="0" w:color="000000"/>
              <w:right w:val="single" w:sz="4" w:space="0" w:color="000000"/>
            </w:tcBorders>
            <w:shd w:val="clear" w:color="E2EFDA" w:fill="E2EFDA"/>
            <w:noWrap/>
            <w:hideMark/>
          </w:tcPr>
          <w:p w14:paraId="1BCB8CAC" w14:textId="77777777" w:rsidR="002A7E48" w:rsidRPr="002A7E48" w:rsidRDefault="002A7E48" w:rsidP="002A7E48">
            <w:pPr>
              <w:spacing w:after="0" w:line="260" w:lineRule="exact"/>
              <w:rPr>
                <w:rFonts w:ascii="Arial" w:eastAsia="Times New Roman" w:hAnsi="Arial" w:cs="Arial"/>
                <w:sz w:val="16"/>
                <w:szCs w:val="16"/>
              </w:rPr>
            </w:pPr>
            <w:r w:rsidRPr="002A7E48">
              <w:rPr>
                <w:rFonts w:ascii="Arial" w:eastAsia="Times New Roman" w:hAnsi="Arial" w:cs="Arial"/>
                <w:sz w:val="16"/>
                <w:szCs w:val="16"/>
              </w:rPr>
              <w:t>2021 - 8</w:t>
            </w:r>
          </w:p>
        </w:tc>
        <w:tc>
          <w:tcPr>
            <w:tcW w:w="844" w:type="dxa"/>
            <w:gridSpan w:val="2"/>
            <w:tcBorders>
              <w:top w:val="single" w:sz="8" w:space="0" w:color="000000"/>
              <w:left w:val="nil"/>
              <w:bottom w:val="single" w:sz="4" w:space="0" w:color="000000"/>
              <w:right w:val="single" w:sz="4" w:space="0" w:color="000000"/>
            </w:tcBorders>
            <w:shd w:val="clear" w:color="E2EFDA" w:fill="E2EFDA"/>
            <w:noWrap/>
            <w:hideMark/>
          </w:tcPr>
          <w:p w14:paraId="6AE05CB4" w14:textId="77777777" w:rsidR="002A7E48" w:rsidRPr="002A7E48" w:rsidRDefault="002A7E48" w:rsidP="002A7E48">
            <w:pPr>
              <w:spacing w:after="0" w:line="260" w:lineRule="exact"/>
              <w:rPr>
                <w:rFonts w:ascii="Arial" w:eastAsia="Times New Roman" w:hAnsi="Arial" w:cs="Arial"/>
                <w:sz w:val="16"/>
                <w:szCs w:val="16"/>
              </w:rPr>
            </w:pPr>
            <w:r w:rsidRPr="002A7E48">
              <w:rPr>
                <w:rFonts w:ascii="Arial" w:eastAsia="Times New Roman" w:hAnsi="Arial" w:cs="Arial"/>
                <w:sz w:val="16"/>
                <w:szCs w:val="16"/>
              </w:rPr>
              <w:t>2021 - 9</w:t>
            </w:r>
          </w:p>
        </w:tc>
        <w:tc>
          <w:tcPr>
            <w:tcW w:w="851" w:type="dxa"/>
            <w:gridSpan w:val="2"/>
            <w:tcBorders>
              <w:top w:val="single" w:sz="8" w:space="0" w:color="000000"/>
              <w:left w:val="nil"/>
              <w:bottom w:val="single" w:sz="4" w:space="0" w:color="000000"/>
              <w:right w:val="single" w:sz="4" w:space="0" w:color="000000"/>
            </w:tcBorders>
            <w:shd w:val="clear" w:color="E2EFDA" w:fill="E2EFDA"/>
            <w:noWrap/>
            <w:vAlign w:val="center"/>
            <w:hideMark/>
          </w:tcPr>
          <w:p w14:paraId="3C514466" w14:textId="77777777" w:rsidR="002A7E48" w:rsidRPr="002A7E48" w:rsidRDefault="002A7E48" w:rsidP="002A7E48">
            <w:pPr>
              <w:spacing w:after="0"/>
              <w:jc w:val="both"/>
              <w:rPr>
                <w:rFonts w:ascii="Arial" w:eastAsia="Calibri" w:hAnsi="Arial" w:cs="Arial"/>
                <w:b/>
                <w:bCs/>
                <w:noProof/>
                <w:sz w:val="16"/>
                <w:szCs w:val="16"/>
                <w:lang w:eastAsia="sl-SI"/>
              </w:rPr>
            </w:pPr>
            <w:r w:rsidRPr="002A7E48">
              <w:rPr>
                <w:rFonts w:ascii="Arial" w:eastAsia="Calibri" w:hAnsi="Arial" w:cs="Arial"/>
                <w:b/>
                <w:bCs/>
                <w:noProof/>
                <w:sz w:val="16"/>
                <w:szCs w:val="16"/>
                <w:lang w:eastAsia="sl-SI"/>
              </w:rPr>
              <w:t>2021 - 10</w:t>
            </w:r>
          </w:p>
        </w:tc>
        <w:tc>
          <w:tcPr>
            <w:tcW w:w="851" w:type="dxa"/>
            <w:gridSpan w:val="2"/>
            <w:tcBorders>
              <w:top w:val="single" w:sz="8" w:space="0" w:color="000000"/>
              <w:left w:val="nil"/>
              <w:bottom w:val="single" w:sz="4" w:space="0" w:color="000000"/>
              <w:right w:val="single" w:sz="4" w:space="0" w:color="000000"/>
            </w:tcBorders>
            <w:shd w:val="clear" w:color="E2EFDA" w:fill="E2EFDA"/>
            <w:noWrap/>
            <w:vAlign w:val="center"/>
            <w:hideMark/>
          </w:tcPr>
          <w:p w14:paraId="14B9E32F" w14:textId="77777777" w:rsidR="002A7E48" w:rsidRPr="002A7E48" w:rsidRDefault="002A7E48" w:rsidP="002A7E48">
            <w:pPr>
              <w:spacing w:after="0"/>
              <w:jc w:val="both"/>
              <w:rPr>
                <w:rFonts w:ascii="Arial" w:eastAsia="Calibri" w:hAnsi="Arial" w:cs="Arial"/>
                <w:b/>
                <w:bCs/>
                <w:noProof/>
                <w:sz w:val="16"/>
                <w:szCs w:val="16"/>
                <w:lang w:eastAsia="sl-SI"/>
              </w:rPr>
            </w:pPr>
            <w:r w:rsidRPr="002A7E48">
              <w:rPr>
                <w:rFonts w:ascii="Arial" w:eastAsia="Calibri" w:hAnsi="Arial" w:cs="Arial"/>
                <w:b/>
                <w:bCs/>
                <w:noProof/>
                <w:sz w:val="16"/>
                <w:szCs w:val="16"/>
                <w:lang w:eastAsia="sl-SI"/>
              </w:rPr>
              <w:t>2021 - 11</w:t>
            </w:r>
          </w:p>
        </w:tc>
      </w:tr>
      <w:tr w:rsidR="002A7E48" w:rsidRPr="002A7E48" w14:paraId="33127A39" w14:textId="77777777" w:rsidTr="0042240D">
        <w:trPr>
          <w:gridAfter w:val="1"/>
          <w:wAfter w:w="7" w:type="dxa"/>
          <w:trHeight w:val="370"/>
        </w:trPr>
        <w:tc>
          <w:tcPr>
            <w:tcW w:w="921" w:type="dxa"/>
            <w:tcBorders>
              <w:top w:val="nil"/>
              <w:left w:val="single" w:sz="8" w:space="0" w:color="000000"/>
              <w:bottom w:val="single" w:sz="8" w:space="0" w:color="000000"/>
              <w:right w:val="single" w:sz="4" w:space="0" w:color="000000"/>
            </w:tcBorders>
            <w:shd w:val="clear" w:color="FFE699" w:fill="FFE699"/>
            <w:hideMark/>
          </w:tcPr>
          <w:p w14:paraId="425C2DBE" w14:textId="77777777" w:rsidR="002A7E48" w:rsidRPr="002A7E48" w:rsidRDefault="002A7E48" w:rsidP="002A7E48">
            <w:pPr>
              <w:spacing w:after="0" w:line="260" w:lineRule="exact"/>
              <w:rPr>
                <w:rFonts w:ascii="Arial" w:eastAsia="Times New Roman" w:hAnsi="Arial" w:cs="Arial"/>
                <w:sz w:val="16"/>
                <w:szCs w:val="16"/>
              </w:rPr>
            </w:pPr>
            <w:r w:rsidRPr="002A7E48">
              <w:rPr>
                <w:rFonts w:ascii="Arial" w:eastAsia="Times New Roman" w:hAnsi="Arial" w:cs="Arial"/>
                <w:sz w:val="16"/>
                <w:szCs w:val="16"/>
              </w:rPr>
              <w:t>Indeks rasti  cen</w:t>
            </w:r>
          </w:p>
        </w:tc>
        <w:tc>
          <w:tcPr>
            <w:tcW w:w="848" w:type="dxa"/>
            <w:tcBorders>
              <w:top w:val="nil"/>
              <w:left w:val="nil"/>
              <w:bottom w:val="single" w:sz="8" w:space="0" w:color="000000"/>
              <w:right w:val="single" w:sz="4" w:space="0" w:color="000000"/>
            </w:tcBorders>
            <w:shd w:val="clear" w:color="FFE699" w:fill="FFE699"/>
            <w:noWrap/>
            <w:hideMark/>
          </w:tcPr>
          <w:p w14:paraId="6553B753" w14:textId="77777777" w:rsidR="002A7E48" w:rsidRPr="002A7E48" w:rsidRDefault="002A7E48" w:rsidP="002A7E48">
            <w:pPr>
              <w:spacing w:after="0" w:line="260" w:lineRule="exact"/>
              <w:rPr>
                <w:rFonts w:ascii="Arial" w:eastAsia="Times New Roman" w:hAnsi="Arial" w:cs="Arial"/>
                <w:sz w:val="16"/>
                <w:szCs w:val="16"/>
              </w:rPr>
            </w:pPr>
            <w:r w:rsidRPr="002A7E48">
              <w:rPr>
                <w:rFonts w:ascii="Arial" w:eastAsia="Times New Roman" w:hAnsi="Arial" w:cs="Arial"/>
                <w:sz w:val="16"/>
                <w:szCs w:val="16"/>
              </w:rPr>
              <w:t>100,00</w:t>
            </w:r>
          </w:p>
        </w:tc>
        <w:tc>
          <w:tcPr>
            <w:tcW w:w="854" w:type="dxa"/>
            <w:tcBorders>
              <w:top w:val="nil"/>
              <w:left w:val="nil"/>
              <w:bottom w:val="single" w:sz="8" w:space="0" w:color="000000"/>
              <w:right w:val="single" w:sz="4" w:space="0" w:color="000000"/>
            </w:tcBorders>
            <w:shd w:val="clear" w:color="FFE699" w:fill="FFE699"/>
            <w:noWrap/>
            <w:hideMark/>
          </w:tcPr>
          <w:p w14:paraId="57ACDB2B" w14:textId="77777777" w:rsidR="002A7E48" w:rsidRPr="002A7E48" w:rsidRDefault="002A7E48" w:rsidP="002A7E48">
            <w:pPr>
              <w:spacing w:after="0" w:line="260" w:lineRule="exact"/>
              <w:rPr>
                <w:rFonts w:ascii="Arial" w:eastAsia="Times New Roman" w:hAnsi="Arial" w:cs="Arial"/>
                <w:sz w:val="16"/>
                <w:szCs w:val="16"/>
              </w:rPr>
            </w:pPr>
            <w:r w:rsidRPr="002A7E48">
              <w:rPr>
                <w:rFonts w:ascii="Arial" w:eastAsia="Times New Roman" w:hAnsi="Arial" w:cs="Arial"/>
                <w:sz w:val="16"/>
                <w:szCs w:val="16"/>
              </w:rPr>
              <w:t>100,21</w:t>
            </w:r>
          </w:p>
        </w:tc>
        <w:tc>
          <w:tcPr>
            <w:tcW w:w="920" w:type="dxa"/>
            <w:gridSpan w:val="2"/>
            <w:tcBorders>
              <w:top w:val="nil"/>
              <w:left w:val="nil"/>
              <w:bottom w:val="single" w:sz="8" w:space="0" w:color="000000"/>
              <w:right w:val="single" w:sz="4" w:space="0" w:color="000000"/>
            </w:tcBorders>
            <w:shd w:val="clear" w:color="FFE699" w:fill="FFE699"/>
            <w:noWrap/>
            <w:hideMark/>
          </w:tcPr>
          <w:p w14:paraId="1D60EFAB" w14:textId="77777777" w:rsidR="002A7E48" w:rsidRPr="002A7E48" w:rsidRDefault="002A7E48" w:rsidP="002A7E48">
            <w:pPr>
              <w:spacing w:after="0" w:line="260" w:lineRule="exact"/>
              <w:rPr>
                <w:rFonts w:ascii="Arial" w:eastAsia="Times New Roman" w:hAnsi="Arial" w:cs="Arial"/>
                <w:sz w:val="16"/>
                <w:szCs w:val="16"/>
              </w:rPr>
            </w:pPr>
            <w:r w:rsidRPr="002A7E48">
              <w:rPr>
                <w:rFonts w:ascii="Arial" w:eastAsia="Times New Roman" w:hAnsi="Arial" w:cs="Arial"/>
                <w:sz w:val="16"/>
                <w:szCs w:val="16"/>
              </w:rPr>
              <w:t>100,69</w:t>
            </w:r>
          </w:p>
        </w:tc>
        <w:tc>
          <w:tcPr>
            <w:tcW w:w="844" w:type="dxa"/>
            <w:gridSpan w:val="2"/>
            <w:tcBorders>
              <w:top w:val="nil"/>
              <w:left w:val="nil"/>
              <w:bottom w:val="single" w:sz="8" w:space="0" w:color="000000"/>
              <w:right w:val="single" w:sz="4" w:space="0" w:color="000000"/>
            </w:tcBorders>
            <w:shd w:val="clear" w:color="FFE699" w:fill="FFE699"/>
            <w:noWrap/>
            <w:hideMark/>
          </w:tcPr>
          <w:p w14:paraId="2AD72DF1" w14:textId="77777777" w:rsidR="002A7E48" w:rsidRPr="002A7E48" w:rsidRDefault="002A7E48" w:rsidP="002A7E48">
            <w:pPr>
              <w:spacing w:after="0" w:line="260" w:lineRule="exact"/>
              <w:rPr>
                <w:rFonts w:ascii="Arial" w:eastAsia="Times New Roman" w:hAnsi="Arial" w:cs="Arial"/>
                <w:sz w:val="16"/>
                <w:szCs w:val="16"/>
              </w:rPr>
            </w:pPr>
            <w:r w:rsidRPr="002A7E48">
              <w:rPr>
                <w:rFonts w:ascii="Arial" w:eastAsia="Times New Roman" w:hAnsi="Arial" w:cs="Arial"/>
                <w:sz w:val="16"/>
                <w:szCs w:val="16"/>
              </w:rPr>
              <w:t>103,25</w:t>
            </w:r>
          </w:p>
        </w:tc>
        <w:tc>
          <w:tcPr>
            <w:tcW w:w="768" w:type="dxa"/>
            <w:gridSpan w:val="2"/>
            <w:tcBorders>
              <w:top w:val="nil"/>
              <w:left w:val="nil"/>
              <w:bottom w:val="single" w:sz="8" w:space="0" w:color="000000"/>
              <w:right w:val="single" w:sz="4" w:space="0" w:color="000000"/>
            </w:tcBorders>
            <w:shd w:val="clear" w:color="FFE699" w:fill="FFE699"/>
            <w:noWrap/>
            <w:hideMark/>
          </w:tcPr>
          <w:p w14:paraId="1C0A4095" w14:textId="77777777" w:rsidR="002A7E48" w:rsidRPr="002A7E48" w:rsidRDefault="002A7E48" w:rsidP="002A7E48">
            <w:pPr>
              <w:spacing w:after="0" w:line="260" w:lineRule="exact"/>
              <w:rPr>
                <w:rFonts w:ascii="Arial" w:eastAsia="Times New Roman" w:hAnsi="Arial" w:cs="Arial"/>
                <w:sz w:val="16"/>
                <w:szCs w:val="16"/>
              </w:rPr>
            </w:pPr>
            <w:r w:rsidRPr="002A7E48">
              <w:rPr>
                <w:rFonts w:ascii="Arial" w:eastAsia="Times New Roman" w:hAnsi="Arial" w:cs="Arial"/>
                <w:sz w:val="16"/>
                <w:szCs w:val="16"/>
              </w:rPr>
              <w:t>103,22</w:t>
            </w:r>
          </w:p>
        </w:tc>
        <w:tc>
          <w:tcPr>
            <w:tcW w:w="899" w:type="dxa"/>
            <w:gridSpan w:val="2"/>
            <w:tcBorders>
              <w:top w:val="nil"/>
              <w:left w:val="nil"/>
              <w:bottom w:val="single" w:sz="8" w:space="0" w:color="000000"/>
              <w:right w:val="single" w:sz="4" w:space="0" w:color="000000"/>
            </w:tcBorders>
            <w:shd w:val="clear" w:color="FFE699" w:fill="FFE699"/>
            <w:noWrap/>
            <w:hideMark/>
          </w:tcPr>
          <w:p w14:paraId="505C5949" w14:textId="77777777" w:rsidR="002A7E48" w:rsidRPr="002A7E48" w:rsidRDefault="002A7E48" w:rsidP="002A7E48">
            <w:pPr>
              <w:spacing w:after="0" w:line="260" w:lineRule="exact"/>
              <w:rPr>
                <w:rFonts w:ascii="Arial" w:eastAsia="Times New Roman" w:hAnsi="Arial" w:cs="Arial"/>
                <w:sz w:val="16"/>
                <w:szCs w:val="16"/>
              </w:rPr>
            </w:pPr>
            <w:r w:rsidRPr="002A7E48">
              <w:rPr>
                <w:rFonts w:ascii="Arial" w:eastAsia="Times New Roman" w:hAnsi="Arial" w:cs="Arial"/>
                <w:sz w:val="16"/>
                <w:szCs w:val="16"/>
              </w:rPr>
              <w:t>104,53</w:t>
            </w:r>
          </w:p>
        </w:tc>
        <w:tc>
          <w:tcPr>
            <w:tcW w:w="785" w:type="dxa"/>
            <w:gridSpan w:val="2"/>
            <w:tcBorders>
              <w:top w:val="nil"/>
              <w:left w:val="nil"/>
              <w:bottom w:val="single" w:sz="8" w:space="0" w:color="000000"/>
              <w:right w:val="single" w:sz="4" w:space="0" w:color="000000"/>
            </w:tcBorders>
            <w:shd w:val="clear" w:color="FFE699" w:fill="FFE699"/>
            <w:noWrap/>
            <w:hideMark/>
          </w:tcPr>
          <w:p w14:paraId="01DA3877" w14:textId="77777777" w:rsidR="002A7E48" w:rsidRPr="002A7E48" w:rsidRDefault="002A7E48" w:rsidP="002A7E48">
            <w:pPr>
              <w:spacing w:after="0" w:line="260" w:lineRule="exact"/>
              <w:rPr>
                <w:rFonts w:ascii="Arial" w:eastAsia="Times New Roman" w:hAnsi="Arial" w:cs="Arial"/>
                <w:sz w:val="16"/>
                <w:szCs w:val="16"/>
              </w:rPr>
            </w:pPr>
            <w:r w:rsidRPr="002A7E48">
              <w:rPr>
                <w:rFonts w:ascii="Arial" w:eastAsia="Times New Roman" w:hAnsi="Arial" w:cs="Arial"/>
                <w:sz w:val="16"/>
                <w:szCs w:val="16"/>
              </w:rPr>
              <w:t>104,98</w:t>
            </w:r>
          </w:p>
        </w:tc>
        <w:tc>
          <w:tcPr>
            <w:tcW w:w="851" w:type="dxa"/>
            <w:gridSpan w:val="2"/>
            <w:tcBorders>
              <w:top w:val="nil"/>
              <w:left w:val="nil"/>
              <w:bottom w:val="single" w:sz="8" w:space="0" w:color="000000"/>
              <w:right w:val="single" w:sz="4" w:space="0" w:color="000000"/>
            </w:tcBorders>
            <w:shd w:val="clear" w:color="FFE699" w:fill="FFE699"/>
            <w:noWrap/>
            <w:hideMark/>
          </w:tcPr>
          <w:p w14:paraId="2BB4D2C5" w14:textId="77777777" w:rsidR="002A7E48" w:rsidRPr="002A7E48" w:rsidRDefault="002A7E48" w:rsidP="002A7E48">
            <w:pPr>
              <w:spacing w:after="0" w:line="260" w:lineRule="exact"/>
              <w:rPr>
                <w:rFonts w:ascii="Arial" w:eastAsia="Times New Roman" w:hAnsi="Arial" w:cs="Arial"/>
                <w:sz w:val="16"/>
                <w:szCs w:val="16"/>
              </w:rPr>
            </w:pPr>
            <w:r w:rsidRPr="002A7E48">
              <w:rPr>
                <w:rFonts w:ascii="Arial" w:eastAsia="Times New Roman" w:hAnsi="Arial" w:cs="Arial"/>
                <w:sz w:val="16"/>
                <w:szCs w:val="16"/>
              </w:rPr>
              <w:t>105,59</w:t>
            </w:r>
          </w:p>
        </w:tc>
        <w:tc>
          <w:tcPr>
            <w:tcW w:w="781" w:type="dxa"/>
            <w:gridSpan w:val="2"/>
            <w:tcBorders>
              <w:top w:val="nil"/>
              <w:left w:val="nil"/>
              <w:bottom w:val="single" w:sz="8" w:space="0" w:color="000000"/>
              <w:right w:val="single" w:sz="4" w:space="0" w:color="000000"/>
            </w:tcBorders>
            <w:shd w:val="clear" w:color="FFE699" w:fill="FFE699"/>
            <w:noWrap/>
            <w:hideMark/>
          </w:tcPr>
          <w:p w14:paraId="5306A97B" w14:textId="77777777" w:rsidR="002A7E48" w:rsidRPr="002A7E48" w:rsidRDefault="002A7E48" w:rsidP="002A7E48">
            <w:pPr>
              <w:spacing w:after="0" w:line="260" w:lineRule="exact"/>
              <w:rPr>
                <w:rFonts w:ascii="Arial" w:eastAsia="Times New Roman" w:hAnsi="Arial" w:cs="Arial"/>
                <w:sz w:val="16"/>
                <w:szCs w:val="16"/>
              </w:rPr>
            </w:pPr>
            <w:r w:rsidRPr="002A7E48">
              <w:rPr>
                <w:rFonts w:ascii="Arial" w:eastAsia="Times New Roman" w:hAnsi="Arial" w:cs="Arial"/>
                <w:sz w:val="16"/>
                <w:szCs w:val="16"/>
              </w:rPr>
              <w:t>105,29</w:t>
            </w:r>
          </w:p>
        </w:tc>
        <w:tc>
          <w:tcPr>
            <w:tcW w:w="844" w:type="dxa"/>
            <w:gridSpan w:val="2"/>
            <w:tcBorders>
              <w:top w:val="nil"/>
              <w:left w:val="nil"/>
              <w:bottom w:val="single" w:sz="8" w:space="0" w:color="000000"/>
              <w:right w:val="single" w:sz="4" w:space="0" w:color="000000"/>
            </w:tcBorders>
            <w:shd w:val="clear" w:color="FFE699" w:fill="FFE699"/>
            <w:noWrap/>
            <w:hideMark/>
          </w:tcPr>
          <w:p w14:paraId="41A0C354" w14:textId="77777777" w:rsidR="002A7E48" w:rsidRPr="002A7E48" w:rsidRDefault="002A7E48" w:rsidP="002A7E48">
            <w:pPr>
              <w:spacing w:after="0" w:line="260" w:lineRule="exact"/>
              <w:rPr>
                <w:rFonts w:ascii="Arial" w:eastAsia="Times New Roman" w:hAnsi="Arial" w:cs="Arial"/>
                <w:sz w:val="16"/>
                <w:szCs w:val="16"/>
              </w:rPr>
            </w:pPr>
            <w:r w:rsidRPr="002A7E48">
              <w:rPr>
                <w:rFonts w:ascii="Arial" w:eastAsia="Times New Roman" w:hAnsi="Arial" w:cs="Arial"/>
                <w:sz w:val="16"/>
                <w:szCs w:val="16"/>
              </w:rPr>
              <w:t>104,79</w:t>
            </w:r>
          </w:p>
        </w:tc>
        <w:tc>
          <w:tcPr>
            <w:tcW w:w="851" w:type="dxa"/>
            <w:gridSpan w:val="2"/>
            <w:tcBorders>
              <w:top w:val="nil"/>
              <w:left w:val="nil"/>
              <w:bottom w:val="single" w:sz="8" w:space="0" w:color="000000"/>
              <w:right w:val="single" w:sz="4" w:space="0" w:color="000000"/>
            </w:tcBorders>
            <w:shd w:val="clear" w:color="FFE699" w:fill="FFE699"/>
            <w:noWrap/>
            <w:vAlign w:val="center"/>
            <w:hideMark/>
          </w:tcPr>
          <w:p w14:paraId="4F7239B8" w14:textId="77777777" w:rsidR="002A7E48" w:rsidRPr="002A7E48" w:rsidRDefault="002A7E48" w:rsidP="002A7E48">
            <w:pPr>
              <w:spacing w:after="0"/>
              <w:jc w:val="both"/>
              <w:rPr>
                <w:rFonts w:ascii="Arial" w:eastAsia="Calibri" w:hAnsi="Arial" w:cs="Arial"/>
                <w:b/>
                <w:bCs/>
                <w:noProof/>
                <w:sz w:val="16"/>
                <w:szCs w:val="16"/>
                <w:lang w:eastAsia="sl-SI"/>
              </w:rPr>
            </w:pPr>
            <w:r w:rsidRPr="002A7E48">
              <w:rPr>
                <w:rFonts w:ascii="Arial" w:eastAsia="Calibri" w:hAnsi="Arial" w:cs="Arial"/>
                <w:b/>
                <w:bCs/>
                <w:noProof/>
                <w:sz w:val="16"/>
                <w:szCs w:val="16"/>
                <w:lang w:eastAsia="sl-SI"/>
              </w:rPr>
              <w:t>105,36</w:t>
            </w:r>
          </w:p>
        </w:tc>
        <w:tc>
          <w:tcPr>
            <w:tcW w:w="851" w:type="dxa"/>
            <w:gridSpan w:val="2"/>
            <w:tcBorders>
              <w:top w:val="nil"/>
              <w:left w:val="nil"/>
              <w:bottom w:val="single" w:sz="8" w:space="0" w:color="000000"/>
              <w:right w:val="single" w:sz="4" w:space="0" w:color="000000"/>
            </w:tcBorders>
            <w:shd w:val="clear" w:color="FFE699" w:fill="FFE699"/>
            <w:noWrap/>
            <w:vAlign w:val="center"/>
            <w:hideMark/>
          </w:tcPr>
          <w:p w14:paraId="6C1D1744" w14:textId="77777777" w:rsidR="002A7E48" w:rsidRPr="002A7E48" w:rsidRDefault="002A7E48" w:rsidP="002A7E48">
            <w:pPr>
              <w:spacing w:after="0"/>
              <w:jc w:val="both"/>
              <w:rPr>
                <w:rFonts w:ascii="Arial" w:eastAsia="Calibri" w:hAnsi="Arial" w:cs="Arial"/>
                <w:b/>
                <w:bCs/>
                <w:noProof/>
                <w:sz w:val="16"/>
                <w:szCs w:val="16"/>
                <w:lang w:eastAsia="sl-SI"/>
              </w:rPr>
            </w:pPr>
            <w:r w:rsidRPr="002A7E48">
              <w:rPr>
                <w:rFonts w:ascii="Arial" w:eastAsia="Calibri" w:hAnsi="Arial" w:cs="Arial"/>
                <w:b/>
                <w:bCs/>
                <w:noProof/>
                <w:sz w:val="16"/>
                <w:szCs w:val="16"/>
                <w:lang w:eastAsia="sl-SI"/>
              </w:rPr>
              <w:t>107,42</w:t>
            </w:r>
          </w:p>
        </w:tc>
      </w:tr>
      <w:tr w:rsidR="002A7E48" w:rsidRPr="002A7E48" w14:paraId="622F6B33" w14:textId="77777777" w:rsidTr="0042240D">
        <w:trPr>
          <w:gridAfter w:val="1"/>
          <w:wAfter w:w="7" w:type="dxa"/>
          <w:trHeight w:val="315"/>
        </w:trPr>
        <w:tc>
          <w:tcPr>
            <w:tcW w:w="921" w:type="dxa"/>
            <w:tcBorders>
              <w:top w:val="nil"/>
              <w:left w:val="nil"/>
              <w:bottom w:val="nil"/>
              <w:right w:val="nil"/>
            </w:tcBorders>
            <w:shd w:val="clear" w:color="auto" w:fill="auto"/>
            <w:noWrap/>
            <w:hideMark/>
          </w:tcPr>
          <w:p w14:paraId="66E7B38C" w14:textId="77777777" w:rsidR="002A7E48" w:rsidRPr="002A7E48" w:rsidRDefault="002A7E48" w:rsidP="002A7E48">
            <w:pPr>
              <w:spacing w:after="0" w:line="260" w:lineRule="exact"/>
              <w:rPr>
                <w:rFonts w:ascii="Arial" w:eastAsia="Times New Roman" w:hAnsi="Arial" w:cs="Arial"/>
                <w:sz w:val="16"/>
                <w:szCs w:val="16"/>
              </w:rPr>
            </w:pPr>
          </w:p>
        </w:tc>
        <w:tc>
          <w:tcPr>
            <w:tcW w:w="848" w:type="dxa"/>
            <w:tcBorders>
              <w:top w:val="nil"/>
              <w:left w:val="nil"/>
              <w:bottom w:val="nil"/>
              <w:right w:val="nil"/>
            </w:tcBorders>
            <w:shd w:val="clear" w:color="auto" w:fill="auto"/>
            <w:noWrap/>
            <w:hideMark/>
          </w:tcPr>
          <w:p w14:paraId="61DFEFB4" w14:textId="77777777" w:rsidR="002A7E48" w:rsidRPr="002A7E48" w:rsidRDefault="002A7E48" w:rsidP="002A7E48">
            <w:pPr>
              <w:spacing w:after="0" w:line="260" w:lineRule="exact"/>
              <w:rPr>
                <w:rFonts w:ascii="Arial" w:eastAsia="Times New Roman" w:hAnsi="Arial" w:cs="Arial"/>
                <w:sz w:val="16"/>
                <w:szCs w:val="16"/>
              </w:rPr>
            </w:pPr>
          </w:p>
        </w:tc>
        <w:tc>
          <w:tcPr>
            <w:tcW w:w="854" w:type="dxa"/>
            <w:tcBorders>
              <w:top w:val="nil"/>
              <w:left w:val="nil"/>
              <w:bottom w:val="nil"/>
              <w:right w:val="nil"/>
            </w:tcBorders>
            <w:shd w:val="clear" w:color="auto" w:fill="auto"/>
            <w:noWrap/>
            <w:hideMark/>
          </w:tcPr>
          <w:p w14:paraId="66FBB12B" w14:textId="77777777" w:rsidR="002A7E48" w:rsidRPr="002A7E48" w:rsidRDefault="002A7E48" w:rsidP="002A7E48">
            <w:pPr>
              <w:spacing w:after="0" w:line="260" w:lineRule="exact"/>
              <w:rPr>
                <w:rFonts w:ascii="Arial" w:eastAsia="Times New Roman" w:hAnsi="Arial" w:cs="Arial"/>
                <w:sz w:val="16"/>
                <w:szCs w:val="16"/>
              </w:rPr>
            </w:pPr>
          </w:p>
        </w:tc>
        <w:tc>
          <w:tcPr>
            <w:tcW w:w="920" w:type="dxa"/>
            <w:gridSpan w:val="2"/>
            <w:tcBorders>
              <w:top w:val="nil"/>
              <w:left w:val="nil"/>
              <w:bottom w:val="nil"/>
              <w:right w:val="nil"/>
            </w:tcBorders>
            <w:shd w:val="clear" w:color="auto" w:fill="auto"/>
            <w:noWrap/>
            <w:hideMark/>
          </w:tcPr>
          <w:p w14:paraId="60C8A439" w14:textId="77777777" w:rsidR="002A7E48" w:rsidRPr="002A7E48" w:rsidRDefault="002A7E48" w:rsidP="002A7E48">
            <w:pPr>
              <w:spacing w:after="0" w:line="260" w:lineRule="exact"/>
              <w:rPr>
                <w:rFonts w:ascii="Arial" w:eastAsia="Times New Roman" w:hAnsi="Arial" w:cs="Arial"/>
                <w:sz w:val="16"/>
                <w:szCs w:val="16"/>
              </w:rPr>
            </w:pPr>
          </w:p>
        </w:tc>
        <w:tc>
          <w:tcPr>
            <w:tcW w:w="844" w:type="dxa"/>
            <w:gridSpan w:val="2"/>
            <w:tcBorders>
              <w:top w:val="nil"/>
              <w:left w:val="nil"/>
              <w:bottom w:val="nil"/>
              <w:right w:val="nil"/>
            </w:tcBorders>
            <w:shd w:val="clear" w:color="auto" w:fill="auto"/>
            <w:noWrap/>
            <w:hideMark/>
          </w:tcPr>
          <w:p w14:paraId="0C51043D" w14:textId="77777777" w:rsidR="002A7E48" w:rsidRPr="002A7E48" w:rsidRDefault="002A7E48" w:rsidP="002A7E48">
            <w:pPr>
              <w:spacing w:after="0" w:line="260" w:lineRule="exact"/>
              <w:rPr>
                <w:rFonts w:ascii="Arial" w:eastAsia="Times New Roman" w:hAnsi="Arial" w:cs="Arial"/>
                <w:sz w:val="16"/>
                <w:szCs w:val="16"/>
              </w:rPr>
            </w:pPr>
          </w:p>
        </w:tc>
        <w:tc>
          <w:tcPr>
            <w:tcW w:w="768" w:type="dxa"/>
            <w:gridSpan w:val="2"/>
            <w:tcBorders>
              <w:top w:val="nil"/>
              <w:left w:val="nil"/>
              <w:bottom w:val="nil"/>
              <w:right w:val="nil"/>
            </w:tcBorders>
            <w:shd w:val="clear" w:color="auto" w:fill="auto"/>
            <w:noWrap/>
            <w:hideMark/>
          </w:tcPr>
          <w:p w14:paraId="1B1C505C" w14:textId="77777777" w:rsidR="002A7E48" w:rsidRPr="002A7E48" w:rsidRDefault="002A7E48" w:rsidP="002A7E48">
            <w:pPr>
              <w:spacing w:after="0" w:line="260" w:lineRule="exact"/>
              <w:rPr>
                <w:rFonts w:ascii="Arial" w:eastAsia="Times New Roman" w:hAnsi="Arial" w:cs="Arial"/>
                <w:sz w:val="16"/>
                <w:szCs w:val="16"/>
              </w:rPr>
            </w:pPr>
          </w:p>
        </w:tc>
        <w:tc>
          <w:tcPr>
            <w:tcW w:w="899" w:type="dxa"/>
            <w:gridSpan w:val="2"/>
            <w:tcBorders>
              <w:top w:val="nil"/>
              <w:left w:val="nil"/>
              <w:bottom w:val="nil"/>
              <w:right w:val="nil"/>
            </w:tcBorders>
            <w:shd w:val="clear" w:color="auto" w:fill="auto"/>
            <w:noWrap/>
            <w:hideMark/>
          </w:tcPr>
          <w:p w14:paraId="284395BE" w14:textId="77777777" w:rsidR="002A7E48" w:rsidRPr="002A7E48" w:rsidRDefault="002A7E48" w:rsidP="002A7E48">
            <w:pPr>
              <w:spacing w:after="0" w:line="260" w:lineRule="exact"/>
              <w:rPr>
                <w:rFonts w:ascii="Arial" w:eastAsia="Times New Roman" w:hAnsi="Arial" w:cs="Arial"/>
                <w:sz w:val="16"/>
                <w:szCs w:val="16"/>
              </w:rPr>
            </w:pPr>
          </w:p>
        </w:tc>
        <w:tc>
          <w:tcPr>
            <w:tcW w:w="785" w:type="dxa"/>
            <w:gridSpan w:val="2"/>
            <w:tcBorders>
              <w:top w:val="nil"/>
              <w:left w:val="nil"/>
              <w:bottom w:val="nil"/>
              <w:right w:val="nil"/>
            </w:tcBorders>
            <w:shd w:val="clear" w:color="auto" w:fill="auto"/>
            <w:noWrap/>
            <w:hideMark/>
          </w:tcPr>
          <w:p w14:paraId="43D455F7" w14:textId="77777777" w:rsidR="002A7E48" w:rsidRPr="002A7E48" w:rsidRDefault="002A7E48" w:rsidP="002A7E48">
            <w:pPr>
              <w:spacing w:after="0" w:line="260" w:lineRule="exact"/>
              <w:rPr>
                <w:rFonts w:ascii="Arial" w:eastAsia="Times New Roman" w:hAnsi="Arial" w:cs="Arial"/>
                <w:sz w:val="16"/>
                <w:szCs w:val="16"/>
              </w:rPr>
            </w:pPr>
          </w:p>
        </w:tc>
        <w:tc>
          <w:tcPr>
            <w:tcW w:w="851" w:type="dxa"/>
            <w:gridSpan w:val="2"/>
            <w:tcBorders>
              <w:top w:val="nil"/>
              <w:left w:val="nil"/>
              <w:bottom w:val="nil"/>
              <w:right w:val="nil"/>
            </w:tcBorders>
            <w:shd w:val="clear" w:color="auto" w:fill="auto"/>
            <w:noWrap/>
            <w:hideMark/>
          </w:tcPr>
          <w:p w14:paraId="43F2CA8F" w14:textId="77777777" w:rsidR="002A7E48" w:rsidRPr="002A7E48" w:rsidRDefault="002A7E48" w:rsidP="002A7E48">
            <w:pPr>
              <w:spacing w:after="0" w:line="260" w:lineRule="exact"/>
              <w:rPr>
                <w:rFonts w:ascii="Arial" w:eastAsia="Times New Roman" w:hAnsi="Arial" w:cs="Arial"/>
                <w:sz w:val="16"/>
                <w:szCs w:val="16"/>
              </w:rPr>
            </w:pPr>
          </w:p>
        </w:tc>
        <w:tc>
          <w:tcPr>
            <w:tcW w:w="781" w:type="dxa"/>
            <w:gridSpan w:val="2"/>
            <w:tcBorders>
              <w:top w:val="nil"/>
              <w:left w:val="nil"/>
              <w:bottom w:val="nil"/>
              <w:right w:val="nil"/>
            </w:tcBorders>
            <w:shd w:val="clear" w:color="auto" w:fill="auto"/>
            <w:noWrap/>
            <w:hideMark/>
          </w:tcPr>
          <w:p w14:paraId="5451A405" w14:textId="77777777" w:rsidR="002A7E48" w:rsidRPr="002A7E48" w:rsidRDefault="002A7E48" w:rsidP="002A7E48">
            <w:pPr>
              <w:spacing w:after="0" w:line="260" w:lineRule="exact"/>
              <w:rPr>
                <w:rFonts w:ascii="Arial" w:eastAsia="Times New Roman" w:hAnsi="Arial" w:cs="Arial"/>
                <w:sz w:val="16"/>
                <w:szCs w:val="16"/>
              </w:rPr>
            </w:pPr>
          </w:p>
        </w:tc>
        <w:tc>
          <w:tcPr>
            <w:tcW w:w="844" w:type="dxa"/>
            <w:gridSpan w:val="2"/>
            <w:tcBorders>
              <w:top w:val="nil"/>
              <w:left w:val="nil"/>
              <w:bottom w:val="nil"/>
              <w:right w:val="nil"/>
            </w:tcBorders>
            <w:shd w:val="clear" w:color="auto" w:fill="auto"/>
            <w:noWrap/>
            <w:hideMark/>
          </w:tcPr>
          <w:p w14:paraId="5B0E2603" w14:textId="77777777" w:rsidR="002A7E48" w:rsidRPr="002A7E48" w:rsidRDefault="002A7E48" w:rsidP="002A7E48">
            <w:pPr>
              <w:spacing w:after="0" w:line="260" w:lineRule="exact"/>
              <w:rPr>
                <w:rFonts w:ascii="Arial" w:eastAsia="Times New Roman" w:hAnsi="Arial" w:cs="Arial"/>
                <w:sz w:val="16"/>
                <w:szCs w:val="16"/>
              </w:rPr>
            </w:pPr>
          </w:p>
        </w:tc>
        <w:tc>
          <w:tcPr>
            <w:tcW w:w="851" w:type="dxa"/>
            <w:gridSpan w:val="2"/>
            <w:tcBorders>
              <w:top w:val="nil"/>
              <w:left w:val="nil"/>
              <w:bottom w:val="nil"/>
              <w:right w:val="nil"/>
            </w:tcBorders>
            <w:shd w:val="clear" w:color="auto" w:fill="auto"/>
            <w:noWrap/>
            <w:vAlign w:val="bottom"/>
            <w:hideMark/>
          </w:tcPr>
          <w:p w14:paraId="48D524E5" w14:textId="77777777" w:rsidR="002A7E48" w:rsidRPr="002A7E48" w:rsidRDefault="002A7E48" w:rsidP="002A7E48">
            <w:pPr>
              <w:spacing w:after="0"/>
              <w:jc w:val="both"/>
              <w:rPr>
                <w:rFonts w:ascii="Arial" w:eastAsia="Calibri" w:hAnsi="Arial" w:cs="Arial"/>
                <w:noProof/>
                <w:sz w:val="16"/>
                <w:szCs w:val="16"/>
                <w:lang w:eastAsia="sl-SI"/>
              </w:rPr>
            </w:pPr>
          </w:p>
        </w:tc>
        <w:tc>
          <w:tcPr>
            <w:tcW w:w="851" w:type="dxa"/>
            <w:gridSpan w:val="2"/>
            <w:tcBorders>
              <w:top w:val="nil"/>
              <w:left w:val="nil"/>
              <w:bottom w:val="nil"/>
              <w:right w:val="nil"/>
            </w:tcBorders>
            <w:shd w:val="clear" w:color="auto" w:fill="auto"/>
            <w:noWrap/>
            <w:vAlign w:val="bottom"/>
            <w:hideMark/>
          </w:tcPr>
          <w:p w14:paraId="33F53CEF" w14:textId="77777777" w:rsidR="002A7E48" w:rsidRPr="002A7E48" w:rsidRDefault="002A7E48" w:rsidP="002A7E48">
            <w:pPr>
              <w:spacing w:after="0"/>
              <w:jc w:val="both"/>
              <w:rPr>
                <w:rFonts w:ascii="Arial" w:eastAsia="Calibri" w:hAnsi="Arial" w:cs="Arial"/>
                <w:noProof/>
                <w:sz w:val="16"/>
                <w:szCs w:val="16"/>
                <w:lang w:eastAsia="sl-SI"/>
              </w:rPr>
            </w:pPr>
          </w:p>
        </w:tc>
      </w:tr>
      <w:tr w:rsidR="002A7E48" w:rsidRPr="002A7E48" w14:paraId="01D8BE26" w14:textId="77777777" w:rsidTr="0042240D">
        <w:trPr>
          <w:gridAfter w:val="1"/>
          <w:wAfter w:w="7" w:type="dxa"/>
          <w:trHeight w:val="343"/>
        </w:trPr>
        <w:tc>
          <w:tcPr>
            <w:tcW w:w="921" w:type="dxa"/>
            <w:tcBorders>
              <w:top w:val="single" w:sz="8" w:space="0" w:color="000000"/>
              <w:left w:val="single" w:sz="8" w:space="0" w:color="000000"/>
              <w:bottom w:val="single" w:sz="4" w:space="0" w:color="000000"/>
              <w:right w:val="single" w:sz="4" w:space="0" w:color="000000"/>
            </w:tcBorders>
            <w:shd w:val="clear" w:color="E2EFDA" w:fill="E2EFDA"/>
            <w:hideMark/>
          </w:tcPr>
          <w:p w14:paraId="50305D37" w14:textId="77777777" w:rsidR="002A7E48" w:rsidRPr="002A7E48" w:rsidRDefault="002A7E48" w:rsidP="002A7E48">
            <w:pPr>
              <w:spacing w:after="0" w:line="260" w:lineRule="exact"/>
              <w:rPr>
                <w:rFonts w:ascii="Arial" w:eastAsia="Times New Roman" w:hAnsi="Arial" w:cs="Arial"/>
                <w:sz w:val="16"/>
                <w:szCs w:val="16"/>
              </w:rPr>
            </w:pPr>
            <w:r w:rsidRPr="002A7E48">
              <w:rPr>
                <w:rFonts w:ascii="Arial" w:eastAsia="Times New Roman" w:hAnsi="Arial" w:cs="Arial"/>
                <w:sz w:val="16"/>
                <w:szCs w:val="16"/>
              </w:rPr>
              <w:t>Leto/Mesec</w:t>
            </w:r>
          </w:p>
        </w:tc>
        <w:tc>
          <w:tcPr>
            <w:tcW w:w="848" w:type="dxa"/>
            <w:tcBorders>
              <w:top w:val="single" w:sz="8" w:space="0" w:color="000000"/>
              <w:left w:val="nil"/>
              <w:bottom w:val="single" w:sz="4" w:space="0" w:color="000000"/>
              <w:right w:val="single" w:sz="8" w:space="0" w:color="000000"/>
            </w:tcBorders>
            <w:shd w:val="clear" w:color="E2EFDA" w:fill="E2EFDA"/>
            <w:noWrap/>
            <w:hideMark/>
          </w:tcPr>
          <w:p w14:paraId="6A74F114" w14:textId="77777777" w:rsidR="002A7E48" w:rsidRPr="002A7E48" w:rsidRDefault="002A7E48" w:rsidP="002A7E48">
            <w:pPr>
              <w:spacing w:after="0" w:line="260" w:lineRule="exact"/>
              <w:rPr>
                <w:rFonts w:ascii="Arial" w:eastAsia="Times New Roman" w:hAnsi="Arial" w:cs="Arial"/>
                <w:sz w:val="16"/>
                <w:szCs w:val="16"/>
              </w:rPr>
            </w:pPr>
            <w:r w:rsidRPr="002A7E48">
              <w:rPr>
                <w:rFonts w:ascii="Arial" w:eastAsia="Times New Roman" w:hAnsi="Arial" w:cs="Arial"/>
                <w:sz w:val="16"/>
                <w:szCs w:val="16"/>
              </w:rPr>
              <w:t>2021 - 12</w:t>
            </w:r>
          </w:p>
        </w:tc>
        <w:tc>
          <w:tcPr>
            <w:tcW w:w="854" w:type="dxa"/>
            <w:tcBorders>
              <w:top w:val="single" w:sz="8" w:space="0" w:color="000000"/>
              <w:left w:val="nil"/>
              <w:bottom w:val="single" w:sz="4" w:space="0" w:color="000000"/>
              <w:right w:val="single" w:sz="4" w:space="0" w:color="000000"/>
            </w:tcBorders>
            <w:shd w:val="clear" w:color="E2EFDA" w:fill="E2EFDA"/>
            <w:noWrap/>
            <w:hideMark/>
          </w:tcPr>
          <w:p w14:paraId="23516DE6" w14:textId="77777777" w:rsidR="002A7E48" w:rsidRPr="002A7E48" w:rsidRDefault="002A7E48" w:rsidP="002A7E48">
            <w:pPr>
              <w:spacing w:after="0" w:line="260" w:lineRule="exact"/>
              <w:rPr>
                <w:rFonts w:ascii="Arial" w:eastAsia="Times New Roman" w:hAnsi="Arial" w:cs="Arial"/>
                <w:sz w:val="16"/>
                <w:szCs w:val="16"/>
              </w:rPr>
            </w:pPr>
            <w:r w:rsidRPr="002A7E48">
              <w:rPr>
                <w:rFonts w:ascii="Arial" w:eastAsia="Times New Roman" w:hAnsi="Arial" w:cs="Arial"/>
                <w:sz w:val="16"/>
                <w:szCs w:val="16"/>
              </w:rPr>
              <w:t>2022 - 1</w:t>
            </w:r>
          </w:p>
        </w:tc>
        <w:tc>
          <w:tcPr>
            <w:tcW w:w="920" w:type="dxa"/>
            <w:gridSpan w:val="2"/>
            <w:tcBorders>
              <w:top w:val="single" w:sz="8" w:space="0" w:color="000000"/>
              <w:left w:val="nil"/>
              <w:bottom w:val="single" w:sz="4" w:space="0" w:color="000000"/>
              <w:right w:val="single" w:sz="4" w:space="0" w:color="000000"/>
            </w:tcBorders>
            <w:shd w:val="clear" w:color="E2EFDA" w:fill="E2EFDA"/>
            <w:noWrap/>
            <w:hideMark/>
          </w:tcPr>
          <w:p w14:paraId="05F1DE09" w14:textId="77777777" w:rsidR="002A7E48" w:rsidRPr="002A7E48" w:rsidRDefault="002A7E48" w:rsidP="002A7E48">
            <w:pPr>
              <w:spacing w:after="0" w:line="260" w:lineRule="exact"/>
              <w:rPr>
                <w:rFonts w:ascii="Arial" w:eastAsia="Times New Roman" w:hAnsi="Arial" w:cs="Arial"/>
                <w:sz w:val="16"/>
                <w:szCs w:val="16"/>
              </w:rPr>
            </w:pPr>
            <w:r w:rsidRPr="002A7E48">
              <w:rPr>
                <w:rFonts w:ascii="Arial" w:eastAsia="Times New Roman" w:hAnsi="Arial" w:cs="Arial"/>
                <w:sz w:val="16"/>
                <w:szCs w:val="16"/>
              </w:rPr>
              <w:t>2022 - 2</w:t>
            </w:r>
          </w:p>
        </w:tc>
        <w:tc>
          <w:tcPr>
            <w:tcW w:w="844" w:type="dxa"/>
            <w:gridSpan w:val="2"/>
            <w:tcBorders>
              <w:top w:val="single" w:sz="8" w:space="0" w:color="000000"/>
              <w:left w:val="nil"/>
              <w:bottom w:val="single" w:sz="4" w:space="0" w:color="000000"/>
              <w:right w:val="single" w:sz="4" w:space="0" w:color="000000"/>
            </w:tcBorders>
            <w:shd w:val="clear" w:color="E2EFDA" w:fill="E2EFDA"/>
            <w:noWrap/>
            <w:hideMark/>
          </w:tcPr>
          <w:p w14:paraId="2ADFABB4" w14:textId="77777777" w:rsidR="002A7E48" w:rsidRPr="002A7E48" w:rsidRDefault="002A7E48" w:rsidP="002A7E48">
            <w:pPr>
              <w:spacing w:after="0" w:line="260" w:lineRule="exact"/>
              <w:rPr>
                <w:rFonts w:ascii="Arial" w:eastAsia="Times New Roman" w:hAnsi="Arial" w:cs="Arial"/>
                <w:sz w:val="16"/>
                <w:szCs w:val="16"/>
              </w:rPr>
            </w:pPr>
            <w:r w:rsidRPr="002A7E48">
              <w:rPr>
                <w:rFonts w:ascii="Arial" w:eastAsia="Times New Roman" w:hAnsi="Arial" w:cs="Arial"/>
                <w:sz w:val="16"/>
                <w:szCs w:val="16"/>
              </w:rPr>
              <w:t>2022 - 3</w:t>
            </w:r>
          </w:p>
        </w:tc>
        <w:tc>
          <w:tcPr>
            <w:tcW w:w="768" w:type="dxa"/>
            <w:gridSpan w:val="2"/>
            <w:tcBorders>
              <w:top w:val="single" w:sz="8" w:space="0" w:color="000000"/>
              <w:left w:val="nil"/>
              <w:bottom w:val="single" w:sz="4" w:space="0" w:color="000000"/>
              <w:right w:val="single" w:sz="4" w:space="0" w:color="000000"/>
            </w:tcBorders>
            <w:shd w:val="clear" w:color="E2EFDA" w:fill="E2EFDA"/>
            <w:noWrap/>
            <w:hideMark/>
          </w:tcPr>
          <w:p w14:paraId="61CAE737" w14:textId="77777777" w:rsidR="002A7E48" w:rsidRPr="002A7E48" w:rsidRDefault="002A7E48" w:rsidP="002A7E48">
            <w:pPr>
              <w:spacing w:after="0" w:line="260" w:lineRule="exact"/>
              <w:rPr>
                <w:rFonts w:ascii="Arial" w:eastAsia="Times New Roman" w:hAnsi="Arial" w:cs="Arial"/>
                <w:sz w:val="16"/>
                <w:szCs w:val="16"/>
              </w:rPr>
            </w:pPr>
            <w:r w:rsidRPr="002A7E48">
              <w:rPr>
                <w:rFonts w:ascii="Arial" w:eastAsia="Times New Roman" w:hAnsi="Arial" w:cs="Arial"/>
                <w:sz w:val="16"/>
                <w:szCs w:val="16"/>
              </w:rPr>
              <w:t>2022 - 4</w:t>
            </w:r>
          </w:p>
        </w:tc>
        <w:tc>
          <w:tcPr>
            <w:tcW w:w="899" w:type="dxa"/>
            <w:gridSpan w:val="2"/>
            <w:tcBorders>
              <w:top w:val="single" w:sz="8" w:space="0" w:color="000000"/>
              <w:left w:val="nil"/>
              <w:bottom w:val="single" w:sz="4" w:space="0" w:color="000000"/>
              <w:right w:val="single" w:sz="4" w:space="0" w:color="000000"/>
            </w:tcBorders>
            <w:shd w:val="clear" w:color="E2EFDA" w:fill="E2EFDA"/>
            <w:noWrap/>
            <w:hideMark/>
          </w:tcPr>
          <w:p w14:paraId="4015061E" w14:textId="77777777" w:rsidR="002A7E48" w:rsidRPr="002A7E48" w:rsidRDefault="002A7E48" w:rsidP="002A7E48">
            <w:pPr>
              <w:spacing w:after="0" w:line="260" w:lineRule="exact"/>
              <w:rPr>
                <w:rFonts w:ascii="Arial" w:eastAsia="Times New Roman" w:hAnsi="Arial" w:cs="Arial"/>
                <w:sz w:val="16"/>
                <w:szCs w:val="16"/>
              </w:rPr>
            </w:pPr>
            <w:r w:rsidRPr="002A7E48">
              <w:rPr>
                <w:rFonts w:ascii="Arial" w:eastAsia="Times New Roman" w:hAnsi="Arial" w:cs="Arial"/>
                <w:sz w:val="16"/>
                <w:szCs w:val="16"/>
              </w:rPr>
              <w:t>2022 - 5</w:t>
            </w:r>
          </w:p>
        </w:tc>
        <w:tc>
          <w:tcPr>
            <w:tcW w:w="785" w:type="dxa"/>
            <w:gridSpan w:val="2"/>
            <w:tcBorders>
              <w:top w:val="single" w:sz="8" w:space="0" w:color="000000"/>
              <w:left w:val="nil"/>
              <w:bottom w:val="single" w:sz="4" w:space="0" w:color="000000"/>
              <w:right w:val="single" w:sz="4" w:space="0" w:color="000000"/>
            </w:tcBorders>
            <w:shd w:val="clear" w:color="E2EFDA" w:fill="E2EFDA"/>
            <w:noWrap/>
            <w:hideMark/>
          </w:tcPr>
          <w:p w14:paraId="01987E46" w14:textId="77777777" w:rsidR="002A7E48" w:rsidRPr="002A7E48" w:rsidRDefault="002A7E48" w:rsidP="002A7E48">
            <w:pPr>
              <w:spacing w:after="0" w:line="260" w:lineRule="exact"/>
              <w:rPr>
                <w:rFonts w:ascii="Arial" w:eastAsia="Times New Roman" w:hAnsi="Arial" w:cs="Arial"/>
                <w:sz w:val="16"/>
                <w:szCs w:val="16"/>
              </w:rPr>
            </w:pPr>
            <w:r w:rsidRPr="002A7E48">
              <w:rPr>
                <w:rFonts w:ascii="Arial" w:eastAsia="Times New Roman" w:hAnsi="Arial" w:cs="Arial"/>
                <w:sz w:val="16"/>
                <w:szCs w:val="16"/>
              </w:rPr>
              <w:t>2022 - 6</w:t>
            </w:r>
          </w:p>
        </w:tc>
        <w:tc>
          <w:tcPr>
            <w:tcW w:w="851" w:type="dxa"/>
            <w:gridSpan w:val="2"/>
            <w:tcBorders>
              <w:top w:val="single" w:sz="8" w:space="0" w:color="000000"/>
              <w:left w:val="nil"/>
              <w:bottom w:val="single" w:sz="4" w:space="0" w:color="000000"/>
              <w:right w:val="single" w:sz="4" w:space="0" w:color="000000"/>
            </w:tcBorders>
            <w:shd w:val="clear" w:color="E2EFDA" w:fill="E2EFDA"/>
            <w:noWrap/>
            <w:hideMark/>
          </w:tcPr>
          <w:p w14:paraId="523100F2" w14:textId="77777777" w:rsidR="002A7E48" w:rsidRPr="002A7E48" w:rsidRDefault="002A7E48" w:rsidP="002A7E48">
            <w:pPr>
              <w:spacing w:after="0" w:line="260" w:lineRule="exact"/>
              <w:rPr>
                <w:rFonts w:ascii="Arial" w:eastAsia="Times New Roman" w:hAnsi="Arial" w:cs="Arial"/>
                <w:sz w:val="16"/>
                <w:szCs w:val="16"/>
              </w:rPr>
            </w:pPr>
            <w:r w:rsidRPr="002A7E48">
              <w:rPr>
                <w:rFonts w:ascii="Arial" w:eastAsia="Times New Roman" w:hAnsi="Arial" w:cs="Arial"/>
                <w:sz w:val="16"/>
                <w:szCs w:val="16"/>
              </w:rPr>
              <w:t>2022 - 7</w:t>
            </w:r>
          </w:p>
        </w:tc>
        <w:tc>
          <w:tcPr>
            <w:tcW w:w="781" w:type="dxa"/>
            <w:gridSpan w:val="2"/>
            <w:tcBorders>
              <w:top w:val="single" w:sz="8" w:space="0" w:color="000000"/>
              <w:left w:val="nil"/>
              <w:bottom w:val="single" w:sz="4" w:space="0" w:color="000000"/>
              <w:right w:val="single" w:sz="4" w:space="0" w:color="000000"/>
            </w:tcBorders>
            <w:shd w:val="clear" w:color="E2EFDA" w:fill="E2EFDA"/>
            <w:noWrap/>
            <w:hideMark/>
          </w:tcPr>
          <w:p w14:paraId="3CFE22A0" w14:textId="77777777" w:rsidR="002A7E48" w:rsidRPr="002A7E48" w:rsidRDefault="002A7E48" w:rsidP="002A7E48">
            <w:pPr>
              <w:spacing w:after="0" w:line="260" w:lineRule="exact"/>
              <w:rPr>
                <w:rFonts w:ascii="Arial" w:eastAsia="Times New Roman" w:hAnsi="Arial" w:cs="Arial"/>
                <w:sz w:val="16"/>
                <w:szCs w:val="16"/>
              </w:rPr>
            </w:pPr>
            <w:r w:rsidRPr="002A7E48">
              <w:rPr>
                <w:rFonts w:ascii="Arial" w:eastAsia="Times New Roman" w:hAnsi="Arial" w:cs="Arial"/>
                <w:sz w:val="16"/>
                <w:szCs w:val="16"/>
              </w:rPr>
              <w:t>2022 - 8</w:t>
            </w:r>
          </w:p>
        </w:tc>
        <w:tc>
          <w:tcPr>
            <w:tcW w:w="844" w:type="dxa"/>
            <w:gridSpan w:val="2"/>
            <w:tcBorders>
              <w:top w:val="single" w:sz="8" w:space="0" w:color="000000"/>
              <w:left w:val="nil"/>
              <w:bottom w:val="single" w:sz="4" w:space="0" w:color="000000"/>
              <w:right w:val="single" w:sz="8" w:space="0" w:color="000000"/>
            </w:tcBorders>
            <w:shd w:val="clear" w:color="E2EFDA" w:fill="E2EFDA"/>
            <w:noWrap/>
            <w:hideMark/>
          </w:tcPr>
          <w:p w14:paraId="7C8329D7" w14:textId="77777777" w:rsidR="002A7E48" w:rsidRPr="002A7E48" w:rsidRDefault="002A7E48" w:rsidP="002A7E48">
            <w:pPr>
              <w:spacing w:after="0" w:line="260" w:lineRule="exact"/>
              <w:rPr>
                <w:rFonts w:ascii="Arial" w:eastAsia="Times New Roman" w:hAnsi="Arial" w:cs="Arial"/>
                <w:sz w:val="16"/>
                <w:szCs w:val="16"/>
              </w:rPr>
            </w:pPr>
            <w:r w:rsidRPr="002A7E48">
              <w:rPr>
                <w:rFonts w:ascii="Arial" w:eastAsia="Times New Roman" w:hAnsi="Arial" w:cs="Arial"/>
                <w:sz w:val="16"/>
                <w:szCs w:val="16"/>
              </w:rPr>
              <w:t>2022 - 9</w:t>
            </w:r>
          </w:p>
        </w:tc>
        <w:tc>
          <w:tcPr>
            <w:tcW w:w="851" w:type="dxa"/>
            <w:gridSpan w:val="2"/>
            <w:tcBorders>
              <w:top w:val="nil"/>
              <w:left w:val="nil"/>
              <w:bottom w:val="nil"/>
              <w:right w:val="nil"/>
            </w:tcBorders>
            <w:shd w:val="clear" w:color="auto" w:fill="auto"/>
            <w:noWrap/>
            <w:vAlign w:val="bottom"/>
            <w:hideMark/>
          </w:tcPr>
          <w:p w14:paraId="4EE91584" w14:textId="77777777" w:rsidR="002A7E48" w:rsidRPr="002A7E48" w:rsidRDefault="002A7E48" w:rsidP="002A7E48">
            <w:pPr>
              <w:spacing w:after="0"/>
              <w:jc w:val="both"/>
              <w:rPr>
                <w:rFonts w:ascii="Arial" w:eastAsia="Calibri" w:hAnsi="Arial" w:cs="Arial"/>
                <w:b/>
                <w:bCs/>
                <w:noProof/>
                <w:sz w:val="16"/>
                <w:szCs w:val="16"/>
                <w:lang w:eastAsia="sl-SI"/>
              </w:rPr>
            </w:pPr>
          </w:p>
        </w:tc>
        <w:tc>
          <w:tcPr>
            <w:tcW w:w="851" w:type="dxa"/>
            <w:gridSpan w:val="2"/>
            <w:tcBorders>
              <w:top w:val="nil"/>
              <w:left w:val="nil"/>
              <w:bottom w:val="nil"/>
              <w:right w:val="nil"/>
            </w:tcBorders>
            <w:shd w:val="clear" w:color="auto" w:fill="auto"/>
            <w:noWrap/>
            <w:vAlign w:val="bottom"/>
            <w:hideMark/>
          </w:tcPr>
          <w:p w14:paraId="5EEB3EE5" w14:textId="77777777" w:rsidR="002A7E48" w:rsidRPr="002A7E48" w:rsidRDefault="002A7E48" w:rsidP="002A7E48">
            <w:pPr>
              <w:spacing w:after="0"/>
              <w:jc w:val="both"/>
              <w:rPr>
                <w:rFonts w:ascii="Arial" w:eastAsia="Calibri" w:hAnsi="Arial" w:cs="Arial"/>
                <w:noProof/>
                <w:sz w:val="16"/>
                <w:szCs w:val="16"/>
                <w:lang w:eastAsia="sl-SI"/>
              </w:rPr>
            </w:pPr>
          </w:p>
        </w:tc>
      </w:tr>
      <w:tr w:rsidR="002A7E48" w:rsidRPr="002A7E48" w14:paraId="54FDF58F" w14:textId="77777777" w:rsidTr="0042240D">
        <w:trPr>
          <w:gridAfter w:val="1"/>
          <w:wAfter w:w="7" w:type="dxa"/>
          <w:trHeight w:val="233"/>
        </w:trPr>
        <w:tc>
          <w:tcPr>
            <w:tcW w:w="921" w:type="dxa"/>
            <w:tcBorders>
              <w:top w:val="nil"/>
              <w:left w:val="single" w:sz="8" w:space="0" w:color="000000"/>
              <w:bottom w:val="single" w:sz="8" w:space="0" w:color="000000"/>
              <w:right w:val="single" w:sz="4" w:space="0" w:color="000000"/>
            </w:tcBorders>
            <w:shd w:val="clear" w:color="FFE699" w:fill="FFE699"/>
            <w:hideMark/>
          </w:tcPr>
          <w:p w14:paraId="73035AF1" w14:textId="77777777" w:rsidR="002A7E48" w:rsidRPr="002A7E48" w:rsidRDefault="002A7E48" w:rsidP="002A7E48">
            <w:pPr>
              <w:spacing w:after="0" w:line="260" w:lineRule="exact"/>
              <w:rPr>
                <w:rFonts w:ascii="Arial" w:eastAsia="Times New Roman" w:hAnsi="Arial" w:cs="Arial"/>
                <w:sz w:val="16"/>
                <w:szCs w:val="16"/>
              </w:rPr>
            </w:pPr>
            <w:r w:rsidRPr="002A7E48">
              <w:rPr>
                <w:rFonts w:ascii="Arial" w:eastAsia="Times New Roman" w:hAnsi="Arial" w:cs="Arial"/>
                <w:sz w:val="16"/>
                <w:szCs w:val="16"/>
              </w:rPr>
              <w:t>Indeks rasti cen</w:t>
            </w:r>
          </w:p>
        </w:tc>
        <w:tc>
          <w:tcPr>
            <w:tcW w:w="848" w:type="dxa"/>
            <w:tcBorders>
              <w:top w:val="nil"/>
              <w:left w:val="nil"/>
              <w:bottom w:val="single" w:sz="8" w:space="0" w:color="000000"/>
              <w:right w:val="single" w:sz="8" w:space="0" w:color="000000"/>
            </w:tcBorders>
            <w:shd w:val="clear" w:color="FFE699" w:fill="FFE699"/>
            <w:noWrap/>
            <w:hideMark/>
          </w:tcPr>
          <w:p w14:paraId="62C4D706" w14:textId="77777777" w:rsidR="002A7E48" w:rsidRPr="002A7E48" w:rsidRDefault="002A7E48" w:rsidP="002A7E48">
            <w:pPr>
              <w:spacing w:after="0" w:line="260" w:lineRule="exact"/>
              <w:rPr>
                <w:rFonts w:ascii="Arial" w:eastAsia="Times New Roman" w:hAnsi="Arial" w:cs="Arial"/>
                <w:sz w:val="16"/>
                <w:szCs w:val="16"/>
              </w:rPr>
            </w:pPr>
            <w:r w:rsidRPr="002A7E48">
              <w:rPr>
                <w:rFonts w:ascii="Arial" w:eastAsia="Times New Roman" w:hAnsi="Arial" w:cs="Arial"/>
                <w:sz w:val="16"/>
                <w:szCs w:val="16"/>
              </w:rPr>
              <w:t>113,20</w:t>
            </w:r>
          </w:p>
        </w:tc>
        <w:tc>
          <w:tcPr>
            <w:tcW w:w="854" w:type="dxa"/>
            <w:tcBorders>
              <w:top w:val="nil"/>
              <w:left w:val="nil"/>
              <w:bottom w:val="single" w:sz="8" w:space="0" w:color="000000"/>
              <w:right w:val="single" w:sz="4" w:space="0" w:color="000000"/>
            </w:tcBorders>
            <w:shd w:val="clear" w:color="FFE699" w:fill="FFE699"/>
            <w:noWrap/>
            <w:hideMark/>
          </w:tcPr>
          <w:p w14:paraId="3479DB52" w14:textId="77777777" w:rsidR="002A7E48" w:rsidRPr="002A7E48" w:rsidRDefault="002A7E48" w:rsidP="002A7E48">
            <w:pPr>
              <w:spacing w:after="0" w:line="260" w:lineRule="exact"/>
              <w:rPr>
                <w:rFonts w:ascii="Arial" w:eastAsia="Times New Roman" w:hAnsi="Arial" w:cs="Arial"/>
                <w:sz w:val="16"/>
                <w:szCs w:val="16"/>
              </w:rPr>
            </w:pPr>
            <w:r w:rsidRPr="002A7E48">
              <w:rPr>
                <w:rFonts w:ascii="Arial" w:eastAsia="Times New Roman" w:hAnsi="Arial" w:cs="Arial"/>
                <w:sz w:val="16"/>
                <w:szCs w:val="16"/>
              </w:rPr>
              <w:t>115,87</w:t>
            </w:r>
          </w:p>
        </w:tc>
        <w:tc>
          <w:tcPr>
            <w:tcW w:w="920" w:type="dxa"/>
            <w:gridSpan w:val="2"/>
            <w:tcBorders>
              <w:top w:val="nil"/>
              <w:left w:val="nil"/>
              <w:bottom w:val="single" w:sz="8" w:space="0" w:color="000000"/>
              <w:right w:val="single" w:sz="4" w:space="0" w:color="000000"/>
            </w:tcBorders>
            <w:shd w:val="clear" w:color="FFE699" w:fill="FFE699"/>
            <w:noWrap/>
            <w:hideMark/>
          </w:tcPr>
          <w:p w14:paraId="41DF9FF9" w14:textId="77777777" w:rsidR="002A7E48" w:rsidRPr="002A7E48" w:rsidRDefault="002A7E48" w:rsidP="002A7E48">
            <w:pPr>
              <w:spacing w:after="0" w:line="260" w:lineRule="exact"/>
              <w:rPr>
                <w:rFonts w:ascii="Arial" w:eastAsia="Times New Roman" w:hAnsi="Arial" w:cs="Arial"/>
                <w:sz w:val="16"/>
                <w:szCs w:val="16"/>
              </w:rPr>
            </w:pPr>
            <w:r w:rsidRPr="002A7E48">
              <w:rPr>
                <w:rFonts w:ascii="Arial" w:eastAsia="Times New Roman" w:hAnsi="Arial" w:cs="Arial"/>
                <w:sz w:val="16"/>
                <w:szCs w:val="16"/>
              </w:rPr>
              <w:t>117,15</w:t>
            </w:r>
          </w:p>
        </w:tc>
        <w:tc>
          <w:tcPr>
            <w:tcW w:w="844" w:type="dxa"/>
            <w:gridSpan w:val="2"/>
            <w:tcBorders>
              <w:top w:val="nil"/>
              <w:left w:val="nil"/>
              <w:bottom w:val="single" w:sz="8" w:space="0" w:color="000000"/>
              <w:right w:val="single" w:sz="4" w:space="0" w:color="000000"/>
            </w:tcBorders>
            <w:shd w:val="clear" w:color="FFE699" w:fill="FFE699"/>
            <w:noWrap/>
            <w:hideMark/>
          </w:tcPr>
          <w:p w14:paraId="3B08DC5D" w14:textId="77777777" w:rsidR="002A7E48" w:rsidRPr="002A7E48" w:rsidRDefault="002A7E48" w:rsidP="002A7E48">
            <w:pPr>
              <w:spacing w:after="0" w:line="260" w:lineRule="exact"/>
              <w:rPr>
                <w:rFonts w:ascii="Arial" w:eastAsia="Times New Roman" w:hAnsi="Arial" w:cs="Arial"/>
                <w:sz w:val="16"/>
                <w:szCs w:val="16"/>
              </w:rPr>
            </w:pPr>
            <w:r w:rsidRPr="002A7E48">
              <w:rPr>
                <w:rFonts w:ascii="Arial" w:eastAsia="Times New Roman" w:hAnsi="Arial" w:cs="Arial"/>
                <w:sz w:val="16"/>
                <w:szCs w:val="16"/>
              </w:rPr>
              <w:t>121,17</w:t>
            </w:r>
          </w:p>
        </w:tc>
        <w:tc>
          <w:tcPr>
            <w:tcW w:w="768" w:type="dxa"/>
            <w:gridSpan w:val="2"/>
            <w:tcBorders>
              <w:top w:val="nil"/>
              <w:left w:val="nil"/>
              <w:bottom w:val="single" w:sz="8" w:space="0" w:color="000000"/>
              <w:right w:val="single" w:sz="4" w:space="0" w:color="000000"/>
            </w:tcBorders>
            <w:shd w:val="clear" w:color="FFE699" w:fill="FFE699"/>
            <w:noWrap/>
            <w:hideMark/>
          </w:tcPr>
          <w:p w14:paraId="5DFAAB82" w14:textId="77777777" w:rsidR="002A7E48" w:rsidRPr="002A7E48" w:rsidRDefault="002A7E48" w:rsidP="002A7E48">
            <w:pPr>
              <w:spacing w:after="0" w:line="260" w:lineRule="exact"/>
              <w:rPr>
                <w:rFonts w:ascii="Arial" w:eastAsia="Times New Roman" w:hAnsi="Arial" w:cs="Arial"/>
                <w:sz w:val="16"/>
                <w:szCs w:val="16"/>
              </w:rPr>
            </w:pPr>
            <w:r w:rsidRPr="002A7E48">
              <w:rPr>
                <w:rFonts w:ascii="Arial" w:eastAsia="Times New Roman" w:hAnsi="Arial" w:cs="Arial"/>
                <w:sz w:val="16"/>
                <w:szCs w:val="16"/>
              </w:rPr>
              <w:t>124,69</w:t>
            </w:r>
          </w:p>
        </w:tc>
        <w:tc>
          <w:tcPr>
            <w:tcW w:w="899" w:type="dxa"/>
            <w:gridSpan w:val="2"/>
            <w:tcBorders>
              <w:top w:val="nil"/>
              <w:left w:val="nil"/>
              <w:bottom w:val="single" w:sz="8" w:space="0" w:color="000000"/>
              <w:right w:val="single" w:sz="4" w:space="0" w:color="000000"/>
            </w:tcBorders>
            <w:shd w:val="clear" w:color="FFE699" w:fill="FFE699"/>
            <w:noWrap/>
            <w:hideMark/>
          </w:tcPr>
          <w:p w14:paraId="74927E41" w14:textId="77777777" w:rsidR="002A7E48" w:rsidRPr="002A7E48" w:rsidRDefault="002A7E48" w:rsidP="002A7E48">
            <w:pPr>
              <w:spacing w:after="0" w:line="260" w:lineRule="exact"/>
              <w:rPr>
                <w:rFonts w:ascii="Arial" w:eastAsia="Times New Roman" w:hAnsi="Arial" w:cs="Arial"/>
                <w:sz w:val="16"/>
                <w:szCs w:val="16"/>
              </w:rPr>
            </w:pPr>
            <w:r w:rsidRPr="002A7E48">
              <w:rPr>
                <w:rFonts w:ascii="Arial" w:eastAsia="Times New Roman" w:hAnsi="Arial" w:cs="Arial"/>
                <w:sz w:val="16"/>
                <w:szCs w:val="16"/>
              </w:rPr>
              <w:t>126,56</w:t>
            </w:r>
          </w:p>
        </w:tc>
        <w:tc>
          <w:tcPr>
            <w:tcW w:w="785" w:type="dxa"/>
            <w:gridSpan w:val="2"/>
            <w:tcBorders>
              <w:top w:val="nil"/>
              <w:left w:val="nil"/>
              <w:bottom w:val="single" w:sz="8" w:space="0" w:color="000000"/>
              <w:right w:val="single" w:sz="4" w:space="0" w:color="000000"/>
            </w:tcBorders>
            <w:shd w:val="clear" w:color="FFE699" w:fill="FFE699"/>
            <w:noWrap/>
            <w:hideMark/>
          </w:tcPr>
          <w:p w14:paraId="33027043" w14:textId="77777777" w:rsidR="002A7E48" w:rsidRPr="002A7E48" w:rsidRDefault="002A7E48" w:rsidP="002A7E48">
            <w:pPr>
              <w:spacing w:after="0" w:line="260" w:lineRule="exact"/>
              <w:rPr>
                <w:rFonts w:ascii="Arial" w:eastAsia="Times New Roman" w:hAnsi="Arial" w:cs="Arial"/>
                <w:sz w:val="16"/>
                <w:szCs w:val="16"/>
              </w:rPr>
            </w:pPr>
            <w:r w:rsidRPr="002A7E48">
              <w:rPr>
                <w:rFonts w:ascii="Arial" w:eastAsia="Times New Roman" w:hAnsi="Arial" w:cs="Arial"/>
                <w:sz w:val="16"/>
                <w:szCs w:val="16"/>
              </w:rPr>
              <w:t>127,48</w:t>
            </w:r>
          </w:p>
        </w:tc>
        <w:tc>
          <w:tcPr>
            <w:tcW w:w="851" w:type="dxa"/>
            <w:gridSpan w:val="2"/>
            <w:tcBorders>
              <w:top w:val="nil"/>
              <w:left w:val="nil"/>
              <w:bottom w:val="single" w:sz="8" w:space="0" w:color="000000"/>
              <w:right w:val="single" w:sz="4" w:space="0" w:color="000000"/>
            </w:tcBorders>
            <w:shd w:val="clear" w:color="FFE699" w:fill="FFE699"/>
            <w:noWrap/>
            <w:hideMark/>
          </w:tcPr>
          <w:p w14:paraId="7F997C7F" w14:textId="77777777" w:rsidR="002A7E48" w:rsidRPr="002A7E48" w:rsidRDefault="002A7E48" w:rsidP="002A7E48">
            <w:pPr>
              <w:spacing w:after="0" w:line="260" w:lineRule="exact"/>
              <w:rPr>
                <w:rFonts w:ascii="Arial" w:eastAsia="Times New Roman" w:hAnsi="Arial" w:cs="Arial"/>
                <w:sz w:val="16"/>
                <w:szCs w:val="16"/>
              </w:rPr>
            </w:pPr>
            <w:r w:rsidRPr="002A7E48">
              <w:rPr>
                <w:rFonts w:ascii="Arial" w:eastAsia="Times New Roman" w:hAnsi="Arial" w:cs="Arial"/>
                <w:sz w:val="16"/>
                <w:szCs w:val="16"/>
              </w:rPr>
              <w:t>128,27</w:t>
            </w:r>
          </w:p>
        </w:tc>
        <w:tc>
          <w:tcPr>
            <w:tcW w:w="781" w:type="dxa"/>
            <w:gridSpan w:val="2"/>
            <w:tcBorders>
              <w:top w:val="nil"/>
              <w:left w:val="nil"/>
              <w:bottom w:val="single" w:sz="8" w:space="0" w:color="000000"/>
              <w:right w:val="single" w:sz="4" w:space="0" w:color="000000"/>
            </w:tcBorders>
            <w:shd w:val="clear" w:color="FFE699" w:fill="FFE699"/>
            <w:noWrap/>
            <w:hideMark/>
          </w:tcPr>
          <w:p w14:paraId="3E4A2340" w14:textId="77777777" w:rsidR="002A7E48" w:rsidRPr="002A7E48" w:rsidRDefault="002A7E48" w:rsidP="002A7E48">
            <w:pPr>
              <w:spacing w:after="0" w:line="260" w:lineRule="exact"/>
              <w:rPr>
                <w:rFonts w:ascii="Arial" w:eastAsia="Times New Roman" w:hAnsi="Arial" w:cs="Arial"/>
                <w:sz w:val="16"/>
                <w:szCs w:val="16"/>
              </w:rPr>
            </w:pPr>
            <w:r w:rsidRPr="002A7E48">
              <w:rPr>
                <w:rFonts w:ascii="Arial" w:eastAsia="Times New Roman" w:hAnsi="Arial" w:cs="Arial"/>
                <w:sz w:val="16"/>
                <w:szCs w:val="16"/>
              </w:rPr>
              <w:t>126,97</w:t>
            </w:r>
          </w:p>
        </w:tc>
        <w:tc>
          <w:tcPr>
            <w:tcW w:w="844" w:type="dxa"/>
            <w:gridSpan w:val="2"/>
            <w:tcBorders>
              <w:top w:val="nil"/>
              <w:left w:val="nil"/>
              <w:bottom w:val="single" w:sz="8" w:space="0" w:color="000000"/>
              <w:right w:val="single" w:sz="8" w:space="0" w:color="000000"/>
            </w:tcBorders>
            <w:shd w:val="clear" w:color="FFE699" w:fill="FF0000"/>
            <w:noWrap/>
            <w:hideMark/>
          </w:tcPr>
          <w:p w14:paraId="3D3725B1" w14:textId="77777777" w:rsidR="002A7E48" w:rsidRPr="002A7E48" w:rsidRDefault="002A7E48" w:rsidP="002A7E48">
            <w:pPr>
              <w:spacing w:after="0" w:line="260" w:lineRule="exact"/>
              <w:rPr>
                <w:rFonts w:ascii="Arial" w:eastAsia="Times New Roman" w:hAnsi="Arial" w:cs="Arial"/>
                <w:sz w:val="16"/>
                <w:szCs w:val="16"/>
              </w:rPr>
            </w:pPr>
            <w:r w:rsidRPr="002A7E48">
              <w:rPr>
                <w:rFonts w:ascii="Arial" w:eastAsia="Times New Roman" w:hAnsi="Arial" w:cs="Arial"/>
                <w:sz w:val="16"/>
                <w:szCs w:val="16"/>
              </w:rPr>
              <w:t>126,75</w:t>
            </w:r>
          </w:p>
        </w:tc>
        <w:tc>
          <w:tcPr>
            <w:tcW w:w="851" w:type="dxa"/>
            <w:gridSpan w:val="2"/>
            <w:tcBorders>
              <w:top w:val="nil"/>
              <w:left w:val="nil"/>
              <w:bottom w:val="nil"/>
              <w:right w:val="nil"/>
            </w:tcBorders>
            <w:shd w:val="clear" w:color="auto" w:fill="auto"/>
            <w:noWrap/>
            <w:vAlign w:val="bottom"/>
            <w:hideMark/>
          </w:tcPr>
          <w:p w14:paraId="07ADD02B" w14:textId="77777777" w:rsidR="002A7E48" w:rsidRPr="002A7E48" w:rsidRDefault="002A7E48" w:rsidP="002A7E48">
            <w:pPr>
              <w:spacing w:after="0"/>
              <w:jc w:val="both"/>
              <w:rPr>
                <w:rFonts w:ascii="Arial" w:eastAsia="Calibri" w:hAnsi="Arial" w:cs="Arial"/>
                <w:b/>
                <w:bCs/>
                <w:noProof/>
                <w:sz w:val="16"/>
                <w:szCs w:val="16"/>
                <w:lang w:eastAsia="sl-SI"/>
              </w:rPr>
            </w:pPr>
          </w:p>
        </w:tc>
        <w:tc>
          <w:tcPr>
            <w:tcW w:w="851" w:type="dxa"/>
            <w:gridSpan w:val="2"/>
            <w:tcBorders>
              <w:top w:val="nil"/>
              <w:left w:val="nil"/>
              <w:bottom w:val="nil"/>
              <w:right w:val="nil"/>
            </w:tcBorders>
            <w:shd w:val="clear" w:color="auto" w:fill="auto"/>
            <w:noWrap/>
            <w:vAlign w:val="bottom"/>
            <w:hideMark/>
          </w:tcPr>
          <w:p w14:paraId="3217C56F" w14:textId="77777777" w:rsidR="002A7E48" w:rsidRPr="002A7E48" w:rsidRDefault="002A7E48" w:rsidP="002A7E48">
            <w:pPr>
              <w:spacing w:after="0"/>
              <w:jc w:val="both"/>
              <w:rPr>
                <w:rFonts w:ascii="Arial" w:eastAsia="Calibri" w:hAnsi="Arial" w:cs="Arial"/>
                <w:noProof/>
                <w:sz w:val="16"/>
                <w:szCs w:val="16"/>
                <w:lang w:eastAsia="sl-SI"/>
              </w:rPr>
            </w:pPr>
          </w:p>
        </w:tc>
      </w:tr>
    </w:tbl>
    <w:p w14:paraId="2DC25EAB" w14:textId="77777777" w:rsidR="002A7E48" w:rsidRPr="002A7E48" w:rsidRDefault="002A7E48" w:rsidP="002A7E48">
      <w:pPr>
        <w:spacing w:after="0"/>
        <w:jc w:val="both"/>
        <w:rPr>
          <w:rFonts w:ascii="Arial" w:eastAsia="Calibri" w:hAnsi="Arial" w:cs="Arial"/>
          <w:sz w:val="20"/>
          <w:szCs w:val="20"/>
        </w:rPr>
      </w:pPr>
      <w:r w:rsidRPr="002A7E48">
        <w:rPr>
          <w:rFonts w:ascii="Arial" w:eastAsia="Calibri" w:hAnsi="Arial" w:cs="Arial"/>
          <w:sz w:val="20"/>
          <w:szCs w:val="20"/>
        </w:rPr>
        <w:t>Vir: Indeksi za obračun razlike v ceni gradbenih storitev 3, september 2022, str. 8</w:t>
      </w:r>
    </w:p>
    <w:p w14:paraId="14B6994B" w14:textId="77777777" w:rsidR="002A7E48" w:rsidRPr="002A7E48" w:rsidRDefault="002A7E48" w:rsidP="002A7E48">
      <w:pPr>
        <w:spacing w:after="0"/>
        <w:jc w:val="both"/>
        <w:rPr>
          <w:rFonts w:ascii="Arial" w:eastAsia="Calibri" w:hAnsi="Arial" w:cs="Arial"/>
          <w:sz w:val="20"/>
          <w:szCs w:val="20"/>
        </w:rPr>
      </w:pPr>
    </w:p>
    <w:p w14:paraId="3C239D8D" w14:textId="77777777" w:rsidR="002A7E48" w:rsidRPr="002A7E48" w:rsidRDefault="002A7E48" w:rsidP="002A7E48">
      <w:pPr>
        <w:spacing w:after="0"/>
        <w:jc w:val="both"/>
        <w:rPr>
          <w:rFonts w:ascii="Arial" w:eastAsia="Calibri" w:hAnsi="Arial" w:cs="Arial"/>
          <w:sz w:val="20"/>
          <w:szCs w:val="20"/>
        </w:rPr>
      </w:pPr>
      <w:r w:rsidRPr="002A7E48">
        <w:rPr>
          <w:rFonts w:ascii="Arial" w:eastAsia="Calibri" w:hAnsi="Arial" w:cs="Arial"/>
          <w:sz w:val="20"/>
          <w:szCs w:val="20"/>
        </w:rPr>
        <w:t xml:space="preserve">Med drugim je epidemija COVID - 19 upočasnila in zadržala izdajo kakršne koli dokumentacije na nivoju upravnih enot in lokalnih skupnosti.  Postopki pridobivanja dovoljenj in soglasij so se izkazali za bistveno bolj zamudne, kot so upravičenci načrtovali. Hkrati so upravičenci glede na določbe Zakona o elektronskih komunikacijah (Uradni list RS, št. 109/12, 110/13, 40/14 – ZIN-B, 54/14 – odl. US, 81/15, 40/17, 189/21 – ZDU-1M in 130/22 – ZEKom-2) pričakovali pridobitev neodplačne služnosti na zemljiščih v lasti države, vključno z vodnimi in priobalnimi zemljišči, zato stroška služnosti niso predvideli v svojih izračunih, na katerih so temeljile vloge za prijavo na javni razpis. </w:t>
      </w:r>
    </w:p>
    <w:p w14:paraId="3D5FF2C1" w14:textId="77777777" w:rsidR="002A7E48" w:rsidRPr="002A7E48" w:rsidRDefault="002A7E48" w:rsidP="002A7E48">
      <w:pPr>
        <w:spacing w:after="0"/>
        <w:jc w:val="both"/>
        <w:rPr>
          <w:rFonts w:ascii="Arial" w:eastAsia="Calibri" w:hAnsi="Arial" w:cs="Arial"/>
          <w:sz w:val="20"/>
          <w:szCs w:val="20"/>
        </w:rPr>
      </w:pPr>
      <w:r w:rsidRPr="002A7E48">
        <w:rPr>
          <w:rFonts w:ascii="Arial" w:eastAsia="Calibri" w:hAnsi="Arial" w:cs="Arial"/>
          <w:sz w:val="20"/>
          <w:szCs w:val="20"/>
        </w:rPr>
        <w:t>Nekateri upravičenci se soočajo z dolgimi in stalno spreminjajočimi se pogoji souporabe obstoječe infrastrukture (Telekoma Slovenije, Elektro distributerjev), kar tudi podaljšuje operacije, v nekaterih primerih morajo tudi preprojektirati projekte, saj ne dobijo odobritve za souporabo, kar spet podražuje gradnjo.</w:t>
      </w:r>
    </w:p>
    <w:p w14:paraId="24F0A95C" w14:textId="77777777" w:rsidR="002A7E48" w:rsidRPr="002A7E48" w:rsidRDefault="002A7E48" w:rsidP="002A7E48">
      <w:pPr>
        <w:spacing w:after="0"/>
        <w:jc w:val="both"/>
        <w:rPr>
          <w:rFonts w:ascii="Arial" w:eastAsia="Calibri" w:hAnsi="Arial" w:cs="Arial"/>
          <w:sz w:val="20"/>
          <w:szCs w:val="20"/>
        </w:rPr>
      </w:pPr>
      <w:r w:rsidRPr="002A7E48">
        <w:rPr>
          <w:rFonts w:ascii="Arial" w:eastAsia="Calibri" w:hAnsi="Arial" w:cs="Arial"/>
          <w:sz w:val="20"/>
          <w:szCs w:val="20"/>
        </w:rPr>
        <w:t>Upravičenci izpostavljajo tudi težave, ki jih imajo z določenimi občinami, ki nočejo ustanoviti služnosti na podlagi določb ZEKom-1 (neodplačna služnost na zemljiščih v lasti samoupravne lokalne skupnosti) oziroma ti postopki trajajo dalj od pričakovanega.</w:t>
      </w:r>
    </w:p>
    <w:p w14:paraId="3F9E00B2" w14:textId="77777777" w:rsidR="002A7E48" w:rsidRPr="002A7E48" w:rsidRDefault="002A7E48" w:rsidP="002A7E48">
      <w:pPr>
        <w:spacing w:after="0"/>
        <w:jc w:val="both"/>
        <w:rPr>
          <w:rFonts w:ascii="Arial" w:eastAsia="Calibri" w:hAnsi="Arial" w:cs="Arial"/>
          <w:sz w:val="20"/>
          <w:szCs w:val="20"/>
        </w:rPr>
      </w:pPr>
      <w:r w:rsidRPr="002A7E48">
        <w:rPr>
          <w:rFonts w:ascii="Arial" w:eastAsia="Calibri" w:hAnsi="Arial" w:cs="Arial"/>
          <w:sz w:val="20"/>
          <w:szCs w:val="20"/>
        </w:rPr>
        <w:t>Pri izračunu znižanja kazalnikov smo izhajali iz obsega načrtovanih sredstev (29.471.228,00 EUR) ter števila novo omogočenih gospodinjstev na novo zgrajenih širokopasovnih omrežjih z najmanj 100 Mb/s, kar je 10.914, skupaj v zahodni in vzhodni kohezijski regiji, oziroma v povprečju 2.700,31 EUR/gospodinjstvo. Upoštevaje povečanje cen za 26,75 %, znaša povprečna ocena stroškov na gospodinjstvo 3.422,64 EUR. Pri enakem obsegu vloženih sredstev je tako ocenjeno, da bo 8.610 novo omogočenih gospodinjstev na novo zgrajenih širokopasovnih omrežjih z najmanj 100 Mb/s, kar je 21,11 % manj kot je bilo prvotno načrtovano.</w:t>
      </w:r>
    </w:p>
    <w:p w14:paraId="2B8D7113" w14:textId="77777777" w:rsidR="002A7E48" w:rsidRPr="002A7E48" w:rsidRDefault="002A7E48" w:rsidP="002A7E48">
      <w:pPr>
        <w:spacing w:after="0"/>
        <w:rPr>
          <w:rFonts w:ascii="Arial" w:eastAsia="Calibri" w:hAnsi="Arial" w:cs="Arial"/>
          <w:i/>
          <w:iCs/>
          <w:sz w:val="20"/>
          <w:szCs w:val="20"/>
        </w:rPr>
      </w:pPr>
    </w:p>
    <w:p w14:paraId="6C37B985" w14:textId="77777777" w:rsidR="002A7E48" w:rsidRPr="002A7E48" w:rsidRDefault="002A7E48" w:rsidP="002A7E48">
      <w:pPr>
        <w:keepNext/>
        <w:keepLines/>
        <w:suppressAutoHyphens/>
        <w:spacing w:after="0"/>
        <w:rPr>
          <w:rFonts w:ascii="Arial" w:eastAsia="Calibri" w:hAnsi="Arial" w:cs="Arial"/>
          <w:noProof/>
          <w:sz w:val="20"/>
          <w:szCs w:val="20"/>
          <w:lang w:val="it-IT"/>
        </w:rPr>
      </w:pPr>
      <w:r w:rsidRPr="002A7E48">
        <w:rPr>
          <w:rFonts w:ascii="Arial" w:eastAsia="Calibri" w:hAnsi="Arial" w:cs="Arial"/>
          <w:b/>
          <w:noProof/>
          <w:sz w:val="20"/>
          <w:szCs w:val="20"/>
          <w:lang w:val="it-IT"/>
        </w:rPr>
        <w:lastRenderedPageBreak/>
        <w:t>Tabela 5: Predlog spremembe kazalnika</w:t>
      </w:r>
    </w:p>
    <w:tbl>
      <w:tblPr>
        <w:tblW w:w="8642" w:type="dxa"/>
        <w:tblInd w:w="75" w:type="dxa"/>
        <w:tblCellMar>
          <w:left w:w="70" w:type="dxa"/>
          <w:right w:w="70" w:type="dxa"/>
        </w:tblCellMar>
        <w:tblLook w:val="04A0" w:firstRow="1" w:lastRow="0" w:firstColumn="1" w:lastColumn="0" w:noHBand="0" w:noVBand="1"/>
      </w:tblPr>
      <w:tblGrid>
        <w:gridCol w:w="554"/>
        <w:gridCol w:w="839"/>
        <w:gridCol w:w="2409"/>
        <w:gridCol w:w="1135"/>
        <w:gridCol w:w="679"/>
        <w:gridCol w:w="908"/>
        <w:gridCol w:w="795"/>
        <w:gridCol w:w="1668"/>
      </w:tblGrid>
      <w:tr w:rsidR="002A7E48" w:rsidRPr="002A7E48" w14:paraId="3472ABBA" w14:textId="77777777" w:rsidTr="0042240D">
        <w:trPr>
          <w:trHeight w:val="30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D5186E" w14:textId="77777777" w:rsidR="002A7E48" w:rsidRPr="002A7E48" w:rsidRDefault="002A7E48" w:rsidP="002A7E48">
            <w:pPr>
              <w:spacing w:after="0" w:line="240" w:lineRule="auto"/>
              <w:rPr>
                <w:rFonts w:ascii="Arial" w:eastAsia="Times New Roman" w:hAnsi="Arial" w:cs="Arial"/>
                <w:b/>
                <w:color w:val="000000"/>
                <w:sz w:val="16"/>
                <w:szCs w:val="16"/>
                <w:lang w:eastAsia="sl-SI"/>
              </w:rPr>
            </w:pPr>
            <w:r w:rsidRPr="002A7E48">
              <w:rPr>
                <w:rFonts w:ascii="Arial" w:eastAsia="Times New Roman" w:hAnsi="Arial" w:cs="Arial"/>
                <w:b/>
                <w:color w:val="000000"/>
                <w:sz w:val="16"/>
                <w:szCs w:val="16"/>
                <w:lang w:eastAsia="sl-SI"/>
              </w:rPr>
              <w:t> </w:t>
            </w:r>
          </w:p>
        </w:tc>
        <w:tc>
          <w:tcPr>
            <w:tcW w:w="852" w:type="dxa"/>
            <w:tcBorders>
              <w:top w:val="single" w:sz="4" w:space="0" w:color="auto"/>
              <w:left w:val="nil"/>
              <w:bottom w:val="single" w:sz="4" w:space="0" w:color="auto"/>
              <w:right w:val="single" w:sz="4" w:space="0" w:color="auto"/>
            </w:tcBorders>
            <w:shd w:val="clear" w:color="auto" w:fill="auto"/>
            <w:noWrap/>
            <w:vAlign w:val="bottom"/>
            <w:hideMark/>
          </w:tcPr>
          <w:p w14:paraId="7A170A33" w14:textId="77777777" w:rsidR="002A7E48" w:rsidRPr="002A7E48" w:rsidRDefault="002A7E48" w:rsidP="002A7E48">
            <w:pPr>
              <w:spacing w:after="0" w:line="240" w:lineRule="auto"/>
              <w:rPr>
                <w:rFonts w:ascii="Arial" w:eastAsia="Times New Roman" w:hAnsi="Arial" w:cs="Arial"/>
                <w:b/>
                <w:color w:val="000000"/>
                <w:sz w:val="16"/>
                <w:szCs w:val="16"/>
                <w:lang w:eastAsia="sl-SI"/>
              </w:rPr>
            </w:pPr>
            <w:r w:rsidRPr="002A7E48">
              <w:rPr>
                <w:rFonts w:ascii="Arial" w:eastAsia="Times New Roman" w:hAnsi="Arial" w:cs="Arial"/>
                <w:b/>
                <w:color w:val="000000"/>
                <w:sz w:val="16"/>
                <w:szCs w:val="16"/>
                <w:lang w:eastAsia="sl-SI"/>
              </w:rPr>
              <w:t>Vrsta kazalnika</w:t>
            </w:r>
          </w:p>
        </w:tc>
        <w:tc>
          <w:tcPr>
            <w:tcW w:w="2453" w:type="dxa"/>
            <w:tcBorders>
              <w:top w:val="single" w:sz="4" w:space="0" w:color="auto"/>
              <w:left w:val="nil"/>
              <w:bottom w:val="single" w:sz="4" w:space="0" w:color="auto"/>
              <w:right w:val="single" w:sz="4" w:space="0" w:color="auto"/>
            </w:tcBorders>
            <w:shd w:val="clear" w:color="auto" w:fill="auto"/>
            <w:noWrap/>
            <w:vAlign w:val="bottom"/>
            <w:hideMark/>
          </w:tcPr>
          <w:p w14:paraId="60EF495A" w14:textId="77777777" w:rsidR="002A7E48" w:rsidRPr="002A7E48" w:rsidRDefault="002A7E48" w:rsidP="002A7E48">
            <w:pPr>
              <w:spacing w:after="0" w:line="240" w:lineRule="auto"/>
              <w:rPr>
                <w:rFonts w:ascii="Arial" w:eastAsia="Times New Roman" w:hAnsi="Arial" w:cs="Arial"/>
                <w:b/>
                <w:color w:val="000000"/>
                <w:sz w:val="16"/>
                <w:szCs w:val="16"/>
                <w:lang w:eastAsia="sl-SI"/>
              </w:rPr>
            </w:pPr>
            <w:r w:rsidRPr="002A7E48">
              <w:rPr>
                <w:rFonts w:ascii="Arial" w:eastAsia="Times New Roman" w:hAnsi="Arial" w:cs="Arial"/>
                <w:b/>
                <w:color w:val="000000"/>
                <w:sz w:val="16"/>
                <w:szCs w:val="16"/>
                <w:lang w:eastAsia="sl-SI"/>
              </w:rPr>
              <w:t>Kazalnik ali ključna faza izvajanja</w:t>
            </w:r>
          </w:p>
        </w:tc>
        <w:tc>
          <w:tcPr>
            <w:tcW w:w="1154" w:type="dxa"/>
            <w:tcBorders>
              <w:top w:val="single" w:sz="4" w:space="0" w:color="auto"/>
              <w:left w:val="nil"/>
              <w:bottom w:val="single" w:sz="4" w:space="0" w:color="auto"/>
              <w:right w:val="single" w:sz="4" w:space="0" w:color="auto"/>
            </w:tcBorders>
            <w:shd w:val="clear" w:color="auto" w:fill="auto"/>
            <w:noWrap/>
            <w:vAlign w:val="bottom"/>
            <w:hideMark/>
          </w:tcPr>
          <w:p w14:paraId="56DDE13A" w14:textId="77777777" w:rsidR="002A7E48" w:rsidRPr="002A7E48" w:rsidRDefault="002A7E48" w:rsidP="002A7E48">
            <w:pPr>
              <w:spacing w:after="0" w:line="240" w:lineRule="auto"/>
              <w:rPr>
                <w:rFonts w:ascii="Arial" w:eastAsia="Times New Roman" w:hAnsi="Arial" w:cs="Arial"/>
                <w:b/>
                <w:color w:val="000000"/>
                <w:sz w:val="16"/>
                <w:szCs w:val="16"/>
                <w:lang w:eastAsia="sl-SI"/>
              </w:rPr>
            </w:pPr>
            <w:r w:rsidRPr="002A7E48">
              <w:rPr>
                <w:rFonts w:ascii="Arial" w:eastAsia="Times New Roman" w:hAnsi="Arial" w:cs="Arial"/>
                <w:b/>
                <w:color w:val="000000"/>
                <w:sz w:val="16"/>
                <w:szCs w:val="16"/>
                <w:lang w:eastAsia="sl-SI"/>
              </w:rPr>
              <w:t>Merska enota, če je ustrezno</w:t>
            </w:r>
          </w:p>
        </w:tc>
        <w:tc>
          <w:tcPr>
            <w:tcW w:w="689" w:type="dxa"/>
            <w:tcBorders>
              <w:top w:val="single" w:sz="4" w:space="0" w:color="auto"/>
              <w:left w:val="nil"/>
              <w:bottom w:val="single" w:sz="4" w:space="0" w:color="auto"/>
              <w:right w:val="single" w:sz="4" w:space="0" w:color="auto"/>
            </w:tcBorders>
            <w:shd w:val="clear" w:color="auto" w:fill="auto"/>
            <w:noWrap/>
            <w:vAlign w:val="bottom"/>
            <w:hideMark/>
          </w:tcPr>
          <w:p w14:paraId="19165E9E" w14:textId="77777777" w:rsidR="002A7E48" w:rsidRPr="002A7E48" w:rsidRDefault="002A7E48" w:rsidP="002A7E48">
            <w:pPr>
              <w:spacing w:after="0" w:line="240" w:lineRule="auto"/>
              <w:rPr>
                <w:rFonts w:ascii="Arial" w:eastAsia="Times New Roman" w:hAnsi="Arial" w:cs="Arial"/>
                <w:b/>
                <w:color w:val="000000"/>
                <w:sz w:val="16"/>
                <w:szCs w:val="16"/>
                <w:lang w:eastAsia="sl-SI"/>
              </w:rPr>
            </w:pPr>
            <w:r w:rsidRPr="002A7E48">
              <w:rPr>
                <w:rFonts w:ascii="Arial" w:eastAsia="Times New Roman" w:hAnsi="Arial" w:cs="Arial"/>
                <w:b/>
                <w:color w:val="000000"/>
                <w:sz w:val="16"/>
                <w:szCs w:val="16"/>
                <w:lang w:eastAsia="sl-SI"/>
              </w:rPr>
              <w:t>Sklad</w:t>
            </w:r>
          </w:p>
        </w:tc>
        <w:tc>
          <w:tcPr>
            <w:tcW w:w="923" w:type="dxa"/>
            <w:tcBorders>
              <w:top w:val="single" w:sz="4" w:space="0" w:color="auto"/>
              <w:left w:val="nil"/>
              <w:bottom w:val="single" w:sz="4" w:space="0" w:color="auto"/>
              <w:right w:val="single" w:sz="4" w:space="0" w:color="auto"/>
            </w:tcBorders>
            <w:shd w:val="clear" w:color="auto" w:fill="auto"/>
            <w:noWrap/>
            <w:vAlign w:val="bottom"/>
            <w:hideMark/>
          </w:tcPr>
          <w:p w14:paraId="0A388022" w14:textId="77777777" w:rsidR="002A7E48" w:rsidRPr="002A7E48" w:rsidRDefault="002A7E48" w:rsidP="002A7E48">
            <w:pPr>
              <w:spacing w:after="0" w:line="240" w:lineRule="auto"/>
              <w:rPr>
                <w:rFonts w:ascii="Arial" w:eastAsia="Times New Roman" w:hAnsi="Arial" w:cs="Arial"/>
                <w:b/>
                <w:color w:val="000000"/>
                <w:sz w:val="16"/>
                <w:szCs w:val="16"/>
                <w:lang w:eastAsia="sl-SI"/>
              </w:rPr>
            </w:pPr>
            <w:r w:rsidRPr="002A7E48">
              <w:rPr>
                <w:rFonts w:ascii="Arial" w:eastAsia="Times New Roman" w:hAnsi="Arial" w:cs="Arial"/>
                <w:b/>
                <w:color w:val="000000"/>
                <w:sz w:val="16"/>
                <w:szCs w:val="16"/>
                <w:lang w:eastAsia="sl-SI"/>
              </w:rPr>
              <w:t>Kategorija regij</w:t>
            </w:r>
          </w:p>
        </w:tc>
        <w:tc>
          <w:tcPr>
            <w:tcW w:w="808" w:type="dxa"/>
            <w:tcBorders>
              <w:top w:val="single" w:sz="4" w:space="0" w:color="auto"/>
              <w:left w:val="nil"/>
              <w:bottom w:val="single" w:sz="4" w:space="0" w:color="auto"/>
              <w:right w:val="single" w:sz="4" w:space="0" w:color="auto"/>
            </w:tcBorders>
            <w:shd w:val="clear" w:color="auto" w:fill="auto"/>
            <w:noWrap/>
            <w:vAlign w:val="bottom"/>
            <w:hideMark/>
          </w:tcPr>
          <w:p w14:paraId="34985CB0" w14:textId="77777777" w:rsidR="002A7E48" w:rsidRPr="002A7E48" w:rsidRDefault="002A7E48" w:rsidP="002A7E48">
            <w:pPr>
              <w:spacing w:after="0" w:line="240" w:lineRule="auto"/>
              <w:rPr>
                <w:rFonts w:ascii="Arial" w:eastAsia="Times New Roman" w:hAnsi="Arial" w:cs="Arial"/>
                <w:b/>
                <w:color w:val="000000"/>
                <w:sz w:val="16"/>
                <w:szCs w:val="16"/>
                <w:lang w:eastAsia="sl-SI"/>
              </w:rPr>
            </w:pPr>
            <w:r w:rsidRPr="002A7E48">
              <w:rPr>
                <w:rFonts w:ascii="Arial" w:eastAsia="Times New Roman" w:hAnsi="Arial" w:cs="Arial"/>
                <w:b/>
                <w:color w:val="000000"/>
                <w:sz w:val="16"/>
                <w:szCs w:val="16"/>
                <w:lang w:eastAsia="sl-SI"/>
              </w:rPr>
              <w:t>Končni cilj (za leto 2023)</w:t>
            </w:r>
          </w:p>
        </w:tc>
        <w:tc>
          <w:tcPr>
            <w:tcW w:w="1201" w:type="dxa"/>
            <w:tcBorders>
              <w:top w:val="single" w:sz="4" w:space="0" w:color="auto"/>
              <w:left w:val="nil"/>
              <w:bottom w:val="single" w:sz="4" w:space="0" w:color="auto"/>
              <w:right w:val="single" w:sz="4" w:space="0" w:color="auto"/>
            </w:tcBorders>
            <w:shd w:val="clear" w:color="auto" w:fill="auto"/>
            <w:noWrap/>
            <w:vAlign w:val="bottom"/>
            <w:hideMark/>
          </w:tcPr>
          <w:p w14:paraId="54289897" w14:textId="77777777" w:rsidR="002A7E48" w:rsidRPr="002A7E48" w:rsidRDefault="002A7E48" w:rsidP="002A7E48">
            <w:pPr>
              <w:spacing w:after="0" w:line="240" w:lineRule="auto"/>
              <w:rPr>
                <w:rFonts w:ascii="Arial" w:eastAsia="Times New Roman" w:hAnsi="Arial" w:cs="Arial"/>
                <w:b/>
                <w:color w:val="000000"/>
                <w:sz w:val="16"/>
                <w:szCs w:val="16"/>
                <w:lang w:eastAsia="sl-SI"/>
              </w:rPr>
            </w:pPr>
            <w:r w:rsidRPr="002A7E48">
              <w:rPr>
                <w:rFonts w:ascii="Arial" w:eastAsia="Times New Roman" w:hAnsi="Arial" w:cs="Arial"/>
                <w:b/>
                <w:color w:val="000000"/>
                <w:sz w:val="16"/>
                <w:szCs w:val="16"/>
                <w:lang w:eastAsia="sl-SI"/>
              </w:rPr>
              <w:t>Vir podatkov</w:t>
            </w:r>
          </w:p>
        </w:tc>
      </w:tr>
      <w:tr w:rsidR="002A7E48" w:rsidRPr="002A7E48" w14:paraId="7CA40C7E" w14:textId="77777777" w:rsidTr="0042240D">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2E32D45D"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2.2.</w:t>
            </w:r>
          </w:p>
        </w:tc>
        <w:tc>
          <w:tcPr>
            <w:tcW w:w="852" w:type="dxa"/>
            <w:tcBorders>
              <w:top w:val="nil"/>
              <w:left w:val="nil"/>
              <w:bottom w:val="single" w:sz="4" w:space="0" w:color="auto"/>
              <w:right w:val="single" w:sz="4" w:space="0" w:color="auto"/>
            </w:tcBorders>
            <w:shd w:val="clear" w:color="auto" w:fill="auto"/>
            <w:noWrap/>
            <w:vAlign w:val="bottom"/>
            <w:hideMark/>
          </w:tcPr>
          <w:p w14:paraId="6F09CCCC"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Učinek</w:t>
            </w:r>
          </w:p>
        </w:tc>
        <w:tc>
          <w:tcPr>
            <w:tcW w:w="2453" w:type="dxa"/>
            <w:tcBorders>
              <w:top w:val="nil"/>
              <w:left w:val="nil"/>
              <w:bottom w:val="single" w:sz="4" w:space="0" w:color="auto"/>
              <w:right w:val="single" w:sz="4" w:space="0" w:color="auto"/>
            </w:tcBorders>
            <w:shd w:val="clear" w:color="auto" w:fill="auto"/>
            <w:noWrap/>
            <w:vAlign w:val="bottom"/>
            <w:hideMark/>
          </w:tcPr>
          <w:p w14:paraId="6602A638"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Število novo omogočenih gospodinjstev na novo zgrajenih širokopasovnih omrežjih z najmanj 100Mb/s</w:t>
            </w:r>
          </w:p>
        </w:tc>
        <w:tc>
          <w:tcPr>
            <w:tcW w:w="1154" w:type="dxa"/>
            <w:tcBorders>
              <w:top w:val="nil"/>
              <w:left w:val="nil"/>
              <w:bottom w:val="single" w:sz="4" w:space="0" w:color="auto"/>
              <w:right w:val="single" w:sz="4" w:space="0" w:color="auto"/>
            </w:tcBorders>
            <w:shd w:val="clear" w:color="auto" w:fill="auto"/>
            <w:noWrap/>
            <w:vAlign w:val="bottom"/>
            <w:hideMark/>
          </w:tcPr>
          <w:p w14:paraId="0EAF92C8"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število</w:t>
            </w:r>
          </w:p>
        </w:tc>
        <w:tc>
          <w:tcPr>
            <w:tcW w:w="689" w:type="dxa"/>
            <w:tcBorders>
              <w:top w:val="nil"/>
              <w:left w:val="nil"/>
              <w:bottom w:val="single" w:sz="4" w:space="0" w:color="auto"/>
              <w:right w:val="single" w:sz="4" w:space="0" w:color="auto"/>
            </w:tcBorders>
            <w:shd w:val="clear" w:color="auto" w:fill="auto"/>
            <w:noWrap/>
            <w:vAlign w:val="bottom"/>
            <w:hideMark/>
          </w:tcPr>
          <w:p w14:paraId="009EAD5F"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ESRR</w:t>
            </w:r>
          </w:p>
        </w:tc>
        <w:tc>
          <w:tcPr>
            <w:tcW w:w="923" w:type="dxa"/>
            <w:tcBorders>
              <w:top w:val="nil"/>
              <w:left w:val="nil"/>
              <w:bottom w:val="single" w:sz="4" w:space="0" w:color="auto"/>
              <w:right w:val="single" w:sz="4" w:space="0" w:color="auto"/>
            </w:tcBorders>
            <w:shd w:val="clear" w:color="auto" w:fill="auto"/>
            <w:noWrap/>
            <w:vAlign w:val="bottom"/>
            <w:hideMark/>
          </w:tcPr>
          <w:p w14:paraId="626DB727"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Manj razvite</w:t>
            </w:r>
          </w:p>
        </w:tc>
        <w:tc>
          <w:tcPr>
            <w:tcW w:w="808" w:type="dxa"/>
            <w:tcBorders>
              <w:top w:val="nil"/>
              <w:left w:val="nil"/>
              <w:bottom w:val="single" w:sz="4" w:space="0" w:color="auto"/>
              <w:right w:val="single" w:sz="4" w:space="0" w:color="auto"/>
            </w:tcBorders>
            <w:shd w:val="clear" w:color="auto" w:fill="auto"/>
            <w:noWrap/>
            <w:vAlign w:val="bottom"/>
            <w:hideMark/>
          </w:tcPr>
          <w:p w14:paraId="2618425D"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5322</w:t>
            </w:r>
          </w:p>
        </w:tc>
        <w:tc>
          <w:tcPr>
            <w:tcW w:w="1201" w:type="dxa"/>
            <w:tcBorders>
              <w:top w:val="nil"/>
              <w:left w:val="nil"/>
              <w:bottom w:val="single" w:sz="4" w:space="0" w:color="auto"/>
              <w:right w:val="single" w:sz="4" w:space="0" w:color="auto"/>
            </w:tcBorders>
            <w:shd w:val="clear" w:color="auto" w:fill="auto"/>
            <w:noWrap/>
            <w:vAlign w:val="bottom"/>
            <w:hideMark/>
          </w:tcPr>
          <w:p w14:paraId="0BB6BE02"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GURS/AKOS</w:t>
            </w:r>
          </w:p>
        </w:tc>
      </w:tr>
      <w:tr w:rsidR="002A7E48" w:rsidRPr="002A7E48" w14:paraId="475EADD9" w14:textId="77777777" w:rsidTr="0042240D">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3C803FB3"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2.2.</w:t>
            </w:r>
          </w:p>
        </w:tc>
        <w:tc>
          <w:tcPr>
            <w:tcW w:w="852" w:type="dxa"/>
            <w:tcBorders>
              <w:top w:val="nil"/>
              <w:left w:val="nil"/>
              <w:bottom w:val="single" w:sz="4" w:space="0" w:color="auto"/>
              <w:right w:val="single" w:sz="4" w:space="0" w:color="auto"/>
            </w:tcBorders>
            <w:shd w:val="clear" w:color="auto" w:fill="auto"/>
            <w:noWrap/>
            <w:vAlign w:val="bottom"/>
            <w:hideMark/>
          </w:tcPr>
          <w:p w14:paraId="1F188EAB"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Učinek</w:t>
            </w:r>
          </w:p>
        </w:tc>
        <w:tc>
          <w:tcPr>
            <w:tcW w:w="2453" w:type="dxa"/>
            <w:tcBorders>
              <w:top w:val="nil"/>
              <w:left w:val="nil"/>
              <w:bottom w:val="single" w:sz="4" w:space="0" w:color="auto"/>
              <w:right w:val="single" w:sz="4" w:space="0" w:color="auto"/>
            </w:tcBorders>
            <w:shd w:val="clear" w:color="auto" w:fill="auto"/>
            <w:noWrap/>
            <w:vAlign w:val="bottom"/>
            <w:hideMark/>
          </w:tcPr>
          <w:p w14:paraId="0C260B65"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Število novo omogočenih gospodinjstev na novo zgrajenih širokopasovnih omrežjih z najmanj 100Mb/s</w:t>
            </w:r>
          </w:p>
        </w:tc>
        <w:tc>
          <w:tcPr>
            <w:tcW w:w="1154" w:type="dxa"/>
            <w:tcBorders>
              <w:top w:val="nil"/>
              <w:left w:val="nil"/>
              <w:bottom w:val="single" w:sz="4" w:space="0" w:color="auto"/>
              <w:right w:val="single" w:sz="4" w:space="0" w:color="auto"/>
            </w:tcBorders>
            <w:shd w:val="clear" w:color="auto" w:fill="auto"/>
            <w:noWrap/>
            <w:vAlign w:val="bottom"/>
            <w:hideMark/>
          </w:tcPr>
          <w:p w14:paraId="2A8FC9EE"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število</w:t>
            </w:r>
          </w:p>
        </w:tc>
        <w:tc>
          <w:tcPr>
            <w:tcW w:w="689" w:type="dxa"/>
            <w:tcBorders>
              <w:top w:val="nil"/>
              <w:left w:val="nil"/>
              <w:bottom w:val="single" w:sz="4" w:space="0" w:color="auto"/>
              <w:right w:val="single" w:sz="4" w:space="0" w:color="auto"/>
            </w:tcBorders>
            <w:shd w:val="clear" w:color="auto" w:fill="auto"/>
            <w:noWrap/>
            <w:vAlign w:val="bottom"/>
            <w:hideMark/>
          </w:tcPr>
          <w:p w14:paraId="694277B1"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ESRR</w:t>
            </w:r>
          </w:p>
        </w:tc>
        <w:tc>
          <w:tcPr>
            <w:tcW w:w="923" w:type="dxa"/>
            <w:tcBorders>
              <w:top w:val="nil"/>
              <w:left w:val="nil"/>
              <w:bottom w:val="single" w:sz="4" w:space="0" w:color="auto"/>
              <w:right w:val="single" w:sz="4" w:space="0" w:color="auto"/>
            </w:tcBorders>
            <w:shd w:val="clear" w:color="auto" w:fill="auto"/>
            <w:noWrap/>
            <w:vAlign w:val="bottom"/>
            <w:hideMark/>
          </w:tcPr>
          <w:p w14:paraId="35F69F09"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Bolj razvite</w:t>
            </w:r>
          </w:p>
        </w:tc>
        <w:tc>
          <w:tcPr>
            <w:tcW w:w="808" w:type="dxa"/>
            <w:tcBorders>
              <w:top w:val="nil"/>
              <w:left w:val="nil"/>
              <w:bottom w:val="single" w:sz="4" w:space="0" w:color="auto"/>
              <w:right w:val="single" w:sz="4" w:space="0" w:color="auto"/>
            </w:tcBorders>
            <w:shd w:val="clear" w:color="auto" w:fill="auto"/>
            <w:noWrap/>
            <w:vAlign w:val="bottom"/>
            <w:hideMark/>
          </w:tcPr>
          <w:p w14:paraId="513FFF06"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3288</w:t>
            </w:r>
          </w:p>
        </w:tc>
        <w:tc>
          <w:tcPr>
            <w:tcW w:w="1201" w:type="dxa"/>
            <w:tcBorders>
              <w:top w:val="nil"/>
              <w:left w:val="nil"/>
              <w:bottom w:val="single" w:sz="4" w:space="0" w:color="auto"/>
              <w:right w:val="single" w:sz="4" w:space="0" w:color="auto"/>
            </w:tcBorders>
            <w:shd w:val="clear" w:color="auto" w:fill="auto"/>
            <w:noWrap/>
            <w:vAlign w:val="bottom"/>
            <w:hideMark/>
          </w:tcPr>
          <w:p w14:paraId="1F277275"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GURS/AKOS</w:t>
            </w:r>
          </w:p>
        </w:tc>
      </w:tr>
      <w:tr w:rsidR="002A7E48" w:rsidRPr="002A7E48" w14:paraId="735E965A" w14:textId="77777777" w:rsidTr="0042240D">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16403247"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2.2.1.</w:t>
            </w:r>
          </w:p>
        </w:tc>
        <w:tc>
          <w:tcPr>
            <w:tcW w:w="852" w:type="dxa"/>
            <w:tcBorders>
              <w:top w:val="nil"/>
              <w:left w:val="nil"/>
              <w:bottom w:val="single" w:sz="4" w:space="0" w:color="auto"/>
              <w:right w:val="single" w:sz="4" w:space="0" w:color="auto"/>
            </w:tcBorders>
            <w:shd w:val="clear" w:color="auto" w:fill="auto"/>
            <w:noWrap/>
            <w:vAlign w:val="bottom"/>
            <w:hideMark/>
          </w:tcPr>
          <w:p w14:paraId="37D59C78"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Učinek</w:t>
            </w:r>
          </w:p>
        </w:tc>
        <w:tc>
          <w:tcPr>
            <w:tcW w:w="2453" w:type="dxa"/>
            <w:tcBorders>
              <w:top w:val="nil"/>
              <w:left w:val="nil"/>
              <w:bottom w:val="single" w:sz="4" w:space="0" w:color="auto"/>
              <w:right w:val="single" w:sz="4" w:space="0" w:color="auto"/>
            </w:tcBorders>
            <w:shd w:val="clear" w:color="auto" w:fill="auto"/>
            <w:noWrap/>
            <w:vAlign w:val="bottom"/>
            <w:hideMark/>
          </w:tcPr>
          <w:p w14:paraId="18E076CC"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Dodatna gospodinjstva, ki imajo omogočeno širokopasovno povezavo s hitrostjo najmanj 100Mb/s</w:t>
            </w:r>
          </w:p>
        </w:tc>
        <w:tc>
          <w:tcPr>
            <w:tcW w:w="1154" w:type="dxa"/>
            <w:tcBorders>
              <w:top w:val="nil"/>
              <w:left w:val="nil"/>
              <w:bottom w:val="single" w:sz="4" w:space="0" w:color="auto"/>
              <w:right w:val="single" w:sz="4" w:space="0" w:color="auto"/>
            </w:tcBorders>
            <w:shd w:val="clear" w:color="auto" w:fill="auto"/>
            <w:noWrap/>
            <w:vAlign w:val="bottom"/>
            <w:hideMark/>
          </w:tcPr>
          <w:p w14:paraId="763A235B"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število</w:t>
            </w:r>
          </w:p>
        </w:tc>
        <w:tc>
          <w:tcPr>
            <w:tcW w:w="689" w:type="dxa"/>
            <w:tcBorders>
              <w:top w:val="nil"/>
              <w:left w:val="nil"/>
              <w:bottom w:val="single" w:sz="4" w:space="0" w:color="auto"/>
              <w:right w:val="single" w:sz="4" w:space="0" w:color="auto"/>
            </w:tcBorders>
            <w:shd w:val="clear" w:color="auto" w:fill="auto"/>
            <w:noWrap/>
            <w:vAlign w:val="bottom"/>
            <w:hideMark/>
          </w:tcPr>
          <w:p w14:paraId="2F6B638E"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ESRR</w:t>
            </w:r>
          </w:p>
        </w:tc>
        <w:tc>
          <w:tcPr>
            <w:tcW w:w="923" w:type="dxa"/>
            <w:tcBorders>
              <w:top w:val="nil"/>
              <w:left w:val="nil"/>
              <w:bottom w:val="single" w:sz="4" w:space="0" w:color="auto"/>
              <w:right w:val="single" w:sz="4" w:space="0" w:color="auto"/>
            </w:tcBorders>
            <w:shd w:val="clear" w:color="auto" w:fill="auto"/>
            <w:noWrap/>
            <w:vAlign w:val="bottom"/>
            <w:hideMark/>
          </w:tcPr>
          <w:p w14:paraId="45D6FE0D"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xml:space="preserve">Manj razvite </w:t>
            </w:r>
          </w:p>
        </w:tc>
        <w:tc>
          <w:tcPr>
            <w:tcW w:w="808" w:type="dxa"/>
            <w:tcBorders>
              <w:top w:val="nil"/>
              <w:left w:val="nil"/>
              <w:bottom w:val="single" w:sz="4" w:space="0" w:color="auto"/>
              <w:right w:val="single" w:sz="4" w:space="0" w:color="auto"/>
            </w:tcBorders>
            <w:shd w:val="clear" w:color="auto" w:fill="auto"/>
            <w:noWrap/>
            <w:vAlign w:val="bottom"/>
            <w:hideMark/>
          </w:tcPr>
          <w:p w14:paraId="63DD0CCA"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5322 </w:t>
            </w:r>
          </w:p>
        </w:tc>
        <w:tc>
          <w:tcPr>
            <w:tcW w:w="1201" w:type="dxa"/>
            <w:tcBorders>
              <w:top w:val="nil"/>
              <w:left w:val="nil"/>
              <w:bottom w:val="single" w:sz="4" w:space="0" w:color="auto"/>
              <w:right w:val="single" w:sz="4" w:space="0" w:color="auto"/>
            </w:tcBorders>
            <w:shd w:val="clear" w:color="auto" w:fill="auto"/>
            <w:noWrap/>
            <w:vAlign w:val="bottom"/>
            <w:hideMark/>
          </w:tcPr>
          <w:p w14:paraId="324099F2"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GURS/AKOS/Lokalne skupnosti</w:t>
            </w:r>
          </w:p>
        </w:tc>
      </w:tr>
      <w:tr w:rsidR="002A7E48" w:rsidRPr="002A7E48" w14:paraId="2A3129BC" w14:textId="77777777" w:rsidTr="0042240D">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0EBAF8CE"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CO10</w:t>
            </w:r>
          </w:p>
        </w:tc>
        <w:tc>
          <w:tcPr>
            <w:tcW w:w="852" w:type="dxa"/>
            <w:tcBorders>
              <w:top w:val="nil"/>
              <w:left w:val="nil"/>
              <w:bottom w:val="single" w:sz="4" w:space="0" w:color="auto"/>
              <w:right w:val="single" w:sz="4" w:space="0" w:color="auto"/>
            </w:tcBorders>
            <w:shd w:val="clear" w:color="auto" w:fill="auto"/>
            <w:noWrap/>
            <w:vAlign w:val="bottom"/>
            <w:hideMark/>
          </w:tcPr>
          <w:p w14:paraId="35E79EEC"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Učinek</w:t>
            </w:r>
          </w:p>
        </w:tc>
        <w:tc>
          <w:tcPr>
            <w:tcW w:w="2453" w:type="dxa"/>
            <w:tcBorders>
              <w:top w:val="nil"/>
              <w:left w:val="nil"/>
              <w:bottom w:val="single" w:sz="4" w:space="0" w:color="auto"/>
              <w:right w:val="single" w:sz="4" w:space="0" w:color="auto"/>
            </w:tcBorders>
            <w:shd w:val="clear" w:color="auto" w:fill="auto"/>
            <w:noWrap/>
            <w:vAlign w:val="bottom"/>
            <w:hideMark/>
          </w:tcPr>
          <w:p w14:paraId="11C8A465"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Infrastruktura IKT: Dodatna gospodinjstva, ki imajo širokopasovno povezavo s hitrostjo najmanj 30 Mb/s</w:t>
            </w:r>
          </w:p>
        </w:tc>
        <w:tc>
          <w:tcPr>
            <w:tcW w:w="1154" w:type="dxa"/>
            <w:tcBorders>
              <w:top w:val="nil"/>
              <w:left w:val="nil"/>
              <w:bottom w:val="single" w:sz="4" w:space="0" w:color="auto"/>
              <w:right w:val="single" w:sz="4" w:space="0" w:color="auto"/>
            </w:tcBorders>
            <w:shd w:val="clear" w:color="auto" w:fill="auto"/>
            <w:noWrap/>
            <w:vAlign w:val="bottom"/>
            <w:hideMark/>
          </w:tcPr>
          <w:p w14:paraId="5957764E"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Gospodinjstva</w:t>
            </w:r>
          </w:p>
        </w:tc>
        <w:tc>
          <w:tcPr>
            <w:tcW w:w="689" w:type="dxa"/>
            <w:tcBorders>
              <w:top w:val="nil"/>
              <w:left w:val="nil"/>
              <w:bottom w:val="single" w:sz="4" w:space="0" w:color="auto"/>
              <w:right w:val="single" w:sz="4" w:space="0" w:color="auto"/>
            </w:tcBorders>
            <w:shd w:val="clear" w:color="auto" w:fill="auto"/>
            <w:noWrap/>
            <w:vAlign w:val="bottom"/>
            <w:hideMark/>
          </w:tcPr>
          <w:p w14:paraId="0B627058"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ESRR</w:t>
            </w:r>
          </w:p>
        </w:tc>
        <w:tc>
          <w:tcPr>
            <w:tcW w:w="923" w:type="dxa"/>
            <w:tcBorders>
              <w:top w:val="nil"/>
              <w:left w:val="nil"/>
              <w:bottom w:val="single" w:sz="4" w:space="0" w:color="auto"/>
              <w:right w:val="single" w:sz="4" w:space="0" w:color="auto"/>
            </w:tcBorders>
            <w:shd w:val="clear" w:color="auto" w:fill="auto"/>
            <w:noWrap/>
            <w:vAlign w:val="bottom"/>
            <w:hideMark/>
          </w:tcPr>
          <w:p w14:paraId="5A7CA9EC"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xml:space="preserve">Manj razvite </w:t>
            </w:r>
          </w:p>
        </w:tc>
        <w:tc>
          <w:tcPr>
            <w:tcW w:w="808" w:type="dxa"/>
            <w:tcBorders>
              <w:top w:val="nil"/>
              <w:left w:val="nil"/>
              <w:bottom w:val="single" w:sz="4" w:space="0" w:color="auto"/>
              <w:right w:val="single" w:sz="4" w:space="0" w:color="auto"/>
            </w:tcBorders>
            <w:shd w:val="clear" w:color="auto" w:fill="auto"/>
            <w:noWrap/>
            <w:vAlign w:val="bottom"/>
            <w:hideMark/>
          </w:tcPr>
          <w:p w14:paraId="7B8FA749"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5322</w:t>
            </w:r>
          </w:p>
        </w:tc>
        <w:tc>
          <w:tcPr>
            <w:tcW w:w="1201" w:type="dxa"/>
            <w:tcBorders>
              <w:top w:val="nil"/>
              <w:left w:val="nil"/>
              <w:bottom w:val="single" w:sz="4" w:space="0" w:color="auto"/>
              <w:right w:val="single" w:sz="4" w:space="0" w:color="auto"/>
            </w:tcBorders>
            <w:shd w:val="clear" w:color="auto" w:fill="auto"/>
            <w:noWrap/>
            <w:vAlign w:val="bottom"/>
            <w:hideMark/>
          </w:tcPr>
          <w:p w14:paraId="51119294"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GURS/AKOS/Lokalne skupnosti</w:t>
            </w:r>
          </w:p>
        </w:tc>
      </w:tr>
      <w:tr w:rsidR="002A7E48" w:rsidRPr="002A7E48" w14:paraId="0488FDF7" w14:textId="77777777" w:rsidTr="0042240D">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3B1ACF57"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2.2.1.</w:t>
            </w:r>
          </w:p>
        </w:tc>
        <w:tc>
          <w:tcPr>
            <w:tcW w:w="852" w:type="dxa"/>
            <w:tcBorders>
              <w:top w:val="nil"/>
              <w:left w:val="nil"/>
              <w:bottom w:val="single" w:sz="4" w:space="0" w:color="auto"/>
              <w:right w:val="single" w:sz="4" w:space="0" w:color="auto"/>
            </w:tcBorders>
            <w:shd w:val="clear" w:color="auto" w:fill="auto"/>
            <w:noWrap/>
            <w:vAlign w:val="bottom"/>
            <w:hideMark/>
          </w:tcPr>
          <w:p w14:paraId="0E90FF5F"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Učinek</w:t>
            </w:r>
          </w:p>
        </w:tc>
        <w:tc>
          <w:tcPr>
            <w:tcW w:w="2453" w:type="dxa"/>
            <w:tcBorders>
              <w:top w:val="nil"/>
              <w:left w:val="nil"/>
              <w:bottom w:val="single" w:sz="4" w:space="0" w:color="auto"/>
              <w:right w:val="single" w:sz="4" w:space="0" w:color="auto"/>
            </w:tcBorders>
            <w:shd w:val="clear" w:color="auto" w:fill="auto"/>
            <w:noWrap/>
            <w:vAlign w:val="bottom"/>
            <w:hideMark/>
          </w:tcPr>
          <w:p w14:paraId="6BA18CEA"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Dodatna gospodinjstva, ki imajo omogočeno širokopasovno povezavo s hitrostjo najmanj 100Mb/s</w:t>
            </w:r>
          </w:p>
        </w:tc>
        <w:tc>
          <w:tcPr>
            <w:tcW w:w="1154" w:type="dxa"/>
            <w:tcBorders>
              <w:top w:val="nil"/>
              <w:left w:val="nil"/>
              <w:bottom w:val="single" w:sz="4" w:space="0" w:color="auto"/>
              <w:right w:val="single" w:sz="4" w:space="0" w:color="auto"/>
            </w:tcBorders>
            <w:shd w:val="clear" w:color="auto" w:fill="auto"/>
            <w:noWrap/>
            <w:vAlign w:val="bottom"/>
            <w:hideMark/>
          </w:tcPr>
          <w:p w14:paraId="2FA7F00F"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število</w:t>
            </w:r>
          </w:p>
        </w:tc>
        <w:tc>
          <w:tcPr>
            <w:tcW w:w="689" w:type="dxa"/>
            <w:tcBorders>
              <w:top w:val="nil"/>
              <w:left w:val="nil"/>
              <w:bottom w:val="single" w:sz="4" w:space="0" w:color="auto"/>
              <w:right w:val="single" w:sz="4" w:space="0" w:color="auto"/>
            </w:tcBorders>
            <w:shd w:val="clear" w:color="auto" w:fill="auto"/>
            <w:noWrap/>
            <w:vAlign w:val="bottom"/>
            <w:hideMark/>
          </w:tcPr>
          <w:p w14:paraId="58B13D73"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ESRR</w:t>
            </w:r>
          </w:p>
        </w:tc>
        <w:tc>
          <w:tcPr>
            <w:tcW w:w="923" w:type="dxa"/>
            <w:tcBorders>
              <w:top w:val="nil"/>
              <w:left w:val="nil"/>
              <w:bottom w:val="single" w:sz="4" w:space="0" w:color="auto"/>
              <w:right w:val="single" w:sz="4" w:space="0" w:color="auto"/>
            </w:tcBorders>
            <w:shd w:val="clear" w:color="auto" w:fill="auto"/>
            <w:noWrap/>
            <w:vAlign w:val="bottom"/>
            <w:hideMark/>
          </w:tcPr>
          <w:p w14:paraId="228F41FE"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xml:space="preserve">Bolj razvite </w:t>
            </w:r>
          </w:p>
        </w:tc>
        <w:tc>
          <w:tcPr>
            <w:tcW w:w="808" w:type="dxa"/>
            <w:tcBorders>
              <w:top w:val="nil"/>
              <w:left w:val="nil"/>
              <w:bottom w:val="single" w:sz="4" w:space="0" w:color="auto"/>
              <w:right w:val="single" w:sz="4" w:space="0" w:color="auto"/>
            </w:tcBorders>
            <w:shd w:val="clear" w:color="auto" w:fill="auto"/>
            <w:noWrap/>
            <w:vAlign w:val="bottom"/>
            <w:hideMark/>
          </w:tcPr>
          <w:p w14:paraId="6CE35F40"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3288</w:t>
            </w:r>
          </w:p>
        </w:tc>
        <w:tc>
          <w:tcPr>
            <w:tcW w:w="1201" w:type="dxa"/>
            <w:tcBorders>
              <w:top w:val="nil"/>
              <w:left w:val="nil"/>
              <w:bottom w:val="single" w:sz="4" w:space="0" w:color="auto"/>
              <w:right w:val="single" w:sz="4" w:space="0" w:color="auto"/>
            </w:tcBorders>
            <w:shd w:val="clear" w:color="auto" w:fill="auto"/>
            <w:noWrap/>
            <w:vAlign w:val="bottom"/>
            <w:hideMark/>
          </w:tcPr>
          <w:p w14:paraId="69C9FA02"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GURS/AKOS/Lokalne skupnosti</w:t>
            </w:r>
          </w:p>
        </w:tc>
      </w:tr>
      <w:tr w:rsidR="002A7E48" w:rsidRPr="002A7E48" w14:paraId="32624DB5" w14:textId="77777777" w:rsidTr="0042240D">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16839B0A"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CO10</w:t>
            </w:r>
          </w:p>
        </w:tc>
        <w:tc>
          <w:tcPr>
            <w:tcW w:w="852" w:type="dxa"/>
            <w:tcBorders>
              <w:top w:val="nil"/>
              <w:left w:val="nil"/>
              <w:bottom w:val="single" w:sz="4" w:space="0" w:color="auto"/>
              <w:right w:val="single" w:sz="4" w:space="0" w:color="auto"/>
            </w:tcBorders>
            <w:shd w:val="clear" w:color="auto" w:fill="auto"/>
            <w:noWrap/>
            <w:vAlign w:val="bottom"/>
            <w:hideMark/>
          </w:tcPr>
          <w:p w14:paraId="51DF8BD9"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Učinek</w:t>
            </w:r>
          </w:p>
        </w:tc>
        <w:tc>
          <w:tcPr>
            <w:tcW w:w="2453" w:type="dxa"/>
            <w:tcBorders>
              <w:top w:val="nil"/>
              <w:left w:val="nil"/>
              <w:bottom w:val="single" w:sz="4" w:space="0" w:color="auto"/>
              <w:right w:val="single" w:sz="4" w:space="0" w:color="auto"/>
            </w:tcBorders>
            <w:shd w:val="clear" w:color="auto" w:fill="auto"/>
            <w:noWrap/>
            <w:vAlign w:val="bottom"/>
            <w:hideMark/>
          </w:tcPr>
          <w:p w14:paraId="0804ED09"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Infrastruktura IKT: Dodatna gospodinjstva, ki imajo širokopasovno povezavo s hitrostjo najmanj 30 Mb/s</w:t>
            </w:r>
          </w:p>
        </w:tc>
        <w:tc>
          <w:tcPr>
            <w:tcW w:w="1154" w:type="dxa"/>
            <w:tcBorders>
              <w:top w:val="nil"/>
              <w:left w:val="nil"/>
              <w:bottom w:val="single" w:sz="4" w:space="0" w:color="auto"/>
              <w:right w:val="single" w:sz="4" w:space="0" w:color="auto"/>
            </w:tcBorders>
            <w:shd w:val="clear" w:color="auto" w:fill="auto"/>
            <w:noWrap/>
            <w:vAlign w:val="bottom"/>
            <w:hideMark/>
          </w:tcPr>
          <w:p w14:paraId="400626A5"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Gospodinjstva</w:t>
            </w:r>
          </w:p>
        </w:tc>
        <w:tc>
          <w:tcPr>
            <w:tcW w:w="689" w:type="dxa"/>
            <w:tcBorders>
              <w:top w:val="nil"/>
              <w:left w:val="nil"/>
              <w:bottom w:val="single" w:sz="4" w:space="0" w:color="auto"/>
              <w:right w:val="single" w:sz="4" w:space="0" w:color="auto"/>
            </w:tcBorders>
            <w:shd w:val="clear" w:color="auto" w:fill="auto"/>
            <w:noWrap/>
            <w:vAlign w:val="bottom"/>
            <w:hideMark/>
          </w:tcPr>
          <w:p w14:paraId="47056082"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ESRR</w:t>
            </w:r>
          </w:p>
        </w:tc>
        <w:tc>
          <w:tcPr>
            <w:tcW w:w="923" w:type="dxa"/>
            <w:tcBorders>
              <w:top w:val="nil"/>
              <w:left w:val="nil"/>
              <w:bottom w:val="single" w:sz="4" w:space="0" w:color="auto"/>
              <w:right w:val="single" w:sz="4" w:space="0" w:color="auto"/>
            </w:tcBorders>
            <w:shd w:val="clear" w:color="auto" w:fill="auto"/>
            <w:noWrap/>
            <w:vAlign w:val="bottom"/>
            <w:hideMark/>
          </w:tcPr>
          <w:p w14:paraId="34542987"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xml:space="preserve">Bolj razvite </w:t>
            </w:r>
          </w:p>
        </w:tc>
        <w:tc>
          <w:tcPr>
            <w:tcW w:w="808" w:type="dxa"/>
            <w:tcBorders>
              <w:top w:val="nil"/>
              <w:left w:val="nil"/>
              <w:bottom w:val="single" w:sz="4" w:space="0" w:color="auto"/>
              <w:right w:val="single" w:sz="4" w:space="0" w:color="auto"/>
            </w:tcBorders>
            <w:shd w:val="clear" w:color="auto" w:fill="auto"/>
            <w:noWrap/>
            <w:vAlign w:val="bottom"/>
            <w:hideMark/>
          </w:tcPr>
          <w:p w14:paraId="1BC9F2C4" w14:textId="77777777" w:rsidR="002A7E48" w:rsidRPr="002A7E48" w:rsidRDefault="002A7E48" w:rsidP="002A7E48">
            <w:pPr>
              <w:spacing w:after="0" w:line="240" w:lineRule="auto"/>
              <w:jc w:val="right"/>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3288</w:t>
            </w:r>
          </w:p>
        </w:tc>
        <w:tc>
          <w:tcPr>
            <w:tcW w:w="1201" w:type="dxa"/>
            <w:tcBorders>
              <w:top w:val="nil"/>
              <w:left w:val="nil"/>
              <w:bottom w:val="single" w:sz="4" w:space="0" w:color="auto"/>
              <w:right w:val="single" w:sz="4" w:space="0" w:color="auto"/>
            </w:tcBorders>
            <w:shd w:val="clear" w:color="auto" w:fill="auto"/>
            <w:noWrap/>
            <w:vAlign w:val="bottom"/>
            <w:hideMark/>
          </w:tcPr>
          <w:p w14:paraId="2D731110"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GURS/AKOS/Lokalne skupnosti</w:t>
            </w:r>
          </w:p>
        </w:tc>
      </w:tr>
    </w:tbl>
    <w:p w14:paraId="004BE9C1" w14:textId="77777777" w:rsidR="002A7E48" w:rsidRPr="002A7E48" w:rsidRDefault="002A7E48" w:rsidP="002A7E48">
      <w:pPr>
        <w:spacing w:after="0"/>
        <w:jc w:val="both"/>
        <w:rPr>
          <w:rFonts w:ascii="Arial" w:eastAsia="Calibri" w:hAnsi="Arial" w:cs="Arial"/>
          <w:sz w:val="20"/>
          <w:szCs w:val="20"/>
        </w:rPr>
      </w:pPr>
    </w:p>
    <w:p w14:paraId="7B535226" w14:textId="77777777" w:rsidR="002A7E48" w:rsidRPr="002A7E48" w:rsidRDefault="002A7E48" w:rsidP="002A7E48">
      <w:pPr>
        <w:spacing w:after="0"/>
        <w:jc w:val="both"/>
        <w:rPr>
          <w:rFonts w:ascii="Arial" w:eastAsia="Calibri" w:hAnsi="Arial" w:cs="Arial"/>
          <w:sz w:val="20"/>
          <w:szCs w:val="20"/>
        </w:rPr>
      </w:pPr>
      <w:r w:rsidRPr="002A7E48">
        <w:rPr>
          <w:rFonts w:ascii="Arial" w:eastAsia="Calibri" w:hAnsi="Arial" w:cs="Arial"/>
          <w:sz w:val="20"/>
          <w:szCs w:val="20"/>
        </w:rPr>
        <w:t>Predlaga se odpravo tehnične napake, ki se navezuje na spremembo OP 14 – 20 v letu 2018, kjer se je kazalnik preimenoval iz:</w:t>
      </w:r>
    </w:p>
    <w:p w14:paraId="46836F1F" w14:textId="77777777" w:rsidR="002A7E48" w:rsidRPr="002A7E48" w:rsidRDefault="002A7E48" w:rsidP="002A7E48">
      <w:pPr>
        <w:spacing w:after="0"/>
        <w:jc w:val="both"/>
        <w:rPr>
          <w:rFonts w:ascii="Arial" w:eastAsia="Calibri" w:hAnsi="Arial" w:cs="Arial"/>
          <w:i/>
          <w:iCs/>
          <w:sz w:val="20"/>
          <w:szCs w:val="20"/>
        </w:rPr>
      </w:pPr>
      <w:r w:rsidRPr="002A7E48">
        <w:rPr>
          <w:rFonts w:ascii="Arial" w:eastAsia="Calibri" w:hAnsi="Arial" w:cs="Arial"/>
          <w:i/>
          <w:iCs/>
          <w:sz w:val="20"/>
          <w:szCs w:val="20"/>
        </w:rPr>
        <w:t>Število novo priključenih gospodinjstev na novo zgrajenih širokopasovnih omrežjih z najmanj 100Mb/s</w:t>
      </w:r>
    </w:p>
    <w:p w14:paraId="3B4ACF1B" w14:textId="77777777" w:rsidR="002A7E48" w:rsidRPr="002A7E48" w:rsidRDefault="002A7E48" w:rsidP="002A7E48">
      <w:pPr>
        <w:spacing w:after="0"/>
        <w:jc w:val="both"/>
        <w:rPr>
          <w:rFonts w:ascii="Arial" w:eastAsia="Calibri" w:hAnsi="Arial" w:cs="Arial"/>
          <w:sz w:val="20"/>
          <w:szCs w:val="20"/>
        </w:rPr>
      </w:pPr>
      <w:r w:rsidRPr="002A7E48">
        <w:rPr>
          <w:rFonts w:ascii="Arial" w:eastAsia="Calibri" w:hAnsi="Arial" w:cs="Arial"/>
          <w:sz w:val="20"/>
          <w:szCs w:val="20"/>
        </w:rPr>
        <w:t>v</w:t>
      </w:r>
    </w:p>
    <w:p w14:paraId="3FF8064A" w14:textId="77777777" w:rsidR="002A7E48" w:rsidRPr="002A7E48" w:rsidRDefault="002A7E48" w:rsidP="002A7E48">
      <w:pPr>
        <w:spacing w:after="0"/>
        <w:jc w:val="both"/>
        <w:rPr>
          <w:rFonts w:ascii="Arial" w:eastAsia="Calibri" w:hAnsi="Arial" w:cs="Arial"/>
          <w:i/>
          <w:iCs/>
          <w:sz w:val="20"/>
          <w:szCs w:val="20"/>
        </w:rPr>
      </w:pPr>
      <w:r w:rsidRPr="002A7E48">
        <w:rPr>
          <w:rFonts w:ascii="Arial" w:eastAsia="Calibri" w:hAnsi="Arial" w:cs="Arial"/>
          <w:i/>
          <w:iCs/>
          <w:sz w:val="20"/>
          <w:szCs w:val="20"/>
        </w:rPr>
        <w:t>Število novo omogočenih  gospodinjstev na novo zgrajenih širokopasovnih omrežjih z najmanj 100Mb/s.</w:t>
      </w:r>
    </w:p>
    <w:p w14:paraId="291629AA" w14:textId="77777777" w:rsidR="002A7E48" w:rsidRPr="002A7E48" w:rsidRDefault="002A7E48" w:rsidP="002A7E48">
      <w:pPr>
        <w:spacing w:after="0"/>
        <w:jc w:val="both"/>
        <w:rPr>
          <w:rFonts w:ascii="Arial" w:eastAsia="Calibri" w:hAnsi="Arial" w:cs="Arial"/>
          <w:i/>
          <w:iCs/>
          <w:sz w:val="20"/>
          <w:szCs w:val="20"/>
        </w:rPr>
      </w:pPr>
    </w:p>
    <w:p w14:paraId="52491DFF" w14:textId="77777777" w:rsidR="002A7E48" w:rsidRPr="002A7E48" w:rsidRDefault="002A7E48" w:rsidP="002A7E48">
      <w:pPr>
        <w:keepNext/>
        <w:keepLines/>
        <w:spacing w:after="0" w:line="240" w:lineRule="auto"/>
        <w:outlineLvl w:val="1"/>
        <w:rPr>
          <w:rFonts w:ascii="Arial" w:eastAsia="Times New Roman" w:hAnsi="Arial" w:cs="Arial"/>
          <w:b/>
          <w:sz w:val="24"/>
          <w:szCs w:val="26"/>
        </w:rPr>
      </w:pPr>
      <w:r w:rsidRPr="002A7E48">
        <w:rPr>
          <w:rFonts w:ascii="Arial" w:eastAsia="Times New Roman" w:hAnsi="Arial" w:cs="Arial"/>
          <w:b/>
          <w:sz w:val="24"/>
          <w:szCs w:val="26"/>
        </w:rPr>
        <w:t>PO4</w:t>
      </w:r>
    </w:p>
    <w:p w14:paraId="5A10A52A"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 xml:space="preserve">Na področju prednostne osi 4 se je tekom izvajanja ukrepov pojavilo veliko sprememb, ki so vplivale na to, da so potrebne določene prilagoditve, ki so v nadaljevanju podrobneje opredeljene po posameznih prednostnih naložbah. </w:t>
      </w:r>
    </w:p>
    <w:p w14:paraId="4B9D1AD1" w14:textId="77777777" w:rsidR="002A7E48" w:rsidRPr="002A7E48" w:rsidRDefault="002A7E48" w:rsidP="002A7E48">
      <w:pPr>
        <w:spacing w:after="0" w:line="240" w:lineRule="auto"/>
        <w:jc w:val="both"/>
        <w:rPr>
          <w:rFonts w:ascii="Arial" w:eastAsia="Calibri" w:hAnsi="Arial" w:cs="Arial"/>
          <w:sz w:val="20"/>
          <w:szCs w:val="20"/>
        </w:rPr>
      </w:pPr>
    </w:p>
    <w:p w14:paraId="651AA69B"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Na področju spodbujanja energetske učinkovitosti ožjega in širšega javnega sektorja (last RS) in področju trajnostne mobilnosti (Javni razpis za sofinanciranje ukrepov trajnostne mobilnosti) se je tekom izvajanja ukrepov izkazala</w:t>
      </w:r>
      <w:r w:rsidRPr="002A7E48">
        <w:rPr>
          <w:rFonts w:ascii="Calibri" w:eastAsia="Calibri" w:hAnsi="Calibri" w:cs="Times New Roman"/>
          <w:sz w:val="20"/>
          <w:szCs w:val="20"/>
        </w:rPr>
        <w:t xml:space="preserve"> </w:t>
      </w:r>
      <w:r w:rsidRPr="002A7E48">
        <w:rPr>
          <w:rFonts w:ascii="Arial" w:eastAsia="Calibri" w:hAnsi="Arial" w:cs="Arial"/>
          <w:sz w:val="20"/>
          <w:szCs w:val="20"/>
        </w:rPr>
        <w:t>nižja uspešnost od pričakovane pri financiranju projektov zaradi upoštevanja fiskalnih omejitev, nezmožnosti zadolževanja, težav pri zapiranju finančne konstrukcije ter dolgotrajnosti postopkov (JZP, JN). Sprejeta je bila odločitev, da se sredstva prerazporedi na ukrepe spodbujanja proizvodnje in distribucije energije iz obnovljivih virov, predvsem proizvodnja električne energije iz sončne energije, saj se je tekom izvajanja izkazalo, da ne obstajajo ustrezni sistemski predpogoji za izvedbo projektov  proizvodnje električne energije iz vetrne energije (neuspeli javni razpisi) ter da obstajajo precej zahtevni pogoji za pridobivanje dovoljenj za izvedbo novih daljinskih sistemov ogrevanja na OVE (omenjene podlage se spreminjajo in nadgrajujejo v okviru NOO reform, predvsem pa nadgradnja zakonodaje ZUREP-3, ZRSOVE, ZUOVE (ZUNPEOV) v letih 2022, 2023). Posledično se predlaga nižanje ciljne vrednosti kazalnika 4.9 Dodatno inštalirana moč za proizvodnjo toplote iz 83 na 50.</w:t>
      </w:r>
    </w:p>
    <w:p w14:paraId="4A766A9D" w14:textId="77777777" w:rsidR="002A7E48" w:rsidRPr="002A7E48" w:rsidRDefault="002A7E48" w:rsidP="002A7E48">
      <w:pPr>
        <w:spacing w:after="0" w:line="240" w:lineRule="auto"/>
        <w:jc w:val="both"/>
        <w:rPr>
          <w:rFonts w:ascii="Arial" w:eastAsia="Calibri" w:hAnsi="Arial" w:cs="Arial"/>
          <w:sz w:val="20"/>
          <w:szCs w:val="20"/>
        </w:rPr>
      </w:pPr>
    </w:p>
    <w:p w14:paraId="3BE4EEDD"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 xml:space="preserve">Na prednostni nalogi 4.3 »4iv.Razvoj in uporaba pametnih distribucijskih sistemov, ki delujejo pri nizkih in srednjih napetostih« je bila izvedena revizija o intenzivnosti dodeljene državne pomoči glede na poslovni dobiček upravičencev. Zunanja revizijska družba KF Finance je po naročilu MZI dne 30. 11. 2021 pripravila poročilo o metodologiji izračuna poslovnega dobička in izračun poslovnega dobička distribucijskih podjetij za naložbe nakupa in vgradnje pametnih števcev električne energije, ki so bila predmet EU sofinanciranja. Analiza je bila pripravljena v obdobju od 2.11.2020 do 30.11.2021. V izračunu projektne naloge so bili zajeti stroški poslovanja in vsi relevantni prihodki. Iz poročila je razvidno, da vse tri operacije po mnenju revizorja niso upravičene do sofinanciranja sredstev v okviru javnega razpisa JR PŠ EE 2017, ker poslovni dobiček predmetnih naložb presega njihove upravičene stroške. PO MZI je posledično ugotovil, da so nastali izdatki neupravičeni do sofinanciranja iz sredstev </w:t>
      </w:r>
      <w:r w:rsidRPr="002A7E48">
        <w:rPr>
          <w:rFonts w:ascii="Arial" w:eastAsia="Calibri" w:hAnsi="Arial" w:cs="Arial"/>
          <w:sz w:val="20"/>
          <w:szCs w:val="20"/>
        </w:rPr>
        <w:lastRenderedPageBreak/>
        <w:t>evropske kohezijske politike, zaradi česar je bil, skladno s pogodbo o sofinanciranju in zakonom o izvrševanju proračunov, sprožen postopek za vračilo sredstev. Predlaga se, da se v okviru spremembe OP prednostna naloga 4.3 (4iv) ukine. Prav tako se zaradi ukinitve ukrepa predlaga, da se ciljna vrednost (za leto 2023) kazalnika CO33 »Energetska učinkovitost: Število dodatnih uporabnikov energije, priključenih na pametna omrežja« in 4.11 »Delež priključenih uporabnikov na napredne merilne sisteme« zmanjša na 0.</w:t>
      </w:r>
    </w:p>
    <w:p w14:paraId="58AC685B" w14:textId="77777777" w:rsidR="002A7E48" w:rsidRPr="002A7E48" w:rsidRDefault="002A7E48" w:rsidP="002A7E48">
      <w:pPr>
        <w:spacing w:after="0" w:line="240" w:lineRule="auto"/>
        <w:jc w:val="both"/>
        <w:rPr>
          <w:rFonts w:ascii="Arial" w:eastAsia="Calibri" w:hAnsi="Arial" w:cs="Arial"/>
          <w:sz w:val="20"/>
          <w:szCs w:val="20"/>
        </w:rPr>
      </w:pPr>
    </w:p>
    <w:p w14:paraId="692C3D41"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V okviru ukrepov prednostne naložbe 4.4 (4v) »Spodbujanje nizkoogljičnih strategij za vse vrste območij, zlasti za urbana območja, vključno s spodbujanjem trajnostne multimodalne urbane mobilnosti in ustreznimi omilitvenimi prilagoditvenimi ukrepi« ne bo izveden ukrep vzpostavitve infrastrukture na alternativna goriva, v skupni vrednosti okvirno 2 mio EUR. Po sprejemu OP EKP 2014-2020 je bilo ugotovljeno, da je pri oblikovanju ukrepa sofinanciranja postavitve polnilne infrastrukture prišlo do tehnično-administrativne napake, saj obstoječa Direktiva 2014/94/EU Evropskega parlamenta in Sveta o vzpostavitvi infrastrukture za alternativna goriva vsebuje definicije »javno dostopnih«, »pametnih«, »zasebnih« polnilnic, ki niso združljive z opisom kazalnika učinka 4.18. Dejstvo je, da izraz »javno dostopna« polnilna infrastruktura ni vezan na lastništvo polnilne infrastrukture, saj je lahko ta v lasti javnega ali zasebnega subjekta. Poleg tega javno dostopne polnilnice običajno niso namenjene počasnemu, daljinsko vodenemu polnjenju (t.i. pametno polnjenje), kar predstavlja še dodatno neskladnost v OP, ko govorimo o kazalniku 4.18. V tem delu se predlaga delno zmanjšanje sredstev Kohezijskega sklada ter hkratno zmanjšanje kazalnika (število pametnih polnilnih postaj). Ciljna vrednost (za leto 2023) kazalnika 4.18 se zaradi izločitve navedenega ukrepa iz vrednosti 50 javnih polnilnih postaj zmanjša na 0. Prav tako je potrebno ustrezno prilagoditi besedilo v delu »Ukrepi, ki jim je namenjena podpora«.</w:t>
      </w:r>
    </w:p>
    <w:p w14:paraId="6136CA6B" w14:textId="77777777" w:rsidR="002A7E48" w:rsidRPr="002A7E48" w:rsidRDefault="002A7E48" w:rsidP="002A7E48">
      <w:pPr>
        <w:spacing w:after="0" w:line="240" w:lineRule="auto"/>
        <w:jc w:val="both"/>
        <w:rPr>
          <w:rFonts w:ascii="Arial" w:eastAsia="Calibri" w:hAnsi="Arial" w:cs="Arial"/>
          <w:sz w:val="20"/>
          <w:szCs w:val="20"/>
        </w:rPr>
      </w:pPr>
    </w:p>
    <w:p w14:paraId="0E00429E"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Na področje prednostne naložbe 4.4. (4e)  »Spodbujanje nizkoogljičnih strategij za vse vrste območij, zlasti za urbana območja, vključno s spodbujanjem trajnostne multimodalne urbane mobilnosti in ustreznimi omilitvenimi prilagoditvenimi ukrepi« se prerazporedijo nedodeljena sredstva ESRR Vzhod iz prednostne naložbe 7.2 (7b) »Izboljšanje regionalne mobilnosti s povezovanjem sekundarnih in terciarnih prometnih vozlišč z infrastrukturo TEN-T, tudi prek multimodalnih vozlišč« v skupni višini 28,5 mio EUR (EU del)</w:t>
      </w:r>
      <w:r w:rsidRPr="002A7E48">
        <w:rPr>
          <w:rFonts w:ascii="Arial" w:eastAsia="Times New Roman" w:hAnsi="Arial" w:cs="Times New Roman"/>
          <w:sz w:val="20"/>
          <w:szCs w:val="24"/>
        </w:rPr>
        <w:t xml:space="preserve"> </w:t>
      </w:r>
      <w:r w:rsidRPr="002A7E48">
        <w:rPr>
          <w:rFonts w:ascii="Arial" w:eastAsia="Calibri" w:hAnsi="Arial" w:cs="Arial"/>
          <w:sz w:val="20"/>
          <w:szCs w:val="20"/>
        </w:rPr>
        <w:t xml:space="preserve">in iz PO 5 »Prilagajanje na podnebne spremembe« v višini 8,28 mio EUR (EU del). Sredstva iz PN 7.2 se prerazporejajo zaradi  izločitve projekta Izgradnja 3. razvojne osi jug, 1. in 2. etapa nove prometne povezave Novo mesto vzhod-priključek Maline, ki se v okviru Operativnega programa 2014-2020 ne bo izvedel. </w:t>
      </w:r>
    </w:p>
    <w:p w14:paraId="3B084F69" w14:textId="77777777" w:rsidR="002A7E48" w:rsidRPr="002A7E48" w:rsidRDefault="002A7E48" w:rsidP="002A7E48">
      <w:pPr>
        <w:spacing w:after="0" w:line="240" w:lineRule="auto"/>
        <w:jc w:val="both"/>
        <w:rPr>
          <w:rFonts w:ascii="Arial" w:eastAsia="Calibri" w:hAnsi="Arial" w:cs="Arial"/>
          <w:sz w:val="20"/>
          <w:szCs w:val="20"/>
        </w:rPr>
      </w:pPr>
    </w:p>
    <w:p w14:paraId="48DB48D5"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V okviru PN 4.4. (4e) je bilo namreč za mehanizem Dogovor za razvoj regij predvidenih 23 mio EUR, v okviru katerih se je predvidevalo izgradnjo najmanj 35 km novih kolesarskih povezav. Skladno z dvigom višine pravic porabe se zato predlaga dvig kazalnika učinka iz 30 km na 83 km v kohezijski regiji Vzhodna Slovenija.</w:t>
      </w:r>
    </w:p>
    <w:p w14:paraId="1F85FD7B" w14:textId="77777777" w:rsidR="002A7E48" w:rsidRPr="002A7E48" w:rsidRDefault="002A7E48" w:rsidP="002A7E48">
      <w:pPr>
        <w:spacing w:after="0" w:line="240" w:lineRule="auto"/>
        <w:jc w:val="both"/>
        <w:rPr>
          <w:rFonts w:ascii="Arial" w:eastAsia="Calibri" w:hAnsi="Arial" w:cs="Arial"/>
          <w:sz w:val="20"/>
          <w:szCs w:val="20"/>
        </w:rPr>
      </w:pPr>
    </w:p>
    <w:p w14:paraId="725A12F3"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Ostanek sredstev iz Kohezijskega sklada iz PO4 v višini 15.409.050 EUR se prerazporedi na prednostno naložbo 7.1. (7iii) »Razvoj in obnova celostnih, visokokakovostnih in interoperabilnih železniških sistemov ter spodbujanje ukrepov za zmanjševanje hrupa« za namene projekta Nadgradnja železniške proge Maribor – Šentilj – d.m, ki je zaradi omejenosti sredstev v okviru OP EKP14-20 podfinanciran.</w:t>
      </w:r>
    </w:p>
    <w:p w14:paraId="0495E81F" w14:textId="77777777" w:rsidR="002A7E48" w:rsidRPr="002A7E48" w:rsidRDefault="002A7E48" w:rsidP="002A7E48">
      <w:pPr>
        <w:spacing w:after="0" w:line="240" w:lineRule="auto"/>
        <w:jc w:val="both"/>
        <w:rPr>
          <w:rFonts w:ascii="Arial" w:eastAsia="Calibri" w:hAnsi="Arial" w:cs="Arial"/>
          <w:b/>
          <w:i/>
          <w:sz w:val="20"/>
          <w:szCs w:val="20"/>
        </w:rPr>
      </w:pPr>
    </w:p>
    <w:p w14:paraId="05F699D9" w14:textId="77777777" w:rsidR="002A7E48" w:rsidRPr="002A7E48" w:rsidRDefault="002A7E48" w:rsidP="002A7E48">
      <w:pPr>
        <w:spacing w:after="0" w:line="240" w:lineRule="auto"/>
        <w:jc w:val="both"/>
        <w:rPr>
          <w:rFonts w:ascii="Arial" w:eastAsia="Calibri" w:hAnsi="Arial" w:cs="Arial"/>
          <w:b/>
          <w:i/>
          <w:sz w:val="20"/>
          <w:szCs w:val="20"/>
        </w:rPr>
      </w:pPr>
      <w:r w:rsidRPr="002A7E48">
        <w:rPr>
          <w:rFonts w:ascii="Arial" w:eastAsia="Calibri" w:hAnsi="Arial" w:cs="Arial"/>
          <w:b/>
          <w:i/>
          <w:sz w:val="20"/>
          <w:szCs w:val="20"/>
        </w:rPr>
        <w:t>Finančni instrumenti</w:t>
      </w:r>
    </w:p>
    <w:p w14:paraId="6078D03A"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Na podlagi market testov in izvedeno »Analizo izvajanja finančnih instrumentov v podporo PN 4.1 (EU)« in v skladu s seznanitvijo OZS maja 2022 je OU v oktobru 2022 izdal spremenjeno odločitev o podpori za operacijo FI 2014-2020 za podporo področju PN 4.1 za znižanje v tem delu iz 25,000.000,00 EUR na 6.730.000,00 EUR oziroma iz skupno načrtovanih 253.000.000,00EUR sredstev za operacijo FI 2014-2020 na 234.730.000,00 EUR.  S spremembo OP se v delu FI podpore izvede v skladu z izvedenim znižanjem podpore FI tehnične popravke vrednosti podpore FI na PN 4.1. (Razpredelnica 7: Razsežnost 2- Oblika financiranje).</w:t>
      </w:r>
    </w:p>
    <w:p w14:paraId="15D93C55" w14:textId="77777777" w:rsidR="002A7E48" w:rsidRPr="002A7E48" w:rsidRDefault="002A7E48" w:rsidP="002A7E48">
      <w:pPr>
        <w:spacing w:after="0" w:line="240" w:lineRule="auto"/>
        <w:jc w:val="both"/>
        <w:rPr>
          <w:rFonts w:ascii="Arial" w:eastAsia="Calibri" w:hAnsi="Arial" w:cs="Arial"/>
          <w:sz w:val="20"/>
          <w:szCs w:val="20"/>
        </w:rPr>
      </w:pPr>
    </w:p>
    <w:p w14:paraId="1083E232" w14:textId="77777777" w:rsidR="002A7E48" w:rsidRDefault="002A7E48" w:rsidP="002A7E48">
      <w:pPr>
        <w:spacing w:after="0" w:line="240" w:lineRule="auto"/>
        <w:jc w:val="both"/>
        <w:rPr>
          <w:rFonts w:ascii="Arial" w:eastAsia="Calibri" w:hAnsi="Arial" w:cs="Arial"/>
          <w:b/>
          <w:sz w:val="20"/>
          <w:szCs w:val="20"/>
        </w:rPr>
      </w:pPr>
    </w:p>
    <w:p w14:paraId="7710C620" w14:textId="77777777" w:rsidR="002A7E48" w:rsidRDefault="002A7E48" w:rsidP="002A7E48">
      <w:pPr>
        <w:spacing w:after="0" w:line="240" w:lineRule="auto"/>
        <w:jc w:val="both"/>
        <w:rPr>
          <w:rFonts w:ascii="Arial" w:eastAsia="Calibri" w:hAnsi="Arial" w:cs="Arial"/>
          <w:b/>
          <w:sz w:val="20"/>
          <w:szCs w:val="20"/>
        </w:rPr>
      </w:pPr>
    </w:p>
    <w:p w14:paraId="028769EF" w14:textId="77777777" w:rsidR="002A7E48" w:rsidRDefault="002A7E48" w:rsidP="002A7E48">
      <w:pPr>
        <w:spacing w:after="0" w:line="240" w:lineRule="auto"/>
        <w:jc w:val="both"/>
        <w:rPr>
          <w:rFonts w:ascii="Arial" w:eastAsia="Calibri" w:hAnsi="Arial" w:cs="Arial"/>
          <w:b/>
          <w:sz w:val="20"/>
          <w:szCs w:val="20"/>
        </w:rPr>
      </w:pPr>
    </w:p>
    <w:p w14:paraId="11F4BCF1" w14:textId="77777777" w:rsidR="002A7E48" w:rsidRDefault="002A7E48" w:rsidP="002A7E48">
      <w:pPr>
        <w:spacing w:after="0" w:line="240" w:lineRule="auto"/>
        <w:jc w:val="both"/>
        <w:rPr>
          <w:rFonts w:ascii="Arial" w:eastAsia="Calibri" w:hAnsi="Arial" w:cs="Arial"/>
          <w:b/>
          <w:sz w:val="20"/>
          <w:szCs w:val="20"/>
        </w:rPr>
      </w:pPr>
    </w:p>
    <w:p w14:paraId="5F18C2E6" w14:textId="77777777" w:rsidR="002A7E48" w:rsidRDefault="002A7E48" w:rsidP="002A7E48">
      <w:pPr>
        <w:spacing w:after="0" w:line="240" w:lineRule="auto"/>
        <w:jc w:val="both"/>
        <w:rPr>
          <w:rFonts w:ascii="Arial" w:eastAsia="Calibri" w:hAnsi="Arial" w:cs="Arial"/>
          <w:b/>
          <w:sz w:val="20"/>
          <w:szCs w:val="20"/>
        </w:rPr>
      </w:pPr>
    </w:p>
    <w:p w14:paraId="240D71B9" w14:textId="77777777" w:rsidR="002A7E48" w:rsidRDefault="002A7E48" w:rsidP="002A7E48">
      <w:pPr>
        <w:spacing w:after="0" w:line="240" w:lineRule="auto"/>
        <w:jc w:val="both"/>
        <w:rPr>
          <w:rFonts w:ascii="Arial" w:eastAsia="Calibri" w:hAnsi="Arial" w:cs="Arial"/>
          <w:b/>
          <w:sz w:val="20"/>
          <w:szCs w:val="20"/>
        </w:rPr>
      </w:pPr>
    </w:p>
    <w:p w14:paraId="34FDE0C6" w14:textId="77777777" w:rsidR="002A7E48" w:rsidRDefault="002A7E48" w:rsidP="002A7E48">
      <w:pPr>
        <w:spacing w:after="0" w:line="240" w:lineRule="auto"/>
        <w:jc w:val="both"/>
        <w:rPr>
          <w:rFonts w:ascii="Arial" w:eastAsia="Calibri" w:hAnsi="Arial" w:cs="Arial"/>
          <w:b/>
          <w:sz w:val="20"/>
          <w:szCs w:val="20"/>
        </w:rPr>
      </w:pPr>
    </w:p>
    <w:p w14:paraId="49EC34A3" w14:textId="3C58C803" w:rsidR="002A7E48" w:rsidRPr="002A7E48" w:rsidRDefault="002A7E48" w:rsidP="002A7E48">
      <w:pPr>
        <w:spacing w:after="0" w:line="240" w:lineRule="auto"/>
        <w:jc w:val="both"/>
        <w:rPr>
          <w:rFonts w:ascii="Arial" w:eastAsia="Calibri" w:hAnsi="Arial" w:cs="Arial"/>
          <w:b/>
          <w:sz w:val="20"/>
          <w:szCs w:val="20"/>
        </w:rPr>
      </w:pPr>
      <w:r w:rsidRPr="002A7E48">
        <w:rPr>
          <w:rFonts w:ascii="Arial" w:eastAsia="Calibri" w:hAnsi="Arial" w:cs="Arial"/>
          <w:b/>
          <w:sz w:val="20"/>
          <w:szCs w:val="20"/>
        </w:rPr>
        <w:lastRenderedPageBreak/>
        <w:t>Tabela 6: Predlog spremembe »Razsežnosti 1 – Področje intervencije«</w:t>
      </w:r>
    </w:p>
    <w:tbl>
      <w:tblPr>
        <w:tblW w:w="9062" w:type="dxa"/>
        <w:tblInd w:w="-10" w:type="dxa"/>
        <w:tblCellMar>
          <w:left w:w="70" w:type="dxa"/>
          <w:right w:w="70" w:type="dxa"/>
        </w:tblCellMar>
        <w:tblLook w:val="04A0" w:firstRow="1" w:lastRow="0" w:firstColumn="1" w:lastColumn="0" w:noHBand="0" w:noVBand="1"/>
      </w:tblPr>
      <w:tblGrid>
        <w:gridCol w:w="572"/>
        <w:gridCol w:w="917"/>
        <w:gridCol w:w="29"/>
        <w:gridCol w:w="2715"/>
        <w:gridCol w:w="1510"/>
        <w:gridCol w:w="1678"/>
        <w:gridCol w:w="1641"/>
      </w:tblGrid>
      <w:tr w:rsidR="002A7E48" w:rsidRPr="002A7E48" w14:paraId="2EDC8D39" w14:textId="77777777" w:rsidTr="0042240D">
        <w:trPr>
          <w:trHeight w:val="198"/>
        </w:trPr>
        <w:tc>
          <w:tcPr>
            <w:tcW w:w="1467"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14:paraId="05AC2E0E" w14:textId="77777777" w:rsidR="002A7E48" w:rsidRPr="002A7E48" w:rsidRDefault="002A7E48" w:rsidP="002A7E48">
            <w:pPr>
              <w:spacing w:after="0" w:line="240" w:lineRule="auto"/>
              <w:rPr>
                <w:rFonts w:ascii="Arial" w:eastAsia="Times New Roman" w:hAnsi="Arial" w:cs="Arial"/>
                <w:b/>
                <w:bCs/>
                <w:color w:val="000000"/>
                <w:sz w:val="16"/>
                <w:szCs w:val="16"/>
                <w:lang w:eastAsia="sl-SI"/>
              </w:rPr>
            </w:pPr>
            <w:r w:rsidRPr="002A7E48">
              <w:rPr>
                <w:rFonts w:ascii="Arial" w:eastAsia="Times New Roman" w:hAnsi="Arial" w:cs="Arial"/>
                <w:b/>
                <w:bCs/>
                <w:noProof/>
                <w:color w:val="000000"/>
                <w:sz w:val="16"/>
                <w:szCs w:val="16"/>
                <w:lang w:eastAsia="sl-SI"/>
              </w:rPr>
              <w:t>Prednostna os</w:t>
            </w:r>
          </w:p>
        </w:tc>
        <w:tc>
          <w:tcPr>
            <w:tcW w:w="2734" w:type="dxa"/>
            <w:tcBorders>
              <w:top w:val="single" w:sz="8" w:space="0" w:color="auto"/>
              <w:left w:val="nil"/>
              <w:bottom w:val="single" w:sz="8" w:space="0" w:color="auto"/>
              <w:right w:val="single" w:sz="8" w:space="0" w:color="auto"/>
            </w:tcBorders>
            <w:shd w:val="clear" w:color="auto" w:fill="auto"/>
            <w:vAlign w:val="center"/>
            <w:hideMark/>
          </w:tcPr>
          <w:p w14:paraId="396F8496" w14:textId="77777777" w:rsidR="002A7E48" w:rsidRPr="002A7E48" w:rsidRDefault="002A7E48" w:rsidP="002A7E48">
            <w:pPr>
              <w:spacing w:after="0" w:line="240" w:lineRule="auto"/>
              <w:rPr>
                <w:rFonts w:ascii="Arial" w:eastAsia="Times New Roman" w:hAnsi="Arial" w:cs="Arial"/>
                <w:b/>
                <w:bCs/>
                <w:color w:val="000000"/>
                <w:sz w:val="16"/>
                <w:szCs w:val="16"/>
                <w:lang w:eastAsia="sl-SI"/>
              </w:rPr>
            </w:pPr>
            <w:r w:rsidRPr="002A7E48">
              <w:rPr>
                <w:rFonts w:ascii="Arial" w:eastAsia="Times New Roman" w:hAnsi="Arial" w:cs="Arial"/>
                <w:b/>
                <w:bCs/>
                <w:noProof/>
                <w:color w:val="000000"/>
                <w:sz w:val="16"/>
                <w:szCs w:val="16"/>
                <w:lang w:eastAsia="sl-SI"/>
              </w:rPr>
              <w:t>04 -  Trajnostna raba in proizvodnja energije in pametna omrežja</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14:paraId="063E3C7F" w14:textId="77777777" w:rsidR="002A7E48" w:rsidRPr="002A7E48" w:rsidRDefault="002A7E48" w:rsidP="002A7E48">
            <w:pPr>
              <w:spacing w:after="0" w:line="240" w:lineRule="auto"/>
              <w:jc w:val="center"/>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Pravice porabe EU del OP, 7.1</w:t>
            </w:r>
          </w:p>
        </w:tc>
        <w:tc>
          <w:tcPr>
            <w:tcW w:w="1689" w:type="dxa"/>
            <w:tcBorders>
              <w:top w:val="single" w:sz="8" w:space="0" w:color="auto"/>
              <w:left w:val="nil"/>
              <w:bottom w:val="single" w:sz="8" w:space="0" w:color="auto"/>
              <w:right w:val="single" w:sz="8" w:space="0" w:color="auto"/>
            </w:tcBorders>
            <w:shd w:val="clear" w:color="auto" w:fill="auto"/>
            <w:vAlign w:val="center"/>
            <w:hideMark/>
          </w:tcPr>
          <w:p w14:paraId="1CA38AFD" w14:textId="77777777" w:rsidR="002A7E48" w:rsidRPr="002A7E48" w:rsidRDefault="002A7E48" w:rsidP="002A7E48">
            <w:pPr>
              <w:spacing w:after="0" w:line="240" w:lineRule="auto"/>
              <w:jc w:val="center"/>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predlagane spremembe</w:t>
            </w:r>
          </w:p>
        </w:tc>
        <w:tc>
          <w:tcPr>
            <w:tcW w:w="1652" w:type="dxa"/>
            <w:tcBorders>
              <w:top w:val="single" w:sz="8" w:space="0" w:color="auto"/>
              <w:left w:val="nil"/>
              <w:bottom w:val="single" w:sz="8" w:space="0" w:color="auto"/>
              <w:right w:val="single" w:sz="8" w:space="0" w:color="auto"/>
            </w:tcBorders>
            <w:shd w:val="clear" w:color="auto" w:fill="auto"/>
            <w:vAlign w:val="center"/>
            <w:hideMark/>
          </w:tcPr>
          <w:p w14:paraId="4917BDE3" w14:textId="77777777" w:rsidR="002A7E48" w:rsidRPr="002A7E48" w:rsidRDefault="002A7E48" w:rsidP="002A7E48">
            <w:pPr>
              <w:spacing w:after="0" w:line="240" w:lineRule="auto"/>
              <w:jc w:val="center"/>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Pravice porabe EU del OP, 8.0</w:t>
            </w:r>
          </w:p>
        </w:tc>
      </w:tr>
      <w:tr w:rsidR="002A7E48" w:rsidRPr="002A7E48" w14:paraId="11EB05EF" w14:textId="77777777" w:rsidTr="0042240D">
        <w:trPr>
          <w:trHeight w:val="137"/>
        </w:trPr>
        <w:tc>
          <w:tcPr>
            <w:tcW w:w="525" w:type="dxa"/>
            <w:tcBorders>
              <w:top w:val="nil"/>
              <w:left w:val="single" w:sz="8" w:space="0" w:color="auto"/>
              <w:bottom w:val="single" w:sz="8" w:space="0" w:color="auto"/>
              <w:right w:val="single" w:sz="8" w:space="0" w:color="auto"/>
            </w:tcBorders>
            <w:shd w:val="clear" w:color="auto" w:fill="auto"/>
            <w:vAlign w:val="center"/>
            <w:hideMark/>
          </w:tcPr>
          <w:p w14:paraId="5E22A2CA" w14:textId="77777777" w:rsidR="002A7E48" w:rsidRPr="002A7E48" w:rsidRDefault="002A7E48" w:rsidP="002A7E48">
            <w:pPr>
              <w:spacing w:after="0" w:line="240" w:lineRule="auto"/>
              <w:jc w:val="center"/>
              <w:rPr>
                <w:rFonts w:ascii="Arial" w:eastAsia="Times New Roman" w:hAnsi="Arial" w:cs="Arial"/>
                <w:b/>
                <w:bCs/>
                <w:color w:val="000000"/>
                <w:sz w:val="16"/>
                <w:szCs w:val="16"/>
                <w:lang w:eastAsia="sl-SI"/>
              </w:rPr>
            </w:pPr>
            <w:r w:rsidRPr="002A7E48">
              <w:rPr>
                <w:rFonts w:ascii="Arial" w:eastAsia="Times New Roman" w:hAnsi="Arial" w:cs="Arial"/>
                <w:b/>
                <w:bCs/>
                <w:noProof/>
                <w:color w:val="000000"/>
                <w:sz w:val="16"/>
                <w:szCs w:val="16"/>
                <w:lang w:eastAsia="en-GB"/>
              </w:rPr>
              <w:t>Sklad</w:t>
            </w:r>
          </w:p>
        </w:tc>
        <w:tc>
          <w:tcPr>
            <w:tcW w:w="914" w:type="dxa"/>
            <w:tcBorders>
              <w:top w:val="nil"/>
              <w:left w:val="nil"/>
              <w:bottom w:val="single" w:sz="8" w:space="0" w:color="auto"/>
              <w:right w:val="single" w:sz="8" w:space="0" w:color="auto"/>
            </w:tcBorders>
            <w:shd w:val="clear" w:color="auto" w:fill="auto"/>
            <w:vAlign w:val="center"/>
            <w:hideMark/>
          </w:tcPr>
          <w:p w14:paraId="71CC0C7A" w14:textId="77777777" w:rsidR="002A7E48" w:rsidRPr="002A7E48" w:rsidRDefault="002A7E48" w:rsidP="002A7E48">
            <w:pPr>
              <w:spacing w:after="0" w:line="240" w:lineRule="auto"/>
              <w:rPr>
                <w:rFonts w:ascii="Arial" w:eastAsia="Times New Roman" w:hAnsi="Arial" w:cs="Arial"/>
                <w:b/>
                <w:bCs/>
                <w:color w:val="000000"/>
                <w:sz w:val="16"/>
                <w:szCs w:val="16"/>
                <w:lang w:eastAsia="sl-SI"/>
              </w:rPr>
            </w:pPr>
            <w:r w:rsidRPr="002A7E48">
              <w:rPr>
                <w:rFonts w:ascii="Arial" w:eastAsia="Times New Roman" w:hAnsi="Arial" w:cs="Arial"/>
                <w:b/>
                <w:bCs/>
                <w:noProof/>
                <w:color w:val="000000"/>
                <w:sz w:val="16"/>
                <w:szCs w:val="16"/>
                <w:lang w:eastAsia="en-GB"/>
              </w:rPr>
              <w:t>Kategorija regije</w:t>
            </w:r>
          </w:p>
        </w:tc>
        <w:tc>
          <w:tcPr>
            <w:tcW w:w="2762" w:type="dxa"/>
            <w:gridSpan w:val="2"/>
            <w:tcBorders>
              <w:top w:val="nil"/>
              <w:left w:val="nil"/>
              <w:bottom w:val="single" w:sz="8" w:space="0" w:color="auto"/>
              <w:right w:val="single" w:sz="8" w:space="0" w:color="auto"/>
            </w:tcBorders>
            <w:shd w:val="clear" w:color="auto" w:fill="auto"/>
            <w:vAlign w:val="center"/>
            <w:hideMark/>
          </w:tcPr>
          <w:p w14:paraId="3C079025" w14:textId="77777777" w:rsidR="002A7E48" w:rsidRPr="002A7E48" w:rsidRDefault="002A7E48" w:rsidP="002A7E48">
            <w:pPr>
              <w:spacing w:after="0" w:line="240" w:lineRule="auto"/>
              <w:jc w:val="center"/>
              <w:rPr>
                <w:rFonts w:ascii="Arial" w:eastAsia="Times New Roman" w:hAnsi="Arial" w:cs="Arial"/>
                <w:b/>
                <w:bCs/>
                <w:color w:val="000000"/>
                <w:sz w:val="16"/>
                <w:szCs w:val="16"/>
                <w:lang w:eastAsia="sl-SI"/>
              </w:rPr>
            </w:pPr>
            <w:r w:rsidRPr="002A7E48">
              <w:rPr>
                <w:rFonts w:ascii="Arial" w:eastAsia="Times New Roman" w:hAnsi="Arial" w:cs="Arial"/>
                <w:b/>
                <w:bCs/>
                <w:noProof/>
                <w:color w:val="000000"/>
                <w:sz w:val="16"/>
                <w:szCs w:val="16"/>
                <w:lang w:eastAsia="sl-SI"/>
              </w:rPr>
              <w:t>Oznaka</w:t>
            </w:r>
          </w:p>
        </w:tc>
        <w:tc>
          <w:tcPr>
            <w:tcW w:w="1520" w:type="dxa"/>
            <w:tcBorders>
              <w:top w:val="nil"/>
              <w:left w:val="nil"/>
              <w:bottom w:val="single" w:sz="8" w:space="0" w:color="auto"/>
              <w:right w:val="single" w:sz="8" w:space="0" w:color="auto"/>
            </w:tcBorders>
            <w:shd w:val="clear" w:color="auto" w:fill="auto"/>
            <w:vAlign w:val="center"/>
            <w:hideMark/>
          </w:tcPr>
          <w:p w14:paraId="09319D9B" w14:textId="77777777" w:rsidR="002A7E48" w:rsidRPr="002A7E48" w:rsidRDefault="002A7E48" w:rsidP="002A7E48">
            <w:pPr>
              <w:spacing w:after="0" w:line="240" w:lineRule="auto"/>
              <w:jc w:val="center"/>
              <w:rPr>
                <w:rFonts w:ascii="Arial" w:eastAsia="Times New Roman" w:hAnsi="Arial" w:cs="Arial"/>
                <w:b/>
                <w:bCs/>
                <w:color w:val="000000"/>
                <w:sz w:val="16"/>
                <w:szCs w:val="16"/>
                <w:lang w:eastAsia="sl-SI"/>
              </w:rPr>
            </w:pPr>
            <w:r w:rsidRPr="002A7E48">
              <w:rPr>
                <w:rFonts w:ascii="Arial" w:eastAsia="Times New Roman" w:hAnsi="Arial" w:cs="Arial"/>
                <w:b/>
                <w:bCs/>
                <w:noProof/>
                <w:color w:val="000000"/>
                <w:sz w:val="16"/>
                <w:szCs w:val="16"/>
                <w:lang w:eastAsia="sl-SI"/>
              </w:rPr>
              <w:t>Znesek v EUR</w:t>
            </w:r>
          </w:p>
        </w:tc>
        <w:tc>
          <w:tcPr>
            <w:tcW w:w="1689" w:type="dxa"/>
            <w:tcBorders>
              <w:top w:val="nil"/>
              <w:left w:val="nil"/>
              <w:bottom w:val="single" w:sz="8" w:space="0" w:color="auto"/>
              <w:right w:val="single" w:sz="8" w:space="0" w:color="auto"/>
            </w:tcBorders>
            <w:shd w:val="clear" w:color="auto" w:fill="auto"/>
            <w:vAlign w:val="center"/>
            <w:hideMark/>
          </w:tcPr>
          <w:p w14:paraId="4F7805B2" w14:textId="77777777" w:rsidR="002A7E48" w:rsidRPr="002A7E48" w:rsidRDefault="002A7E48" w:rsidP="002A7E48">
            <w:pPr>
              <w:spacing w:after="0" w:line="240" w:lineRule="auto"/>
              <w:jc w:val="center"/>
              <w:rPr>
                <w:rFonts w:ascii="Arial" w:eastAsia="Times New Roman" w:hAnsi="Arial" w:cs="Arial"/>
                <w:b/>
                <w:bCs/>
                <w:color w:val="000000"/>
                <w:sz w:val="16"/>
                <w:szCs w:val="16"/>
                <w:lang w:eastAsia="sl-SI"/>
              </w:rPr>
            </w:pPr>
            <w:r w:rsidRPr="002A7E48">
              <w:rPr>
                <w:rFonts w:ascii="Arial" w:eastAsia="Times New Roman" w:hAnsi="Arial" w:cs="Arial"/>
                <w:b/>
                <w:bCs/>
                <w:noProof/>
                <w:color w:val="000000"/>
                <w:sz w:val="16"/>
                <w:szCs w:val="16"/>
                <w:lang w:eastAsia="sl-SI"/>
              </w:rPr>
              <w:t>Znesek v EUR</w:t>
            </w:r>
          </w:p>
        </w:tc>
        <w:tc>
          <w:tcPr>
            <w:tcW w:w="1652" w:type="dxa"/>
            <w:tcBorders>
              <w:top w:val="nil"/>
              <w:left w:val="nil"/>
              <w:bottom w:val="single" w:sz="8" w:space="0" w:color="auto"/>
              <w:right w:val="single" w:sz="8" w:space="0" w:color="auto"/>
            </w:tcBorders>
            <w:shd w:val="clear" w:color="auto" w:fill="auto"/>
            <w:vAlign w:val="center"/>
            <w:hideMark/>
          </w:tcPr>
          <w:p w14:paraId="4A7F54F5" w14:textId="77777777" w:rsidR="002A7E48" w:rsidRPr="002A7E48" w:rsidRDefault="002A7E48" w:rsidP="002A7E48">
            <w:pPr>
              <w:spacing w:after="0" w:line="240" w:lineRule="auto"/>
              <w:jc w:val="center"/>
              <w:rPr>
                <w:rFonts w:ascii="Arial" w:eastAsia="Times New Roman" w:hAnsi="Arial" w:cs="Arial"/>
                <w:b/>
                <w:bCs/>
                <w:color w:val="000000"/>
                <w:sz w:val="16"/>
                <w:szCs w:val="16"/>
                <w:lang w:eastAsia="sl-SI"/>
              </w:rPr>
            </w:pPr>
            <w:r w:rsidRPr="002A7E48">
              <w:rPr>
                <w:rFonts w:ascii="Arial" w:eastAsia="Times New Roman" w:hAnsi="Arial" w:cs="Arial"/>
                <w:b/>
                <w:bCs/>
                <w:noProof/>
                <w:color w:val="000000"/>
                <w:sz w:val="16"/>
                <w:szCs w:val="16"/>
                <w:lang w:eastAsia="sl-SI"/>
              </w:rPr>
              <w:t>Znesek v EUR</w:t>
            </w:r>
          </w:p>
        </w:tc>
      </w:tr>
      <w:tr w:rsidR="002A7E48" w:rsidRPr="002A7E48" w14:paraId="00A6DCF2" w14:textId="77777777" w:rsidTr="0042240D">
        <w:trPr>
          <w:trHeight w:val="137"/>
        </w:trPr>
        <w:tc>
          <w:tcPr>
            <w:tcW w:w="525" w:type="dxa"/>
            <w:tcBorders>
              <w:top w:val="nil"/>
              <w:left w:val="single" w:sz="8" w:space="0" w:color="auto"/>
              <w:bottom w:val="single" w:sz="8" w:space="0" w:color="auto"/>
              <w:right w:val="single" w:sz="8" w:space="0" w:color="auto"/>
            </w:tcBorders>
            <w:shd w:val="clear" w:color="auto" w:fill="auto"/>
            <w:vAlign w:val="center"/>
            <w:hideMark/>
          </w:tcPr>
          <w:p w14:paraId="004F6DE1" w14:textId="77777777" w:rsidR="002A7E48" w:rsidRPr="002A7E48" w:rsidRDefault="002A7E48" w:rsidP="002A7E48">
            <w:pPr>
              <w:spacing w:after="0" w:line="240" w:lineRule="auto"/>
              <w:jc w:val="center"/>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val="en-GB" w:eastAsia="sl-SI"/>
              </w:rPr>
              <w:t>ERDF</w:t>
            </w:r>
          </w:p>
        </w:tc>
        <w:tc>
          <w:tcPr>
            <w:tcW w:w="914" w:type="dxa"/>
            <w:tcBorders>
              <w:top w:val="nil"/>
              <w:left w:val="nil"/>
              <w:bottom w:val="single" w:sz="8" w:space="0" w:color="auto"/>
              <w:right w:val="single" w:sz="8" w:space="0" w:color="auto"/>
            </w:tcBorders>
            <w:shd w:val="clear" w:color="auto" w:fill="auto"/>
            <w:vAlign w:val="center"/>
            <w:hideMark/>
          </w:tcPr>
          <w:p w14:paraId="0237123B"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eastAsia="sl-SI"/>
              </w:rPr>
              <w:t>Manj razvite</w:t>
            </w:r>
          </w:p>
        </w:tc>
        <w:tc>
          <w:tcPr>
            <w:tcW w:w="2762" w:type="dxa"/>
            <w:gridSpan w:val="2"/>
            <w:tcBorders>
              <w:top w:val="nil"/>
              <w:left w:val="nil"/>
              <w:bottom w:val="single" w:sz="8" w:space="0" w:color="auto"/>
              <w:right w:val="single" w:sz="8" w:space="0" w:color="auto"/>
            </w:tcBorders>
            <w:shd w:val="clear" w:color="auto" w:fill="auto"/>
            <w:noWrap/>
            <w:vAlign w:val="center"/>
            <w:hideMark/>
          </w:tcPr>
          <w:p w14:paraId="15C30B79"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eastAsia="sl-SI"/>
              </w:rPr>
              <w:t>083. Ukrepi na področju kakovosti zraka</w:t>
            </w:r>
          </w:p>
        </w:tc>
        <w:tc>
          <w:tcPr>
            <w:tcW w:w="1520" w:type="dxa"/>
            <w:tcBorders>
              <w:top w:val="nil"/>
              <w:left w:val="nil"/>
              <w:bottom w:val="single" w:sz="8" w:space="0" w:color="auto"/>
              <w:right w:val="single" w:sz="8" w:space="0" w:color="auto"/>
            </w:tcBorders>
            <w:shd w:val="clear" w:color="auto" w:fill="auto"/>
            <w:noWrap/>
            <w:vAlign w:val="center"/>
            <w:hideMark/>
          </w:tcPr>
          <w:p w14:paraId="769BDEFC"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noProof/>
                <w:color w:val="000000"/>
                <w:sz w:val="15"/>
                <w:szCs w:val="15"/>
                <w:lang w:eastAsia="sl-SI"/>
              </w:rPr>
              <w:t>10.014.152</w:t>
            </w:r>
          </w:p>
        </w:tc>
        <w:tc>
          <w:tcPr>
            <w:tcW w:w="1689" w:type="dxa"/>
            <w:tcBorders>
              <w:top w:val="nil"/>
              <w:left w:val="nil"/>
              <w:bottom w:val="single" w:sz="8" w:space="0" w:color="auto"/>
              <w:right w:val="single" w:sz="8" w:space="0" w:color="auto"/>
            </w:tcBorders>
            <w:shd w:val="clear" w:color="auto" w:fill="auto"/>
            <w:noWrap/>
            <w:vAlign w:val="center"/>
            <w:hideMark/>
          </w:tcPr>
          <w:p w14:paraId="54C652C8"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color w:val="000000"/>
                <w:sz w:val="15"/>
                <w:szCs w:val="15"/>
                <w:lang w:eastAsia="sl-SI"/>
              </w:rPr>
              <w:t> </w:t>
            </w:r>
          </w:p>
        </w:tc>
        <w:tc>
          <w:tcPr>
            <w:tcW w:w="1652" w:type="dxa"/>
            <w:tcBorders>
              <w:top w:val="nil"/>
              <w:left w:val="nil"/>
              <w:bottom w:val="single" w:sz="8" w:space="0" w:color="auto"/>
              <w:right w:val="single" w:sz="8" w:space="0" w:color="auto"/>
            </w:tcBorders>
            <w:shd w:val="clear" w:color="auto" w:fill="auto"/>
            <w:noWrap/>
            <w:vAlign w:val="center"/>
            <w:hideMark/>
          </w:tcPr>
          <w:p w14:paraId="5762B42C"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color w:val="000000"/>
                <w:sz w:val="15"/>
                <w:szCs w:val="15"/>
                <w:lang w:eastAsia="sl-SI"/>
              </w:rPr>
              <w:t>10.014.152</w:t>
            </w:r>
          </w:p>
        </w:tc>
      </w:tr>
      <w:tr w:rsidR="002A7E48" w:rsidRPr="002A7E48" w14:paraId="6C5E2383" w14:textId="77777777" w:rsidTr="0042240D">
        <w:trPr>
          <w:trHeight w:val="137"/>
        </w:trPr>
        <w:tc>
          <w:tcPr>
            <w:tcW w:w="525" w:type="dxa"/>
            <w:tcBorders>
              <w:top w:val="nil"/>
              <w:left w:val="single" w:sz="8" w:space="0" w:color="auto"/>
              <w:bottom w:val="single" w:sz="8" w:space="0" w:color="auto"/>
              <w:right w:val="single" w:sz="8" w:space="0" w:color="auto"/>
            </w:tcBorders>
            <w:shd w:val="clear" w:color="auto" w:fill="auto"/>
            <w:vAlign w:val="center"/>
            <w:hideMark/>
          </w:tcPr>
          <w:p w14:paraId="1C76E50A" w14:textId="77777777" w:rsidR="002A7E48" w:rsidRPr="002A7E48" w:rsidRDefault="002A7E48" w:rsidP="002A7E48">
            <w:pPr>
              <w:spacing w:after="0" w:line="240" w:lineRule="auto"/>
              <w:jc w:val="center"/>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val="en-GB" w:eastAsia="sl-SI"/>
              </w:rPr>
              <w:t>ERDF</w:t>
            </w:r>
          </w:p>
        </w:tc>
        <w:tc>
          <w:tcPr>
            <w:tcW w:w="914" w:type="dxa"/>
            <w:tcBorders>
              <w:top w:val="nil"/>
              <w:left w:val="nil"/>
              <w:bottom w:val="single" w:sz="8" w:space="0" w:color="auto"/>
              <w:right w:val="single" w:sz="8" w:space="0" w:color="auto"/>
            </w:tcBorders>
            <w:shd w:val="clear" w:color="auto" w:fill="auto"/>
            <w:vAlign w:val="center"/>
            <w:hideMark/>
          </w:tcPr>
          <w:p w14:paraId="183D8229"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eastAsia="sl-SI"/>
              </w:rPr>
              <w:t>Bolj razvite</w:t>
            </w:r>
          </w:p>
        </w:tc>
        <w:tc>
          <w:tcPr>
            <w:tcW w:w="2762" w:type="dxa"/>
            <w:gridSpan w:val="2"/>
            <w:tcBorders>
              <w:top w:val="nil"/>
              <w:left w:val="nil"/>
              <w:bottom w:val="single" w:sz="8" w:space="0" w:color="auto"/>
              <w:right w:val="single" w:sz="8" w:space="0" w:color="auto"/>
            </w:tcBorders>
            <w:shd w:val="clear" w:color="auto" w:fill="auto"/>
            <w:noWrap/>
            <w:vAlign w:val="center"/>
            <w:hideMark/>
          </w:tcPr>
          <w:p w14:paraId="0AB70F7D"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eastAsia="sl-SI"/>
              </w:rPr>
              <w:t>083. Ukrepi na področju kakovosti zraka</w:t>
            </w:r>
          </w:p>
        </w:tc>
        <w:tc>
          <w:tcPr>
            <w:tcW w:w="1520" w:type="dxa"/>
            <w:tcBorders>
              <w:top w:val="nil"/>
              <w:left w:val="nil"/>
              <w:bottom w:val="single" w:sz="8" w:space="0" w:color="auto"/>
              <w:right w:val="single" w:sz="8" w:space="0" w:color="auto"/>
            </w:tcBorders>
            <w:shd w:val="clear" w:color="auto" w:fill="auto"/>
            <w:noWrap/>
            <w:vAlign w:val="center"/>
            <w:hideMark/>
          </w:tcPr>
          <w:p w14:paraId="2BD9ED2A"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noProof/>
                <w:color w:val="000000"/>
                <w:sz w:val="15"/>
                <w:szCs w:val="15"/>
                <w:lang w:eastAsia="sl-SI"/>
              </w:rPr>
              <w:t>15.170.326</w:t>
            </w:r>
          </w:p>
        </w:tc>
        <w:tc>
          <w:tcPr>
            <w:tcW w:w="1689" w:type="dxa"/>
            <w:tcBorders>
              <w:top w:val="nil"/>
              <w:left w:val="nil"/>
              <w:bottom w:val="single" w:sz="8" w:space="0" w:color="auto"/>
              <w:right w:val="single" w:sz="8" w:space="0" w:color="auto"/>
            </w:tcBorders>
            <w:shd w:val="clear" w:color="auto" w:fill="auto"/>
            <w:noWrap/>
            <w:vAlign w:val="center"/>
            <w:hideMark/>
          </w:tcPr>
          <w:p w14:paraId="626C2FAC"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color w:val="000000"/>
                <w:sz w:val="15"/>
                <w:szCs w:val="15"/>
                <w:lang w:eastAsia="sl-SI"/>
              </w:rPr>
              <w:t>-4.160.273</w:t>
            </w:r>
          </w:p>
        </w:tc>
        <w:tc>
          <w:tcPr>
            <w:tcW w:w="1652" w:type="dxa"/>
            <w:tcBorders>
              <w:top w:val="nil"/>
              <w:left w:val="nil"/>
              <w:bottom w:val="single" w:sz="8" w:space="0" w:color="auto"/>
              <w:right w:val="single" w:sz="8" w:space="0" w:color="auto"/>
            </w:tcBorders>
            <w:shd w:val="clear" w:color="auto" w:fill="auto"/>
            <w:noWrap/>
            <w:vAlign w:val="center"/>
            <w:hideMark/>
          </w:tcPr>
          <w:p w14:paraId="6B6DBFA6"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color w:val="000000"/>
                <w:sz w:val="15"/>
                <w:szCs w:val="15"/>
                <w:lang w:eastAsia="sl-SI"/>
              </w:rPr>
              <w:t>11.010.053</w:t>
            </w:r>
          </w:p>
        </w:tc>
      </w:tr>
      <w:tr w:rsidR="002A7E48" w:rsidRPr="002A7E48" w14:paraId="06AED176" w14:textId="77777777" w:rsidTr="0042240D">
        <w:trPr>
          <w:trHeight w:val="137"/>
        </w:trPr>
        <w:tc>
          <w:tcPr>
            <w:tcW w:w="525" w:type="dxa"/>
            <w:tcBorders>
              <w:top w:val="nil"/>
              <w:left w:val="single" w:sz="8" w:space="0" w:color="auto"/>
              <w:bottom w:val="single" w:sz="8" w:space="0" w:color="auto"/>
              <w:right w:val="single" w:sz="8" w:space="0" w:color="auto"/>
            </w:tcBorders>
            <w:shd w:val="clear" w:color="auto" w:fill="auto"/>
            <w:vAlign w:val="center"/>
            <w:hideMark/>
          </w:tcPr>
          <w:p w14:paraId="72853B1E" w14:textId="77777777" w:rsidR="002A7E48" w:rsidRPr="002A7E48" w:rsidRDefault="002A7E48" w:rsidP="002A7E48">
            <w:pPr>
              <w:spacing w:after="0" w:line="240" w:lineRule="auto"/>
              <w:jc w:val="center"/>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val="en-GB" w:eastAsia="sl-SI"/>
              </w:rPr>
              <w:t>ERDF</w:t>
            </w:r>
          </w:p>
        </w:tc>
        <w:tc>
          <w:tcPr>
            <w:tcW w:w="914" w:type="dxa"/>
            <w:tcBorders>
              <w:top w:val="nil"/>
              <w:left w:val="nil"/>
              <w:bottom w:val="single" w:sz="8" w:space="0" w:color="auto"/>
              <w:right w:val="single" w:sz="8" w:space="0" w:color="auto"/>
            </w:tcBorders>
            <w:shd w:val="clear" w:color="auto" w:fill="auto"/>
            <w:vAlign w:val="center"/>
            <w:hideMark/>
          </w:tcPr>
          <w:p w14:paraId="7C39E8B4"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eastAsia="sl-SI"/>
              </w:rPr>
              <w:t>Manj razvite</w:t>
            </w:r>
          </w:p>
        </w:tc>
        <w:tc>
          <w:tcPr>
            <w:tcW w:w="2762" w:type="dxa"/>
            <w:gridSpan w:val="2"/>
            <w:tcBorders>
              <w:top w:val="nil"/>
              <w:left w:val="nil"/>
              <w:bottom w:val="single" w:sz="8" w:space="0" w:color="auto"/>
              <w:right w:val="single" w:sz="8" w:space="0" w:color="auto"/>
            </w:tcBorders>
            <w:shd w:val="clear" w:color="auto" w:fill="auto"/>
            <w:noWrap/>
            <w:vAlign w:val="center"/>
            <w:hideMark/>
          </w:tcPr>
          <w:p w14:paraId="54A13681"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eastAsia="sl-SI"/>
              </w:rPr>
              <w:t>090. Kolesarske steze in poti za pešce</w:t>
            </w:r>
          </w:p>
        </w:tc>
        <w:tc>
          <w:tcPr>
            <w:tcW w:w="1520" w:type="dxa"/>
            <w:tcBorders>
              <w:top w:val="nil"/>
              <w:left w:val="nil"/>
              <w:bottom w:val="single" w:sz="8" w:space="0" w:color="auto"/>
              <w:right w:val="single" w:sz="8" w:space="0" w:color="auto"/>
            </w:tcBorders>
            <w:shd w:val="clear" w:color="auto" w:fill="auto"/>
            <w:noWrap/>
            <w:vAlign w:val="center"/>
            <w:hideMark/>
          </w:tcPr>
          <w:p w14:paraId="47B4C91B"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noProof/>
                <w:color w:val="000000"/>
                <w:sz w:val="15"/>
                <w:szCs w:val="15"/>
                <w:lang w:eastAsia="sl-SI"/>
              </w:rPr>
              <w:t>16.085.136</w:t>
            </w:r>
          </w:p>
        </w:tc>
        <w:tc>
          <w:tcPr>
            <w:tcW w:w="1689" w:type="dxa"/>
            <w:tcBorders>
              <w:top w:val="nil"/>
              <w:left w:val="nil"/>
              <w:bottom w:val="single" w:sz="8" w:space="0" w:color="auto"/>
              <w:right w:val="single" w:sz="8" w:space="0" w:color="auto"/>
            </w:tcBorders>
            <w:shd w:val="clear" w:color="auto" w:fill="auto"/>
            <w:noWrap/>
            <w:vAlign w:val="center"/>
            <w:hideMark/>
          </w:tcPr>
          <w:p w14:paraId="7D93ED44"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color w:val="000000"/>
                <w:sz w:val="15"/>
                <w:szCs w:val="15"/>
                <w:lang w:eastAsia="sl-SI"/>
              </w:rPr>
              <w:t>36.783.759,00</w:t>
            </w:r>
          </w:p>
        </w:tc>
        <w:tc>
          <w:tcPr>
            <w:tcW w:w="1652" w:type="dxa"/>
            <w:tcBorders>
              <w:top w:val="nil"/>
              <w:left w:val="nil"/>
              <w:bottom w:val="single" w:sz="8" w:space="0" w:color="auto"/>
              <w:right w:val="single" w:sz="8" w:space="0" w:color="auto"/>
            </w:tcBorders>
            <w:shd w:val="clear" w:color="auto" w:fill="auto"/>
            <w:noWrap/>
            <w:vAlign w:val="center"/>
            <w:hideMark/>
          </w:tcPr>
          <w:p w14:paraId="2F024F74"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color w:val="000000"/>
                <w:sz w:val="15"/>
                <w:szCs w:val="15"/>
                <w:lang w:eastAsia="sl-SI"/>
              </w:rPr>
              <w:t>52.868.895,00</w:t>
            </w:r>
          </w:p>
        </w:tc>
      </w:tr>
      <w:tr w:rsidR="002A7E48" w:rsidRPr="002A7E48" w14:paraId="1309F0AA" w14:textId="77777777" w:rsidTr="0042240D">
        <w:trPr>
          <w:trHeight w:val="137"/>
        </w:trPr>
        <w:tc>
          <w:tcPr>
            <w:tcW w:w="525" w:type="dxa"/>
            <w:tcBorders>
              <w:top w:val="nil"/>
              <w:left w:val="single" w:sz="8" w:space="0" w:color="auto"/>
              <w:bottom w:val="single" w:sz="8" w:space="0" w:color="auto"/>
              <w:right w:val="single" w:sz="8" w:space="0" w:color="auto"/>
            </w:tcBorders>
            <w:shd w:val="clear" w:color="auto" w:fill="auto"/>
            <w:vAlign w:val="center"/>
            <w:hideMark/>
          </w:tcPr>
          <w:p w14:paraId="7BA657CE" w14:textId="77777777" w:rsidR="002A7E48" w:rsidRPr="002A7E48" w:rsidRDefault="002A7E48" w:rsidP="002A7E48">
            <w:pPr>
              <w:spacing w:after="0" w:line="240" w:lineRule="auto"/>
              <w:jc w:val="center"/>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val="en-GB" w:eastAsia="sl-SI"/>
              </w:rPr>
              <w:t>ERDF</w:t>
            </w:r>
          </w:p>
        </w:tc>
        <w:tc>
          <w:tcPr>
            <w:tcW w:w="914" w:type="dxa"/>
            <w:tcBorders>
              <w:top w:val="nil"/>
              <w:left w:val="nil"/>
              <w:bottom w:val="single" w:sz="8" w:space="0" w:color="auto"/>
              <w:right w:val="single" w:sz="8" w:space="0" w:color="auto"/>
            </w:tcBorders>
            <w:shd w:val="clear" w:color="auto" w:fill="auto"/>
            <w:vAlign w:val="center"/>
            <w:hideMark/>
          </w:tcPr>
          <w:p w14:paraId="37838607"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eastAsia="sl-SI"/>
              </w:rPr>
              <w:t>Bolj razvite</w:t>
            </w:r>
          </w:p>
        </w:tc>
        <w:tc>
          <w:tcPr>
            <w:tcW w:w="2762" w:type="dxa"/>
            <w:gridSpan w:val="2"/>
            <w:tcBorders>
              <w:top w:val="nil"/>
              <w:left w:val="nil"/>
              <w:bottom w:val="single" w:sz="8" w:space="0" w:color="auto"/>
              <w:right w:val="single" w:sz="8" w:space="0" w:color="auto"/>
            </w:tcBorders>
            <w:shd w:val="clear" w:color="auto" w:fill="auto"/>
            <w:noWrap/>
            <w:vAlign w:val="center"/>
            <w:hideMark/>
          </w:tcPr>
          <w:p w14:paraId="4BB98EB0"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eastAsia="sl-SI"/>
              </w:rPr>
              <w:t>090. Kolesarske steze in poti za pešce</w:t>
            </w:r>
          </w:p>
        </w:tc>
        <w:tc>
          <w:tcPr>
            <w:tcW w:w="1520" w:type="dxa"/>
            <w:tcBorders>
              <w:top w:val="nil"/>
              <w:left w:val="nil"/>
              <w:bottom w:val="single" w:sz="8" w:space="0" w:color="auto"/>
              <w:right w:val="single" w:sz="8" w:space="0" w:color="auto"/>
            </w:tcBorders>
            <w:shd w:val="clear" w:color="auto" w:fill="auto"/>
            <w:noWrap/>
            <w:vAlign w:val="center"/>
            <w:hideMark/>
          </w:tcPr>
          <w:p w14:paraId="28A3CF1B"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noProof/>
                <w:color w:val="000000"/>
                <w:sz w:val="15"/>
                <w:szCs w:val="15"/>
                <w:lang w:eastAsia="sl-SI"/>
              </w:rPr>
              <w:t>2.762.586</w:t>
            </w:r>
          </w:p>
        </w:tc>
        <w:tc>
          <w:tcPr>
            <w:tcW w:w="1689" w:type="dxa"/>
            <w:tcBorders>
              <w:top w:val="nil"/>
              <w:left w:val="nil"/>
              <w:bottom w:val="single" w:sz="8" w:space="0" w:color="auto"/>
              <w:right w:val="single" w:sz="8" w:space="0" w:color="auto"/>
            </w:tcBorders>
            <w:shd w:val="clear" w:color="auto" w:fill="auto"/>
            <w:noWrap/>
            <w:vAlign w:val="center"/>
            <w:hideMark/>
          </w:tcPr>
          <w:p w14:paraId="2F4CF821"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color w:val="000000"/>
                <w:sz w:val="15"/>
                <w:szCs w:val="15"/>
                <w:lang w:eastAsia="sl-SI"/>
              </w:rPr>
              <w:t>4.160.273</w:t>
            </w:r>
          </w:p>
        </w:tc>
        <w:tc>
          <w:tcPr>
            <w:tcW w:w="1652" w:type="dxa"/>
            <w:tcBorders>
              <w:top w:val="nil"/>
              <w:left w:val="nil"/>
              <w:bottom w:val="single" w:sz="8" w:space="0" w:color="auto"/>
              <w:right w:val="single" w:sz="8" w:space="0" w:color="auto"/>
            </w:tcBorders>
            <w:shd w:val="clear" w:color="auto" w:fill="auto"/>
            <w:noWrap/>
            <w:vAlign w:val="center"/>
            <w:hideMark/>
          </w:tcPr>
          <w:p w14:paraId="36D7E21B"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color w:val="000000"/>
                <w:sz w:val="15"/>
                <w:szCs w:val="15"/>
                <w:lang w:eastAsia="sl-SI"/>
              </w:rPr>
              <w:t>6.922.859</w:t>
            </w:r>
          </w:p>
        </w:tc>
      </w:tr>
      <w:tr w:rsidR="002A7E48" w:rsidRPr="002A7E48" w14:paraId="3C9AD8DE" w14:textId="77777777" w:rsidTr="0042240D">
        <w:trPr>
          <w:trHeight w:val="137"/>
        </w:trPr>
        <w:tc>
          <w:tcPr>
            <w:tcW w:w="525" w:type="dxa"/>
            <w:tcBorders>
              <w:top w:val="nil"/>
              <w:left w:val="single" w:sz="8" w:space="0" w:color="auto"/>
              <w:bottom w:val="single" w:sz="8" w:space="0" w:color="auto"/>
              <w:right w:val="single" w:sz="8" w:space="0" w:color="auto"/>
            </w:tcBorders>
            <w:shd w:val="clear" w:color="auto" w:fill="auto"/>
            <w:vAlign w:val="center"/>
            <w:hideMark/>
          </w:tcPr>
          <w:p w14:paraId="7F626ED7" w14:textId="77777777" w:rsidR="002A7E48" w:rsidRPr="002A7E48" w:rsidRDefault="002A7E48" w:rsidP="002A7E48">
            <w:pPr>
              <w:spacing w:after="0" w:line="240" w:lineRule="auto"/>
              <w:jc w:val="center"/>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val="en-GB" w:eastAsia="sl-SI"/>
              </w:rPr>
              <w:t>CF</w:t>
            </w:r>
          </w:p>
        </w:tc>
        <w:tc>
          <w:tcPr>
            <w:tcW w:w="914" w:type="dxa"/>
            <w:tcBorders>
              <w:top w:val="nil"/>
              <w:left w:val="nil"/>
              <w:bottom w:val="single" w:sz="8" w:space="0" w:color="auto"/>
              <w:right w:val="single" w:sz="8" w:space="0" w:color="auto"/>
            </w:tcBorders>
            <w:shd w:val="clear" w:color="auto" w:fill="auto"/>
            <w:vAlign w:val="center"/>
            <w:hideMark/>
          </w:tcPr>
          <w:p w14:paraId="7E431A13"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c>
          <w:tcPr>
            <w:tcW w:w="2762" w:type="dxa"/>
            <w:gridSpan w:val="2"/>
            <w:tcBorders>
              <w:top w:val="nil"/>
              <w:left w:val="nil"/>
              <w:bottom w:val="single" w:sz="8" w:space="0" w:color="auto"/>
              <w:right w:val="single" w:sz="8" w:space="0" w:color="auto"/>
            </w:tcBorders>
            <w:shd w:val="clear" w:color="auto" w:fill="auto"/>
            <w:noWrap/>
            <w:vAlign w:val="center"/>
            <w:hideMark/>
          </w:tcPr>
          <w:p w14:paraId="6F4C415D"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eastAsia="sl-SI"/>
              </w:rPr>
              <w:t>009. Energija iz obnovljivih virov: vetrna energija</w:t>
            </w:r>
          </w:p>
        </w:tc>
        <w:tc>
          <w:tcPr>
            <w:tcW w:w="1520" w:type="dxa"/>
            <w:tcBorders>
              <w:top w:val="nil"/>
              <w:left w:val="nil"/>
              <w:bottom w:val="single" w:sz="8" w:space="0" w:color="auto"/>
              <w:right w:val="single" w:sz="8" w:space="0" w:color="auto"/>
            </w:tcBorders>
            <w:shd w:val="clear" w:color="auto" w:fill="auto"/>
            <w:noWrap/>
            <w:vAlign w:val="center"/>
            <w:hideMark/>
          </w:tcPr>
          <w:p w14:paraId="5B746D5E"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noProof/>
                <w:color w:val="000000"/>
                <w:sz w:val="15"/>
                <w:szCs w:val="15"/>
                <w:lang w:eastAsia="sl-SI"/>
              </w:rPr>
              <w:t>2.000.000</w:t>
            </w:r>
          </w:p>
        </w:tc>
        <w:tc>
          <w:tcPr>
            <w:tcW w:w="1689" w:type="dxa"/>
            <w:tcBorders>
              <w:top w:val="nil"/>
              <w:left w:val="nil"/>
              <w:bottom w:val="single" w:sz="8" w:space="0" w:color="auto"/>
              <w:right w:val="single" w:sz="8" w:space="0" w:color="auto"/>
            </w:tcBorders>
            <w:shd w:val="clear" w:color="auto" w:fill="auto"/>
            <w:noWrap/>
            <w:vAlign w:val="center"/>
            <w:hideMark/>
          </w:tcPr>
          <w:p w14:paraId="1C948E3C"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color w:val="000000"/>
                <w:sz w:val="15"/>
                <w:szCs w:val="15"/>
                <w:lang w:eastAsia="sl-SI"/>
              </w:rPr>
              <w:t>-2.000.000</w:t>
            </w:r>
          </w:p>
        </w:tc>
        <w:tc>
          <w:tcPr>
            <w:tcW w:w="1652" w:type="dxa"/>
            <w:tcBorders>
              <w:top w:val="nil"/>
              <w:left w:val="nil"/>
              <w:bottom w:val="single" w:sz="8" w:space="0" w:color="auto"/>
              <w:right w:val="single" w:sz="8" w:space="0" w:color="auto"/>
            </w:tcBorders>
            <w:shd w:val="clear" w:color="auto" w:fill="auto"/>
            <w:noWrap/>
            <w:vAlign w:val="center"/>
            <w:hideMark/>
          </w:tcPr>
          <w:p w14:paraId="0A215A88"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color w:val="000000"/>
                <w:sz w:val="15"/>
                <w:szCs w:val="15"/>
                <w:lang w:eastAsia="sl-SI"/>
              </w:rPr>
              <w:t>0</w:t>
            </w:r>
          </w:p>
        </w:tc>
      </w:tr>
      <w:tr w:rsidR="002A7E48" w:rsidRPr="002A7E48" w14:paraId="17B4597E" w14:textId="77777777" w:rsidTr="0042240D">
        <w:trPr>
          <w:trHeight w:val="137"/>
        </w:trPr>
        <w:tc>
          <w:tcPr>
            <w:tcW w:w="525" w:type="dxa"/>
            <w:tcBorders>
              <w:top w:val="nil"/>
              <w:left w:val="single" w:sz="8" w:space="0" w:color="auto"/>
              <w:bottom w:val="single" w:sz="8" w:space="0" w:color="auto"/>
              <w:right w:val="single" w:sz="8" w:space="0" w:color="auto"/>
            </w:tcBorders>
            <w:shd w:val="clear" w:color="auto" w:fill="auto"/>
            <w:vAlign w:val="center"/>
            <w:hideMark/>
          </w:tcPr>
          <w:p w14:paraId="1B7E7EBD" w14:textId="77777777" w:rsidR="002A7E48" w:rsidRPr="002A7E48" w:rsidRDefault="002A7E48" w:rsidP="002A7E48">
            <w:pPr>
              <w:spacing w:after="0" w:line="240" w:lineRule="auto"/>
              <w:jc w:val="center"/>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val="en-GB" w:eastAsia="sl-SI"/>
              </w:rPr>
              <w:t>CF</w:t>
            </w:r>
          </w:p>
        </w:tc>
        <w:tc>
          <w:tcPr>
            <w:tcW w:w="914" w:type="dxa"/>
            <w:tcBorders>
              <w:top w:val="nil"/>
              <w:left w:val="nil"/>
              <w:bottom w:val="single" w:sz="8" w:space="0" w:color="auto"/>
              <w:right w:val="single" w:sz="8" w:space="0" w:color="auto"/>
            </w:tcBorders>
            <w:shd w:val="clear" w:color="auto" w:fill="auto"/>
            <w:vAlign w:val="center"/>
            <w:hideMark/>
          </w:tcPr>
          <w:p w14:paraId="5ED0D414"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c>
          <w:tcPr>
            <w:tcW w:w="2762" w:type="dxa"/>
            <w:gridSpan w:val="2"/>
            <w:tcBorders>
              <w:top w:val="nil"/>
              <w:left w:val="nil"/>
              <w:bottom w:val="single" w:sz="8" w:space="0" w:color="auto"/>
              <w:right w:val="single" w:sz="8" w:space="0" w:color="auto"/>
            </w:tcBorders>
            <w:shd w:val="clear" w:color="auto" w:fill="auto"/>
            <w:noWrap/>
            <w:vAlign w:val="center"/>
            <w:hideMark/>
          </w:tcPr>
          <w:p w14:paraId="0C64DEAE"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eastAsia="sl-SI"/>
              </w:rPr>
              <w:t>010. Energija iz obnovljivih virov: sončna energija</w:t>
            </w:r>
          </w:p>
        </w:tc>
        <w:tc>
          <w:tcPr>
            <w:tcW w:w="1520" w:type="dxa"/>
            <w:tcBorders>
              <w:top w:val="nil"/>
              <w:left w:val="nil"/>
              <w:bottom w:val="single" w:sz="8" w:space="0" w:color="auto"/>
              <w:right w:val="single" w:sz="8" w:space="0" w:color="auto"/>
            </w:tcBorders>
            <w:shd w:val="clear" w:color="auto" w:fill="auto"/>
            <w:noWrap/>
            <w:vAlign w:val="center"/>
            <w:hideMark/>
          </w:tcPr>
          <w:p w14:paraId="14BF83C4"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noProof/>
                <w:color w:val="000000"/>
                <w:sz w:val="15"/>
                <w:szCs w:val="15"/>
                <w:lang w:eastAsia="sl-SI"/>
              </w:rPr>
              <w:t>6.000.000</w:t>
            </w:r>
          </w:p>
        </w:tc>
        <w:tc>
          <w:tcPr>
            <w:tcW w:w="1689" w:type="dxa"/>
            <w:tcBorders>
              <w:top w:val="nil"/>
              <w:left w:val="nil"/>
              <w:bottom w:val="single" w:sz="8" w:space="0" w:color="auto"/>
              <w:right w:val="single" w:sz="8" w:space="0" w:color="auto"/>
            </w:tcBorders>
            <w:shd w:val="clear" w:color="auto" w:fill="auto"/>
            <w:noWrap/>
            <w:vAlign w:val="center"/>
            <w:hideMark/>
          </w:tcPr>
          <w:p w14:paraId="122EC5C8"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color w:val="000000"/>
                <w:sz w:val="15"/>
                <w:szCs w:val="15"/>
                <w:lang w:eastAsia="sl-SI"/>
              </w:rPr>
              <w:t>59.136.000</w:t>
            </w:r>
          </w:p>
        </w:tc>
        <w:tc>
          <w:tcPr>
            <w:tcW w:w="1652" w:type="dxa"/>
            <w:tcBorders>
              <w:top w:val="nil"/>
              <w:left w:val="nil"/>
              <w:bottom w:val="single" w:sz="8" w:space="0" w:color="auto"/>
              <w:right w:val="single" w:sz="8" w:space="0" w:color="auto"/>
            </w:tcBorders>
            <w:shd w:val="clear" w:color="auto" w:fill="auto"/>
            <w:noWrap/>
            <w:vAlign w:val="center"/>
            <w:hideMark/>
          </w:tcPr>
          <w:p w14:paraId="27663963"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color w:val="000000"/>
                <w:sz w:val="15"/>
                <w:szCs w:val="15"/>
                <w:lang w:eastAsia="sl-SI"/>
              </w:rPr>
              <w:t>65.136.000</w:t>
            </w:r>
          </w:p>
        </w:tc>
      </w:tr>
      <w:tr w:rsidR="002A7E48" w:rsidRPr="002A7E48" w14:paraId="22DD9387" w14:textId="77777777" w:rsidTr="0042240D">
        <w:trPr>
          <w:trHeight w:val="137"/>
        </w:trPr>
        <w:tc>
          <w:tcPr>
            <w:tcW w:w="525" w:type="dxa"/>
            <w:tcBorders>
              <w:top w:val="nil"/>
              <w:left w:val="single" w:sz="8" w:space="0" w:color="auto"/>
              <w:bottom w:val="single" w:sz="8" w:space="0" w:color="auto"/>
              <w:right w:val="single" w:sz="8" w:space="0" w:color="auto"/>
            </w:tcBorders>
            <w:shd w:val="clear" w:color="auto" w:fill="auto"/>
            <w:vAlign w:val="center"/>
            <w:hideMark/>
          </w:tcPr>
          <w:p w14:paraId="7CD9F808" w14:textId="77777777" w:rsidR="002A7E48" w:rsidRPr="002A7E48" w:rsidRDefault="002A7E48" w:rsidP="002A7E48">
            <w:pPr>
              <w:spacing w:after="0" w:line="240" w:lineRule="auto"/>
              <w:jc w:val="center"/>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val="en-GB" w:eastAsia="sl-SI"/>
              </w:rPr>
              <w:t>CF</w:t>
            </w:r>
          </w:p>
        </w:tc>
        <w:tc>
          <w:tcPr>
            <w:tcW w:w="914" w:type="dxa"/>
            <w:tcBorders>
              <w:top w:val="nil"/>
              <w:left w:val="nil"/>
              <w:bottom w:val="single" w:sz="8" w:space="0" w:color="auto"/>
              <w:right w:val="single" w:sz="8" w:space="0" w:color="auto"/>
            </w:tcBorders>
            <w:shd w:val="clear" w:color="auto" w:fill="auto"/>
            <w:vAlign w:val="center"/>
            <w:hideMark/>
          </w:tcPr>
          <w:p w14:paraId="510D5320"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c>
          <w:tcPr>
            <w:tcW w:w="2762" w:type="dxa"/>
            <w:gridSpan w:val="2"/>
            <w:tcBorders>
              <w:top w:val="nil"/>
              <w:left w:val="nil"/>
              <w:bottom w:val="single" w:sz="8" w:space="0" w:color="auto"/>
              <w:right w:val="single" w:sz="8" w:space="0" w:color="auto"/>
            </w:tcBorders>
            <w:shd w:val="clear" w:color="auto" w:fill="auto"/>
            <w:noWrap/>
            <w:vAlign w:val="center"/>
            <w:hideMark/>
          </w:tcPr>
          <w:p w14:paraId="073AD529"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eastAsia="sl-SI"/>
              </w:rPr>
              <w:t>011. Energija iz obnovljivih virov: biomasa</w:t>
            </w:r>
          </w:p>
        </w:tc>
        <w:tc>
          <w:tcPr>
            <w:tcW w:w="1520" w:type="dxa"/>
            <w:tcBorders>
              <w:top w:val="nil"/>
              <w:left w:val="nil"/>
              <w:bottom w:val="single" w:sz="8" w:space="0" w:color="auto"/>
              <w:right w:val="single" w:sz="8" w:space="0" w:color="auto"/>
            </w:tcBorders>
            <w:shd w:val="clear" w:color="auto" w:fill="auto"/>
            <w:noWrap/>
            <w:vAlign w:val="center"/>
            <w:hideMark/>
          </w:tcPr>
          <w:p w14:paraId="771033E6"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noProof/>
                <w:color w:val="000000"/>
                <w:sz w:val="15"/>
                <w:szCs w:val="15"/>
                <w:lang w:eastAsia="sl-SI"/>
              </w:rPr>
              <w:t>31.340.000</w:t>
            </w:r>
          </w:p>
        </w:tc>
        <w:tc>
          <w:tcPr>
            <w:tcW w:w="1689" w:type="dxa"/>
            <w:tcBorders>
              <w:top w:val="nil"/>
              <w:left w:val="nil"/>
              <w:bottom w:val="single" w:sz="8" w:space="0" w:color="auto"/>
              <w:right w:val="single" w:sz="8" w:space="0" w:color="auto"/>
            </w:tcBorders>
            <w:shd w:val="clear" w:color="auto" w:fill="auto"/>
            <w:noWrap/>
            <w:vAlign w:val="center"/>
            <w:hideMark/>
          </w:tcPr>
          <w:p w14:paraId="43A3ECA0"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color w:val="000000"/>
                <w:sz w:val="15"/>
                <w:szCs w:val="15"/>
                <w:lang w:eastAsia="sl-SI"/>
              </w:rPr>
              <w:t>-12.536.000</w:t>
            </w:r>
          </w:p>
        </w:tc>
        <w:tc>
          <w:tcPr>
            <w:tcW w:w="1652" w:type="dxa"/>
            <w:tcBorders>
              <w:top w:val="nil"/>
              <w:left w:val="nil"/>
              <w:bottom w:val="single" w:sz="8" w:space="0" w:color="auto"/>
              <w:right w:val="single" w:sz="8" w:space="0" w:color="auto"/>
            </w:tcBorders>
            <w:shd w:val="clear" w:color="auto" w:fill="auto"/>
            <w:noWrap/>
            <w:vAlign w:val="center"/>
            <w:hideMark/>
          </w:tcPr>
          <w:p w14:paraId="02B98986"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color w:val="000000"/>
                <w:sz w:val="15"/>
                <w:szCs w:val="15"/>
                <w:lang w:eastAsia="sl-SI"/>
              </w:rPr>
              <w:t>18.804.000</w:t>
            </w:r>
          </w:p>
        </w:tc>
      </w:tr>
      <w:tr w:rsidR="002A7E48" w:rsidRPr="002A7E48" w14:paraId="3DC92A78" w14:textId="77777777" w:rsidTr="0042240D">
        <w:trPr>
          <w:trHeight w:val="137"/>
        </w:trPr>
        <w:tc>
          <w:tcPr>
            <w:tcW w:w="525" w:type="dxa"/>
            <w:tcBorders>
              <w:top w:val="nil"/>
              <w:left w:val="single" w:sz="8" w:space="0" w:color="auto"/>
              <w:bottom w:val="single" w:sz="8" w:space="0" w:color="auto"/>
              <w:right w:val="single" w:sz="8" w:space="0" w:color="auto"/>
            </w:tcBorders>
            <w:shd w:val="clear" w:color="auto" w:fill="auto"/>
            <w:vAlign w:val="center"/>
            <w:hideMark/>
          </w:tcPr>
          <w:p w14:paraId="29715E37" w14:textId="77777777" w:rsidR="002A7E48" w:rsidRPr="002A7E48" w:rsidRDefault="002A7E48" w:rsidP="002A7E48">
            <w:pPr>
              <w:spacing w:after="0" w:line="240" w:lineRule="auto"/>
              <w:jc w:val="center"/>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val="en-GB" w:eastAsia="sl-SI"/>
              </w:rPr>
              <w:t>CF</w:t>
            </w:r>
          </w:p>
        </w:tc>
        <w:tc>
          <w:tcPr>
            <w:tcW w:w="914" w:type="dxa"/>
            <w:tcBorders>
              <w:top w:val="nil"/>
              <w:left w:val="nil"/>
              <w:bottom w:val="single" w:sz="8" w:space="0" w:color="auto"/>
              <w:right w:val="single" w:sz="8" w:space="0" w:color="auto"/>
            </w:tcBorders>
            <w:shd w:val="clear" w:color="auto" w:fill="auto"/>
            <w:vAlign w:val="center"/>
            <w:hideMark/>
          </w:tcPr>
          <w:p w14:paraId="7D3828FC"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c>
          <w:tcPr>
            <w:tcW w:w="2762" w:type="dxa"/>
            <w:gridSpan w:val="2"/>
            <w:tcBorders>
              <w:top w:val="nil"/>
              <w:left w:val="nil"/>
              <w:bottom w:val="single" w:sz="8" w:space="0" w:color="auto"/>
              <w:right w:val="single" w:sz="8" w:space="0" w:color="auto"/>
            </w:tcBorders>
            <w:shd w:val="clear" w:color="auto" w:fill="auto"/>
            <w:noWrap/>
            <w:vAlign w:val="center"/>
            <w:hideMark/>
          </w:tcPr>
          <w:p w14:paraId="6E8956E9"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eastAsia="sl-SI"/>
              </w:rPr>
              <w:t>012. Energija iz drugih obnovljivih virov (vključno s hidroelektrično in geotermalno energijo ter energijo morij) ter integracija obnovljivih virov energije (vključno z infrastrukturo za shranjevanje, pretvorbo električne energije v plin in obnovljivi ogljik)</w:t>
            </w:r>
          </w:p>
        </w:tc>
        <w:tc>
          <w:tcPr>
            <w:tcW w:w="1520" w:type="dxa"/>
            <w:tcBorders>
              <w:top w:val="nil"/>
              <w:left w:val="nil"/>
              <w:bottom w:val="single" w:sz="8" w:space="0" w:color="auto"/>
              <w:right w:val="single" w:sz="8" w:space="0" w:color="auto"/>
            </w:tcBorders>
            <w:shd w:val="clear" w:color="auto" w:fill="auto"/>
            <w:noWrap/>
            <w:vAlign w:val="center"/>
            <w:hideMark/>
          </w:tcPr>
          <w:p w14:paraId="25D82327"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noProof/>
                <w:color w:val="000000"/>
                <w:sz w:val="15"/>
                <w:szCs w:val="15"/>
                <w:lang w:eastAsia="sl-SI"/>
              </w:rPr>
              <w:t>2.000.000</w:t>
            </w:r>
          </w:p>
        </w:tc>
        <w:tc>
          <w:tcPr>
            <w:tcW w:w="1689" w:type="dxa"/>
            <w:tcBorders>
              <w:top w:val="nil"/>
              <w:left w:val="nil"/>
              <w:bottom w:val="single" w:sz="8" w:space="0" w:color="auto"/>
              <w:right w:val="single" w:sz="8" w:space="0" w:color="auto"/>
            </w:tcBorders>
            <w:shd w:val="clear" w:color="auto" w:fill="auto"/>
            <w:noWrap/>
            <w:vAlign w:val="center"/>
            <w:hideMark/>
          </w:tcPr>
          <w:p w14:paraId="6FC96868"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color w:val="000000"/>
                <w:sz w:val="15"/>
                <w:szCs w:val="15"/>
                <w:lang w:eastAsia="sl-SI"/>
              </w:rPr>
              <w:t>-2.000.000</w:t>
            </w:r>
          </w:p>
        </w:tc>
        <w:tc>
          <w:tcPr>
            <w:tcW w:w="1652" w:type="dxa"/>
            <w:tcBorders>
              <w:top w:val="nil"/>
              <w:left w:val="nil"/>
              <w:bottom w:val="single" w:sz="8" w:space="0" w:color="auto"/>
              <w:right w:val="single" w:sz="8" w:space="0" w:color="auto"/>
            </w:tcBorders>
            <w:shd w:val="clear" w:color="auto" w:fill="auto"/>
            <w:noWrap/>
            <w:vAlign w:val="center"/>
            <w:hideMark/>
          </w:tcPr>
          <w:p w14:paraId="1CB7446F"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color w:val="000000"/>
                <w:sz w:val="15"/>
                <w:szCs w:val="15"/>
                <w:lang w:eastAsia="sl-SI"/>
              </w:rPr>
              <w:t>0</w:t>
            </w:r>
          </w:p>
        </w:tc>
      </w:tr>
      <w:tr w:rsidR="002A7E48" w:rsidRPr="002A7E48" w14:paraId="07A6C0B3" w14:textId="77777777" w:rsidTr="0042240D">
        <w:trPr>
          <w:trHeight w:val="137"/>
        </w:trPr>
        <w:tc>
          <w:tcPr>
            <w:tcW w:w="525" w:type="dxa"/>
            <w:tcBorders>
              <w:top w:val="nil"/>
              <w:left w:val="single" w:sz="8" w:space="0" w:color="auto"/>
              <w:bottom w:val="single" w:sz="8" w:space="0" w:color="auto"/>
              <w:right w:val="single" w:sz="8" w:space="0" w:color="auto"/>
            </w:tcBorders>
            <w:shd w:val="clear" w:color="auto" w:fill="auto"/>
            <w:vAlign w:val="center"/>
            <w:hideMark/>
          </w:tcPr>
          <w:p w14:paraId="696F16C2" w14:textId="77777777" w:rsidR="002A7E48" w:rsidRPr="002A7E48" w:rsidRDefault="002A7E48" w:rsidP="002A7E48">
            <w:pPr>
              <w:spacing w:after="0" w:line="240" w:lineRule="auto"/>
              <w:jc w:val="center"/>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val="en-GB" w:eastAsia="sl-SI"/>
              </w:rPr>
              <w:t>CF</w:t>
            </w:r>
          </w:p>
        </w:tc>
        <w:tc>
          <w:tcPr>
            <w:tcW w:w="914" w:type="dxa"/>
            <w:tcBorders>
              <w:top w:val="nil"/>
              <w:left w:val="nil"/>
              <w:bottom w:val="single" w:sz="8" w:space="0" w:color="auto"/>
              <w:right w:val="single" w:sz="8" w:space="0" w:color="auto"/>
            </w:tcBorders>
            <w:shd w:val="clear" w:color="auto" w:fill="auto"/>
            <w:vAlign w:val="center"/>
            <w:hideMark/>
          </w:tcPr>
          <w:p w14:paraId="65C8F028"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c>
          <w:tcPr>
            <w:tcW w:w="2762" w:type="dxa"/>
            <w:gridSpan w:val="2"/>
            <w:tcBorders>
              <w:top w:val="nil"/>
              <w:left w:val="nil"/>
              <w:bottom w:val="single" w:sz="8" w:space="0" w:color="auto"/>
              <w:right w:val="single" w:sz="8" w:space="0" w:color="auto"/>
            </w:tcBorders>
            <w:shd w:val="clear" w:color="auto" w:fill="auto"/>
            <w:noWrap/>
            <w:vAlign w:val="center"/>
            <w:hideMark/>
          </w:tcPr>
          <w:p w14:paraId="68B22D02"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eastAsia="sl-SI"/>
              </w:rPr>
              <w:t>013. Prenova javne infrastrukture za večjo energetsko učinkovitost, predstavitveni projekti in podporni ukrepi</w:t>
            </w:r>
          </w:p>
        </w:tc>
        <w:tc>
          <w:tcPr>
            <w:tcW w:w="1520" w:type="dxa"/>
            <w:tcBorders>
              <w:top w:val="nil"/>
              <w:left w:val="nil"/>
              <w:bottom w:val="single" w:sz="8" w:space="0" w:color="auto"/>
              <w:right w:val="single" w:sz="8" w:space="0" w:color="auto"/>
            </w:tcBorders>
            <w:shd w:val="clear" w:color="auto" w:fill="auto"/>
            <w:noWrap/>
            <w:vAlign w:val="center"/>
            <w:hideMark/>
          </w:tcPr>
          <w:p w14:paraId="167596F2"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noProof/>
                <w:color w:val="000000"/>
                <w:sz w:val="15"/>
                <w:szCs w:val="15"/>
                <w:lang w:eastAsia="sl-SI"/>
              </w:rPr>
              <w:t>128.124.000</w:t>
            </w:r>
          </w:p>
        </w:tc>
        <w:tc>
          <w:tcPr>
            <w:tcW w:w="1689" w:type="dxa"/>
            <w:tcBorders>
              <w:top w:val="nil"/>
              <w:left w:val="nil"/>
              <w:bottom w:val="single" w:sz="8" w:space="0" w:color="auto"/>
              <w:right w:val="single" w:sz="8" w:space="0" w:color="auto"/>
            </w:tcBorders>
            <w:shd w:val="clear" w:color="auto" w:fill="auto"/>
            <w:noWrap/>
            <w:vAlign w:val="center"/>
            <w:hideMark/>
          </w:tcPr>
          <w:p w14:paraId="382C8700"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color w:val="000000"/>
                <w:sz w:val="15"/>
                <w:szCs w:val="15"/>
                <w:lang w:eastAsia="sl-SI"/>
              </w:rPr>
              <w:t>-35.770.000</w:t>
            </w:r>
          </w:p>
        </w:tc>
        <w:tc>
          <w:tcPr>
            <w:tcW w:w="1652" w:type="dxa"/>
            <w:tcBorders>
              <w:top w:val="nil"/>
              <w:left w:val="nil"/>
              <w:bottom w:val="single" w:sz="8" w:space="0" w:color="auto"/>
              <w:right w:val="single" w:sz="8" w:space="0" w:color="auto"/>
            </w:tcBorders>
            <w:shd w:val="clear" w:color="auto" w:fill="auto"/>
            <w:noWrap/>
            <w:vAlign w:val="center"/>
            <w:hideMark/>
          </w:tcPr>
          <w:p w14:paraId="1F43D09C"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color w:val="000000"/>
                <w:sz w:val="15"/>
                <w:szCs w:val="15"/>
                <w:lang w:eastAsia="sl-SI"/>
              </w:rPr>
              <w:t>92.354.000</w:t>
            </w:r>
          </w:p>
        </w:tc>
      </w:tr>
      <w:tr w:rsidR="002A7E48" w:rsidRPr="002A7E48" w14:paraId="469A9A19" w14:textId="77777777" w:rsidTr="0042240D">
        <w:trPr>
          <w:trHeight w:val="137"/>
        </w:trPr>
        <w:tc>
          <w:tcPr>
            <w:tcW w:w="525" w:type="dxa"/>
            <w:tcBorders>
              <w:top w:val="nil"/>
              <w:left w:val="single" w:sz="8" w:space="0" w:color="auto"/>
              <w:bottom w:val="single" w:sz="8" w:space="0" w:color="auto"/>
              <w:right w:val="single" w:sz="8" w:space="0" w:color="auto"/>
            </w:tcBorders>
            <w:shd w:val="clear" w:color="auto" w:fill="auto"/>
            <w:vAlign w:val="center"/>
            <w:hideMark/>
          </w:tcPr>
          <w:p w14:paraId="233B4635" w14:textId="77777777" w:rsidR="002A7E48" w:rsidRPr="002A7E48" w:rsidRDefault="002A7E48" w:rsidP="002A7E48">
            <w:pPr>
              <w:spacing w:after="0" w:line="240" w:lineRule="auto"/>
              <w:jc w:val="center"/>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val="en-GB" w:eastAsia="sl-SI"/>
              </w:rPr>
              <w:t>CF</w:t>
            </w:r>
          </w:p>
        </w:tc>
        <w:tc>
          <w:tcPr>
            <w:tcW w:w="914" w:type="dxa"/>
            <w:tcBorders>
              <w:top w:val="nil"/>
              <w:left w:val="nil"/>
              <w:bottom w:val="single" w:sz="8" w:space="0" w:color="auto"/>
              <w:right w:val="single" w:sz="8" w:space="0" w:color="auto"/>
            </w:tcBorders>
            <w:shd w:val="clear" w:color="auto" w:fill="auto"/>
            <w:vAlign w:val="center"/>
            <w:hideMark/>
          </w:tcPr>
          <w:p w14:paraId="3401150E"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c>
          <w:tcPr>
            <w:tcW w:w="2762" w:type="dxa"/>
            <w:gridSpan w:val="2"/>
            <w:tcBorders>
              <w:top w:val="nil"/>
              <w:left w:val="nil"/>
              <w:bottom w:val="single" w:sz="8" w:space="0" w:color="auto"/>
              <w:right w:val="single" w:sz="8" w:space="0" w:color="auto"/>
            </w:tcBorders>
            <w:shd w:val="clear" w:color="auto" w:fill="auto"/>
            <w:noWrap/>
            <w:vAlign w:val="center"/>
            <w:hideMark/>
          </w:tcPr>
          <w:p w14:paraId="28917D99"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eastAsia="sl-SI"/>
              </w:rPr>
              <w:t>014. Prenova obstoječega stanovanjskega fonda za večjo energetsko učinkovitost, predstavitveni projekti in podporni ukrepi</w:t>
            </w:r>
          </w:p>
        </w:tc>
        <w:tc>
          <w:tcPr>
            <w:tcW w:w="1520" w:type="dxa"/>
            <w:tcBorders>
              <w:top w:val="nil"/>
              <w:left w:val="nil"/>
              <w:bottom w:val="single" w:sz="8" w:space="0" w:color="auto"/>
              <w:right w:val="single" w:sz="8" w:space="0" w:color="auto"/>
            </w:tcBorders>
            <w:shd w:val="clear" w:color="auto" w:fill="auto"/>
            <w:noWrap/>
            <w:vAlign w:val="center"/>
            <w:hideMark/>
          </w:tcPr>
          <w:p w14:paraId="708C234E"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noProof/>
                <w:color w:val="000000"/>
                <w:sz w:val="15"/>
                <w:szCs w:val="15"/>
                <w:lang w:eastAsia="sl-SI"/>
              </w:rPr>
              <w:t>6.600.000</w:t>
            </w:r>
          </w:p>
        </w:tc>
        <w:tc>
          <w:tcPr>
            <w:tcW w:w="1689" w:type="dxa"/>
            <w:tcBorders>
              <w:top w:val="nil"/>
              <w:left w:val="nil"/>
              <w:bottom w:val="single" w:sz="8" w:space="0" w:color="auto"/>
              <w:right w:val="single" w:sz="8" w:space="0" w:color="auto"/>
            </w:tcBorders>
            <w:shd w:val="clear" w:color="auto" w:fill="auto"/>
            <w:noWrap/>
            <w:vAlign w:val="center"/>
            <w:hideMark/>
          </w:tcPr>
          <w:p w14:paraId="4B33678A"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color w:val="000000"/>
                <w:sz w:val="15"/>
                <w:szCs w:val="15"/>
                <w:lang w:eastAsia="sl-SI"/>
              </w:rPr>
              <w:t> </w:t>
            </w:r>
          </w:p>
        </w:tc>
        <w:tc>
          <w:tcPr>
            <w:tcW w:w="1652" w:type="dxa"/>
            <w:tcBorders>
              <w:top w:val="nil"/>
              <w:left w:val="nil"/>
              <w:bottom w:val="single" w:sz="8" w:space="0" w:color="auto"/>
              <w:right w:val="single" w:sz="8" w:space="0" w:color="auto"/>
            </w:tcBorders>
            <w:shd w:val="clear" w:color="auto" w:fill="auto"/>
            <w:noWrap/>
            <w:vAlign w:val="center"/>
            <w:hideMark/>
          </w:tcPr>
          <w:p w14:paraId="0E17EAE2"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color w:val="000000"/>
                <w:sz w:val="15"/>
                <w:szCs w:val="15"/>
                <w:lang w:eastAsia="sl-SI"/>
              </w:rPr>
              <w:t>6.600.000</w:t>
            </w:r>
          </w:p>
        </w:tc>
      </w:tr>
      <w:tr w:rsidR="002A7E48" w:rsidRPr="002A7E48" w14:paraId="587CB8DB" w14:textId="77777777" w:rsidTr="0042240D">
        <w:trPr>
          <w:trHeight w:val="137"/>
        </w:trPr>
        <w:tc>
          <w:tcPr>
            <w:tcW w:w="525" w:type="dxa"/>
            <w:tcBorders>
              <w:top w:val="nil"/>
              <w:left w:val="single" w:sz="8" w:space="0" w:color="auto"/>
              <w:bottom w:val="single" w:sz="8" w:space="0" w:color="auto"/>
              <w:right w:val="single" w:sz="8" w:space="0" w:color="auto"/>
            </w:tcBorders>
            <w:shd w:val="clear" w:color="auto" w:fill="auto"/>
            <w:vAlign w:val="center"/>
            <w:hideMark/>
          </w:tcPr>
          <w:p w14:paraId="34167B30" w14:textId="77777777" w:rsidR="002A7E48" w:rsidRPr="002A7E48" w:rsidRDefault="002A7E48" w:rsidP="002A7E48">
            <w:pPr>
              <w:spacing w:after="0" w:line="240" w:lineRule="auto"/>
              <w:jc w:val="center"/>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val="en-GB" w:eastAsia="sl-SI"/>
              </w:rPr>
              <w:t>CF</w:t>
            </w:r>
          </w:p>
        </w:tc>
        <w:tc>
          <w:tcPr>
            <w:tcW w:w="914" w:type="dxa"/>
            <w:tcBorders>
              <w:top w:val="nil"/>
              <w:left w:val="nil"/>
              <w:bottom w:val="single" w:sz="8" w:space="0" w:color="auto"/>
              <w:right w:val="single" w:sz="8" w:space="0" w:color="auto"/>
            </w:tcBorders>
            <w:shd w:val="clear" w:color="auto" w:fill="auto"/>
            <w:vAlign w:val="center"/>
            <w:hideMark/>
          </w:tcPr>
          <w:p w14:paraId="5D80AC90"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c>
          <w:tcPr>
            <w:tcW w:w="2762" w:type="dxa"/>
            <w:gridSpan w:val="2"/>
            <w:tcBorders>
              <w:top w:val="nil"/>
              <w:left w:val="nil"/>
              <w:bottom w:val="single" w:sz="8" w:space="0" w:color="auto"/>
              <w:right w:val="single" w:sz="8" w:space="0" w:color="auto"/>
            </w:tcBorders>
            <w:shd w:val="clear" w:color="auto" w:fill="auto"/>
            <w:noWrap/>
            <w:vAlign w:val="center"/>
            <w:hideMark/>
          </w:tcPr>
          <w:p w14:paraId="2C68FF22"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eastAsia="sl-SI"/>
              </w:rPr>
              <w:t>015. Inteligentni sistemi za distribucijo energije pri srednjih in visokih napetostih (vključno z inteligentnimi energetskimi omrežji in sistemi IKT)</w:t>
            </w:r>
          </w:p>
        </w:tc>
        <w:tc>
          <w:tcPr>
            <w:tcW w:w="1520" w:type="dxa"/>
            <w:tcBorders>
              <w:top w:val="nil"/>
              <w:left w:val="nil"/>
              <w:bottom w:val="single" w:sz="8" w:space="0" w:color="auto"/>
              <w:right w:val="single" w:sz="8" w:space="0" w:color="auto"/>
            </w:tcBorders>
            <w:shd w:val="clear" w:color="auto" w:fill="auto"/>
            <w:noWrap/>
            <w:vAlign w:val="center"/>
            <w:hideMark/>
          </w:tcPr>
          <w:p w14:paraId="531087A1"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noProof/>
                <w:color w:val="000000"/>
                <w:sz w:val="15"/>
                <w:szCs w:val="15"/>
                <w:lang w:eastAsia="sl-SI"/>
              </w:rPr>
              <w:t>11.541.650</w:t>
            </w:r>
          </w:p>
        </w:tc>
        <w:tc>
          <w:tcPr>
            <w:tcW w:w="1689" w:type="dxa"/>
            <w:tcBorders>
              <w:top w:val="nil"/>
              <w:left w:val="nil"/>
              <w:bottom w:val="single" w:sz="8" w:space="0" w:color="auto"/>
              <w:right w:val="single" w:sz="8" w:space="0" w:color="auto"/>
            </w:tcBorders>
            <w:shd w:val="clear" w:color="auto" w:fill="auto"/>
            <w:noWrap/>
            <w:vAlign w:val="center"/>
            <w:hideMark/>
          </w:tcPr>
          <w:p w14:paraId="3C3001E2"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color w:val="000000"/>
                <w:sz w:val="15"/>
                <w:szCs w:val="15"/>
                <w:lang w:eastAsia="sl-SI"/>
              </w:rPr>
              <w:t>-11.541.650</w:t>
            </w:r>
          </w:p>
        </w:tc>
        <w:tc>
          <w:tcPr>
            <w:tcW w:w="1652" w:type="dxa"/>
            <w:tcBorders>
              <w:top w:val="nil"/>
              <w:left w:val="nil"/>
              <w:bottom w:val="single" w:sz="8" w:space="0" w:color="auto"/>
              <w:right w:val="single" w:sz="8" w:space="0" w:color="auto"/>
            </w:tcBorders>
            <w:shd w:val="clear" w:color="auto" w:fill="auto"/>
            <w:noWrap/>
            <w:vAlign w:val="center"/>
            <w:hideMark/>
          </w:tcPr>
          <w:p w14:paraId="18C4FF24"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color w:val="000000"/>
                <w:sz w:val="15"/>
                <w:szCs w:val="15"/>
                <w:lang w:eastAsia="sl-SI"/>
              </w:rPr>
              <w:t>0</w:t>
            </w:r>
          </w:p>
        </w:tc>
      </w:tr>
      <w:tr w:rsidR="002A7E48" w:rsidRPr="002A7E48" w14:paraId="10D810D3" w14:textId="77777777" w:rsidTr="0042240D">
        <w:trPr>
          <w:trHeight w:val="137"/>
        </w:trPr>
        <w:tc>
          <w:tcPr>
            <w:tcW w:w="525" w:type="dxa"/>
            <w:tcBorders>
              <w:top w:val="nil"/>
              <w:left w:val="single" w:sz="8" w:space="0" w:color="auto"/>
              <w:bottom w:val="single" w:sz="8" w:space="0" w:color="auto"/>
              <w:right w:val="single" w:sz="8" w:space="0" w:color="auto"/>
            </w:tcBorders>
            <w:shd w:val="clear" w:color="auto" w:fill="auto"/>
            <w:vAlign w:val="center"/>
            <w:hideMark/>
          </w:tcPr>
          <w:p w14:paraId="43CC8CEA" w14:textId="77777777" w:rsidR="002A7E48" w:rsidRPr="002A7E48" w:rsidRDefault="002A7E48" w:rsidP="002A7E48">
            <w:pPr>
              <w:spacing w:after="0" w:line="240" w:lineRule="auto"/>
              <w:jc w:val="center"/>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val="en-GB" w:eastAsia="sl-SI"/>
              </w:rPr>
              <w:t>CF</w:t>
            </w:r>
          </w:p>
        </w:tc>
        <w:tc>
          <w:tcPr>
            <w:tcW w:w="914" w:type="dxa"/>
            <w:tcBorders>
              <w:top w:val="nil"/>
              <w:left w:val="nil"/>
              <w:bottom w:val="single" w:sz="8" w:space="0" w:color="auto"/>
              <w:right w:val="single" w:sz="8" w:space="0" w:color="auto"/>
            </w:tcBorders>
            <w:shd w:val="clear" w:color="auto" w:fill="auto"/>
            <w:vAlign w:val="center"/>
            <w:hideMark/>
          </w:tcPr>
          <w:p w14:paraId="1946C14E"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c>
          <w:tcPr>
            <w:tcW w:w="2762" w:type="dxa"/>
            <w:gridSpan w:val="2"/>
            <w:tcBorders>
              <w:top w:val="nil"/>
              <w:left w:val="nil"/>
              <w:bottom w:val="single" w:sz="8" w:space="0" w:color="auto"/>
              <w:right w:val="single" w:sz="8" w:space="0" w:color="auto"/>
            </w:tcBorders>
            <w:shd w:val="clear" w:color="auto" w:fill="auto"/>
            <w:noWrap/>
            <w:vAlign w:val="center"/>
            <w:hideMark/>
          </w:tcPr>
          <w:p w14:paraId="4A728E13"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eastAsia="sl-SI"/>
              </w:rPr>
              <w:t>016. Visoko učinkovita soproizvodnja in daljinsko ogrevanje</w:t>
            </w:r>
          </w:p>
        </w:tc>
        <w:tc>
          <w:tcPr>
            <w:tcW w:w="1520" w:type="dxa"/>
            <w:tcBorders>
              <w:top w:val="nil"/>
              <w:left w:val="nil"/>
              <w:bottom w:val="single" w:sz="8" w:space="0" w:color="auto"/>
              <w:right w:val="single" w:sz="8" w:space="0" w:color="auto"/>
            </w:tcBorders>
            <w:shd w:val="clear" w:color="auto" w:fill="auto"/>
            <w:noWrap/>
            <w:vAlign w:val="center"/>
            <w:hideMark/>
          </w:tcPr>
          <w:p w14:paraId="27C14658"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noProof/>
                <w:color w:val="000000"/>
                <w:sz w:val="15"/>
                <w:szCs w:val="15"/>
                <w:lang w:eastAsia="sl-SI"/>
              </w:rPr>
              <w:t>14.000.000</w:t>
            </w:r>
          </w:p>
        </w:tc>
        <w:tc>
          <w:tcPr>
            <w:tcW w:w="1689" w:type="dxa"/>
            <w:tcBorders>
              <w:top w:val="nil"/>
              <w:left w:val="nil"/>
              <w:bottom w:val="single" w:sz="8" w:space="0" w:color="auto"/>
              <w:right w:val="single" w:sz="8" w:space="0" w:color="auto"/>
            </w:tcBorders>
            <w:shd w:val="clear" w:color="auto" w:fill="auto"/>
            <w:noWrap/>
            <w:vAlign w:val="center"/>
            <w:hideMark/>
          </w:tcPr>
          <w:p w14:paraId="3CB476D6"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color w:val="000000"/>
                <w:sz w:val="15"/>
                <w:szCs w:val="15"/>
                <w:lang w:eastAsia="sl-SI"/>
              </w:rPr>
              <w:t>-5.600.000</w:t>
            </w:r>
          </w:p>
        </w:tc>
        <w:tc>
          <w:tcPr>
            <w:tcW w:w="1652" w:type="dxa"/>
            <w:tcBorders>
              <w:top w:val="nil"/>
              <w:left w:val="nil"/>
              <w:bottom w:val="single" w:sz="8" w:space="0" w:color="auto"/>
              <w:right w:val="single" w:sz="8" w:space="0" w:color="auto"/>
            </w:tcBorders>
            <w:shd w:val="clear" w:color="auto" w:fill="auto"/>
            <w:noWrap/>
            <w:vAlign w:val="center"/>
            <w:hideMark/>
          </w:tcPr>
          <w:p w14:paraId="723FB38D"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color w:val="000000"/>
                <w:sz w:val="15"/>
                <w:szCs w:val="15"/>
                <w:lang w:eastAsia="sl-SI"/>
              </w:rPr>
              <w:t>8.400.000</w:t>
            </w:r>
          </w:p>
        </w:tc>
      </w:tr>
      <w:tr w:rsidR="002A7E48" w:rsidRPr="002A7E48" w14:paraId="3F5B5A92" w14:textId="77777777" w:rsidTr="0042240D">
        <w:trPr>
          <w:trHeight w:val="137"/>
        </w:trPr>
        <w:tc>
          <w:tcPr>
            <w:tcW w:w="525" w:type="dxa"/>
            <w:tcBorders>
              <w:top w:val="nil"/>
              <w:left w:val="single" w:sz="8" w:space="0" w:color="auto"/>
              <w:bottom w:val="single" w:sz="8" w:space="0" w:color="auto"/>
              <w:right w:val="single" w:sz="8" w:space="0" w:color="auto"/>
            </w:tcBorders>
            <w:shd w:val="clear" w:color="auto" w:fill="auto"/>
            <w:vAlign w:val="center"/>
            <w:hideMark/>
          </w:tcPr>
          <w:p w14:paraId="4C0A3802" w14:textId="77777777" w:rsidR="002A7E48" w:rsidRPr="002A7E48" w:rsidRDefault="002A7E48" w:rsidP="002A7E48">
            <w:pPr>
              <w:spacing w:after="0" w:line="240" w:lineRule="auto"/>
              <w:jc w:val="center"/>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val="en-GB" w:eastAsia="sl-SI"/>
              </w:rPr>
              <w:t>CF</w:t>
            </w:r>
          </w:p>
        </w:tc>
        <w:tc>
          <w:tcPr>
            <w:tcW w:w="914" w:type="dxa"/>
            <w:tcBorders>
              <w:top w:val="nil"/>
              <w:left w:val="nil"/>
              <w:bottom w:val="single" w:sz="8" w:space="0" w:color="auto"/>
              <w:right w:val="single" w:sz="8" w:space="0" w:color="auto"/>
            </w:tcBorders>
            <w:shd w:val="clear" w:color="auto" w:fill="auto"/>
            <w:vAlign w:val="center"/>
            <w:hideMark/>
          </w:tcPr>
          <w:p w14:paraId="3F1377E6"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c>
          <w:tcPr>
            <w:tcW w:w="2762" w:type="dxa"/>
            <w:gridSpan w:val="2"/>
            <w:tcBorders>
              <w:top w:val="nil"/>
              <w:left w:val="nil"/>
              <w:bottom w:val="single" w:sz="8" w:space="0" w:color="auto"/>
              <w:right w:val="single" w:sz="8" w:space="0" w:color="auto"/>
            </w:tcBorders>
            <w:shd w:val="clear" w:color="auto" w:fill="auto"/>
            <w:noWrap/>
            <w:vAlign w:val="center"/>
            <w:hideMark/>
          </w:tcPr>
          <w:p w14:paraId="68EB7DDB"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eastAsia="sl-SI"/>
              </w:rPr>
              <w:t>036. Multimodalni prevoz</w:t>
            </w:r>
          </w:p>
        </w:tc>
        <w:tc>
          <w:tcPr>
            <w:tcW w:w="1520" w:type="dxa"/>
            <w:tcBorders>
              <w:top w:val="nil"/>
              <w:left w:val="nil"/>
              <w:bottom w:val="single" w:sz="8" w:space="0" w:color="auto"/>
              <w:right w:val="single" w:sz="8" w:space="0" w:color="auto"/>
            </w:tcBorders>
            <w:shd w:val="clear" w:color="auto" w:fill="auto"/>
            <w:noWrap/>
            <w:vAlign w:val="center"/>
            <w:hideMark/>
          </w:tcPr>
          <w:p w14:paraId="2D482974"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noProof/>
                <w:color w:val="000000"/>
                <w:sz w:val="15"/>
                <w:szCs w:val="15"/>
                <w:lang w:eastAsia="sl-SI"/>
              </w:rPr>
              <w:t>4.980.000</w:t>
            </w:r>
          </w:p>
        </w:tc>
        <w:tc>
          <w:tcPr>
            <w:tcW w:w="1689" w:type="dxa"/>
            <w:tcBorders>
              <w:top w:val="nil"/>
              <w:left w:val="nil"/>
              <w:bottom w:val="single" w:sz="8" w:space="0" w:color="auto"/>
              <w:right w:val="single" w:sz="8" w:space="0" w:color="auto"/>
            </w:tcBorders>
            <w:shd w:val="clear" w:color="auto" w:fill="auto"/>
            <w:noWrap/>
            <w:vAlign w:val="center"/>
            <w:hideMark/>
          </w:tcPr>
          <w:p w14:paraId="446B1A63"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color w:val="000000"/>
                <w:sz w:val="15"/>
                <w:szCs w:val="15"/>
                <w:lang w:eastAsia="sl-SI"/>
              </w:rPr>
              <w:t>-697.200</w:t>
            </w:r>
          </w:p>
        </w:tc>
        <w:tc>
          <w:tcPr>
            <w:tcW w:w="1652" w:type="dxa"/>
            <w:tcBorders>
              <w:top w:val="nil"/>
              <w:left w:val="nil"/>
              <w:bottom w:val="single" w:sz="8" w:space="0" w:color="auto"/>
              <w:right w:val="single" w:sz="8" w:space="0" w:color="auto"/>
            </w:tcBorders>
            <w:shd w:val="clear" w:color="auto" w:fill="auto"/>
            <w:noWrap/>
            <w:vAlign w:val="center"/>
            <w:hideMark/>
          </w:tcPr>
          <w:p w14:paraId="5BE01A3C"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color w:val="000000"/>
                <w:sz w:val="15"/>
                <w:szCs w:val="15"/>
                <w:lang w:eastAsia="sl-SI"/>
              </w:rPr>
              <w:t>4.282.800</w:t>
            </w:r>
          </w:p>
        </w:tc>
      </w:tr>
      <w:tr w:rsidR="002A7E48" w:rsidRPr="002A7E48" w14:paraId="6F15CDCD" w14:textId="77777777" w:rsidTr="0042240D">
        <w:trPr>
          <w:trHeight w:val="137"/>
        </w:trPr>
        <w:tc>
          <w:tcPr>
            <w:tcW w:w="525" w:type="dxa"/>
            <w:tcBorders>
              <w:top w:val="nil"/>
              <w:left w:val="single" w:sz="8" w:space="0" w:color="auto"/>
              <w:bottom w:val="single" w:sz="8" w:space="0" w:color="auto"/>
              <w:right w:val="single" w:sz="8" w:space="0" w:color="auto"/>
            </w:tcBorders>
            <w:shd w:val="clear" w:color="auto" w:fill="auto"/>
            <w:vAlign w:val="center"/>
            <w:hideMark/>
          </w:tcPr>
          <w:p w14:paraId="2EAE66A9" w14:textId="77777777" w:rsidR="002A7E48" w:rsidRPr="002A7E48" w:rsidRDefault="002A7E48" w:rsidP="002A7E48">
            <w:pPr>
              <w:spacing w:after="0" w:line="240" w:lineRule="auto"/>
              <w:jc w:val="center"/>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val="en-GB" w:eastAsia="sl-SI"/>
              </w:rPr>
              <w:t>CF</w:t>
            </w:r>
          </w:p>
        </w:tc>
        <w:tc>
          <w:tcPr>
            <w:tcW w:w="914" w:type="dxa"/>
            <w:tcBorders>
              <w:top w:val="nil"/>
              <w:left w:val="nil"/>
              <w:bottom w:val="single" w:sz="8" w:space="0" w:color="auto"/>
              <w:right w:val="single" w:sz="8" w:space="0" w:color="auto"/>
            </w:tcBorders>
            <w:shd w:val="clear" w:color="auto" w:fill="auto"/>
            <w:vAlign w:val="center"/>
            <w:hideMark/>
          </w:tcPr>
          <w:p w14:paraId="73A53024"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c>
          <w:tcPr>
            <w:tcW w:w="2762" w:type="dxa"/>
            <w:gridSpan w:val="2"/>
            <w:tcBorders>
              <w:top w:val="nil"/>
              <w:left w:val="nil"/>
              <w:bottom w:val="single" w:sz="8" w:space="0" w:color="auto"/>
              <w:right w:val="single" w:sz="8" w:space="0" w:color="auto"/>
            </w:tcBorders>
            <w:shd w:val="clear" w:color="auto" w:fill="auto"/>
            <w:noWrap/>
            <w:vAlign w:val="center"/>
            <w:hideMark/>
          </w:tcPr>
          <w:p w14:paraId="2334D19C"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eastAsia="sl-SI"/>
              </w:rPr>
              <w:t>043. Infrastruktura za okolju prijazen mestni promet in njegovo spodbujanje (vključno z opremo in voznim parkom)</w:t>
            </w:r>
          </w:p>
        </w:tc>
        <w:tc>
          <w:tcPr>
            <w:tcW w:w="1520" w:type="dxa"/>
            <w:tcBorders>
              <w:top w:val="nil"/>
              <w:left w:val="nil"/>
              <w:bottom w:val="single" w:sz="8" w:space="0" w:color="auto"/>
              <w:right w:val="single" w:sz="8" w:space="0" w:color="auto"/>
            </w:tcBorders>
            <w:shd w:val="clear" w:color="auto" w:fill="auto"/>
            <w:noWrap/>
            <w:vAlign w:val="center"/>
            <w:hideMark/>
          </w:tcPr>
          <w:p w14:paraId="3C5A2351"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noProof/>
                <w:color w:val="000000"/>
                <w:sz w:val="15"/>
                <w:szCs w:val="15"/>
                <w:lang w:eastAsia="sl-SI"/>
              </w:rPr>
              <w:t>9.550.000</w:t>
            </w:r>
          </w:p>
        </w:tc>
        <w:tc>
          <w:tcPr>
            <w:tcW w:w="1689" w:type="dxa"/>
            <w:tcBorders>
              <w:top w:val="nil"/>
              <w:left w:val="nil"/>
              <w:bottom w:val="single" w:sz="8" w:space="0" w:color="auto"/>
              <w:right w:val="single" w:sz="8" w:space="0" w:color="auto"/>
            </w:tcBorders>
            <w:shd w:val="clear" w:color="auto" w:fill="auto"/>
            <w:noWrap/>
            <w:vAlign w:val="center"/>
            <w:hideMark/>
          </w:tcPr>
          <w:p w14:paraId="6909A580"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color w:val="000000"/>
                <w:sz w:val="15"/>
                <w:szCs w:val="15"/>
                <w:lang w:eastAsia="sl-SI"/>
              </w:rPr>
              <w:t> </w:t>
            </w:r>
          </w:p>
        </w:tc>
        <w:tc>
          <w:tcPr>
            <w:tcW w:w="1652" w:type="dxa"/>
            <w:tcBorders>
              <w:top w:val="nil"/>
              <w:left w:val="nil"/>
              <w:bottom w:val="single" w:sz="8" w:space="0" w:color="auto"/>
              <w:right w:val="single" w:sz="8" w:space="0" w:color="auto"/>
            </w:tcBorders>
            <w:shd w:val="clear" w:color="auto" w:fill="auto"/>
            <w:noWrap/>
            <w:vAlign w:val="center"/>
            <w:hideMark/>
          </w:tcPr>
          <w:p w14:paraId="321F1FDA"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color w:val="000000"/>
                <w:sz w:val="15"/>
                <w:szCs w:val="15"/>
                <w:lang w:eastAsia="sl-SI"/>
              </w:rPr>
              <w:t>9.550.000</w:t>
            </w:r>
          </w:p>
        </w:tc>
      </w:tr>
      <w:tr w:rsidR="002A7E48" w:rsidRPr="002A7E48" w14:paraId="0111A322" w14:textId="77777777" w:rsidTr="0042240D">
        <w:trPr>
          <w:trHeight w:val="137"/>
        </w:trPr>
        <w:tc>
          <w:tcPr>
            <w:tcW w:w="525" w:type="dxa"/>
            <w:tcBorders>
              <w:top w:val="nil"/>
              <w:left w:val="single" w:sz="8" w:space="0" w:color="auto"/>
              <w:bottom w:val="single" w:sz="8" w:space="0" w:color="auto"/>
              <w:right w:val="single" w:sz="8" w:space="0" w:color="auto"/>
            </w:tcBorders>
            <w:shd w:val="clear" w:color="auto" w:fill="auto"/>
            <w:vAlign w:val="center"/>
            <w:hideMark/>
          </w:tcPr>
          <w:p w14:paraId="328528FC" w14:textId="77777777" w:rsidR="002A7E48" w:rsidRPr="002A7E48" w:rsidRDefault="002A7E48" w:rsidP="002A7E48">
            <w:pPr>
              <w:spacing w:after="0" w:line="240" w:lineRule="auto"/>
              <w:jc w:val="center"/>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val="en-GB" w:eastAsia="sl-SI"/>
              </w:rPr>
              <w:t>CF</w:t>
            </w:r>
          </w:p>
        </w:tc>
        <w:tc>
          <w:tcPr>
            <w:tcW w:w="914" w:type="dxa"/>
            <w:tcBorders>
              <w:top w:val="nil"/>
              <w:left w:val="nil"/>
              <w:bottom w:val="single" w:sz="8" w:space="0" w:color="auto"/>
              <w:right w:val="single" w:sz="8" w:space="0" w:color="auto"/>
            </w:tcBorders>
            <w:shd w:val="clear" w:color="auto" w:fill="auto"/>
            <w:vAlign w:val="center"/>
            <w:hideMark/>
          </w:tcPr>
          <w:p w14:paraId="39821A99"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c>
          <w:tcPr>
            <w:tcW w:w="2762" w:type="dxa"/>
            <w:gridSpan w:val="2"/>
            <w:tcBorders>
              <w:top w:val="nil"/>
              <w:left w:val="nil"/>
              <w:bottom w:val="single" w:sz="8" w:space="0" w:color="auto"/>
              <w:right w:val="single" w:sz="8" w:space="0" w:color="auto"/>
            </w:tcBorders>
            <w:shd w:val="clear" w:color="auto" w:fill="auto"/>
            <w:noWrap/>
            <w:vAlign w:val="center"/>
            <w:hideMark/>
          </w:tcPr>
          <w:p w14:paraId="4F432B42"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eastAsia="sl-SI"/>
              </w:rPr>
              <w:t>044. Inteligentni prometni sistemi (vključno z uvedbo upravljanja povpraševanja, cestninskimi sistemi ter informacijskimi sistemi za spremljanje, nadzor in informacije)</w:t>
            </w:r>
          </w:p>
        </w:tc>
        <w:tc>
          <w:tcPr>
            <w:tcW w:w="1520" w:type="dxa"/>
            <w:tcBorders>
              <w:top w:val="nil"/>
              <w:left w:val="nil"/>
              <w:bottom w:val="single" w:sz="8" w:space="0" w:color="auto"/>
              <w:right w:val="single" w:sz="8" w:space="0" w:color="auto"/>
            </w:tcBorders>
            <w:shd w:val="clear" w:color="auto" w:fill="auto"/>
            <w:noWrap/>
            <w:vAlign w:val="center"/>
            <w:hideMark/>
          </w:tcPr>
          <w:p w14:paraId="5EDF6E59"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noProof/>
                <w:color w:val="000000"/>
                <w:sz w:val="15"/>
                <w:szCs w:val="15"/>
                <w:lang w:eastAsia="sl-SI"/>
              </w:rPr>
              <w:t>2.000.000</w:t>
            </w:r>
          </w:p>
        </w:tc>
        <w:tc>
          <w:tcPr>
            <w:tcW w:w="1689" w:type="dxa"/>
            <w:tcBorders>
              <w:top w:val="nil"/>
              <w:left w:val="nil"/>
              <w:bottom w:val="single" w:sz="8" w:space="0" w:color="auto"/>
              <w:right w:val="single" w:sz="8" w:space="0" w:color="auto"/>
            </w:tcBorders>
            <w:shd w:val="clear" w:color="auto" w:fill="auto"/>
            <w:noWrap/>
            <w:vAlign w:val="center"/>
            <w:hideMark/>
          </w:tcPr>
          <w:p w14:paraId="3C993156"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color w:val="000000"/>
                <w:sz w:val="15"/>
                <w:szCs w:val="15"/>
                <w:lang w:eastAsia="sl-SI"/>
              </w:rPr>
              <w:t>-1.617.000</w:t>
            </w:r>
          </w:p>
        </w:tc>
        <w:tc>
          <w:tcPr>
            <w:tcW w:w="1652" w:type="dxa"/>
            <w:tcBorders>
              <w:top w:val="nil"/>
              <w:left w:val="nil"/>
              <w:bottom w:val="single" w:sz="8" w:space="0" w:color="auto"/>
              <w:right w:val="single" w:sz="8" w:space="0" w:color="auto"/>
            </w:tcBorders>
            <w:shd w:val="clear" w:color="auto" w:fill="auto"/>
            <w:noWrap/>
            <w:vAlign w:val="center"/>
            <w:hideMark/>
          </w:tcPr>
          <w:p w14:paraId="5C068463"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color w:val="000000"/>
                <w:sz w:val="15"/>
                <w:szCs w:val="15"/>
                <w:lang w:eastAsia="sl-SI"/>
              </w:rPr>
              <w:t>383.000</w:t>
            </w:r>
          </w:p>
        </w:tc>
      </w:tr>
      <w:tr w:rsidR="002A7E48" w:rsidRPr="002A7E48" w14:paraId="1CD33E24" w14:textId="77777777" w:rsidTr="0042240D">
        <w:trPr>
          <w:trHeight w:val="137"/>
        </w:trPr>
        <w:tc>
          <w:tcPr>
            <w:tcW w:w="525" w:type="dxa"/>
            <w:tcBorders>
              <w:top w:val="nil"/>
              <w:left w:val="single" w:sz="8" w:space="0" w:color="auto"/>
              <w:bottom w:val="single" w:sz="8" w:space="0" w:color="auto"/>
              <w:right w:val="single" w:sz="8" w:space="0" w:color="auto"/>
            </w:tcBorders>
            <w:shd w:val="clear" w:color="auto" w:fill="auto"/>
            <w:vAlign w:val="center"/>
            <w:hideMark/>
          </w:tcPr>
          <w:p w14:paraId="1CAC08AD" w14:textId="77777777" w:rsidR="002A7E48" w:rsidRPr="002A7E48" w:rsidRDefault="002A7E48" w:rsidP="002A7E48">
            <w:pPr>
              <w:spacing w:after="0" w:line="240" w:lineRule="auto"/>
              <w:jc w:val="center"/>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val="en-GB" w:eastAsia="sl-SI"/>
              </w:rPr>
              <w:t>CF</w:t>
            </w:r>
          </w:p>
        </w:tc>
        <w:tc>
          <w:tcPr>
            <w:tcW w:w="914" w:type="dxa"/>
            <w:tcBorders>
              <w:top w:val="nil"/>
              <w:left w:val="nil"/>
              <w:bottom w:val="single" w:sz="8" w:space="0" w:color="auto"/>
              <w:right w:val="single" w:sz="8" w:space="0" w:color="auto"/>
            </w:tcBorders>
            <w:shd w:val="clear" w:color="auto" w:fill="auto"/>
            <w:vAlign w:val="center"/>
            <w:hideMark/>
          </w:tcPr>
          <w:p w14:paraId="0ED5869B"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c>
          <w:tcPr>
            <w:tcW w:w="2762" w:type="dxa"/>
            <w:gridSpan w:val="2"/>
            <w:tcBorders>
              <w:top w:val="nil"/>
              <w:left w:val="nil"/>
              <w:bottom w:val="single" w:sz="8" w:space="0" w:color="auto"/>
              <w:right w:val="single" w:sz="8" w:space="0" w:color="auto"/>
            </w:tcBorders>
            <w:shd w:val="clear" w:color="auto" w:fill="auto"/>
            <w:noWrap/>
            <w:vAlign w:val="center"/>
            <w:hideMark/>
          </w:tcPr>
          <w:p w14:paraId="3099984D"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eastAsia="sl-SI"/>
              </w:rPr>
              <w:t>083. Ukrepi na področju kakovosti zraka</w:t>
            </w:r>
          </w:p>
        </w:tc>
        <w:tc>
          <w:tcPr>
            <w:tcW w:w="1520" w:type="dxa"/>
            <w:tcBorders>
              <w:top w:val="nil"/>
              <w:left w:val="nil"/>
              <w:bottom w:val="single" w:sz="8" w:space="0" w:color="auto"/>
              <w:right w:val="single" w:sz="8" w:space="0" w:color="auto"/>
            </w:tcBorders>
            <w:shd w:val="clear" w:color="auto" w:fill="auto"/>
            <w:noWrap/>
            <w:vAlign w:val="center"/>
            <w:hideMark/>
          </w:tcPr>
          <w:p w14:paraId="0F7495B5"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noProof/>
                <w:color w:val="000000"/>
                <w:sz w:val="15"/>
                <w:szCs w:val="15"/>
                <w:lang w:eastAsia="sl-SI"/>
              </w:rPr>
              <w:t>8.400.000</w:t>
            </w:r>
          </w:p>
        </w:tc>
        <w:tc>
          <w:tcPr>
            <w:tcW w:w="1689" w:type="dxa"/>
            <w:tcBorders>
              <w:top w:val="nil"/>
              <w:left w:val="nil"/>
              <w:bottom w:val="single" w:sz="8" w:space="0" w:color="auto"/>
              <w:right w:val="single" w:sz="8" w:space="0" w:color="auto"/>
            </w:tcBorders>
            <w:shd w:val="clear" w:color="auto" w:fill="auto"/>
            <w:noWrap/>
            <w:vAlign w:val="center"/>
            <w:hideMark/>
          </w:tcPr>
          <w:p w14:paraId="06A006C7"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color w:val="000000"/>
                <w:sz w:val="15"/>
                <w:szCs w:val="15"/>
                <w:lang w:eastAsia="sl-SI"/>
              </w:rPr>
              <w:t> </w:t>
            </w:r>
          </w:p>
        </w:tc>
        <w:tc>
          <w:tcPr>
            <w:tcW w:w="1652" w:type="dxa"/>
            <w:tcBorders>
              <w:top w:val="nil"/>
              <w:left w:val="nil"/>
              <w:bottom w:val="single" w:sz="8" w:space="0" w:color="auto"/>
              <w:right w:val="single" w:sz="8" w:space="0" w:color="auto"/>
            </w:tcBorders>
            <w:shd w:val="clear" w:color="auto" w:fill="auto"/>
            <w:noWrap/>
            <w:vAlign w:val="center"/>
            <w:hideMark/>
          </w:tcPr>
          <w:p w14:paraId="4430BD19"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color w:val="000000"/>
                <w:sz w:val="15"/>
                <w:szCs w:val="15"/>
                <w:lang w:eastAsia="sl-SI"/>
              </w:rPr>
              <w:t>8.400.000</w:t>
            </w:r>
          </w:p>
        </w:tc>
      </w:tr>
      <w:tr w:rsidR="002A7E48" w:rsidRPr="002A7E48" w14:paraId="637C54CC" w14:textId="77777777" w:rsidTr="0042240D">
        <w:trPr>
          <w:trHeight w:val="137"/>
        </w:trPr>
        <w:tc>
          <w:tcPr>
            <w:tcW w:w="525" w:type="dxa"/>
            <w:tcBorders>
              <w:top w:val="nil"/>
              <w:left w:val="single" w:sz="8" w:space="0" w:color="auto"/>
              <w:bottom w:val="single" w:sz="8" w:space="0" w:color="auto"/>
              <w:right w:val="single" w:sz="8" w:space="0" w:color="auto"/>
            </w:tcBorders>
            <w:shd w:val="clear" w:color="auto" w:fill="auto"/>
            <w:vAlign w:val="center"/>
            <w:hideMark/>
          </w:tcPr>
          <w:p w14:paraId="6F03A2F9" w14:textId="77777777" w:rsidR="002A7E48" w:rsidRPr="002A7E48" w:rsidRDefault="002A7E48" w:rsidP="002A7E48">
            <w:pPr>
              <w:spacing w:after="0" w:line="240" w:lineRule="auto"/>
              <w:jc w:val="center"/>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val="en-GB" w:eastAsia="sl-SI"/>
              </w:rPr>
              <w:t>CF</w:t>
            </w:r>
          </w:p>
        </w:tc>
        <w:tc>
          <w:tcPr>
            <w:tcW w:w="914" w:type="dxa"/>
            <w:tcBorders>
              <w:top w:val="nil"/>
              <w:left w:val="nil"/>
              <w:bottom w:val="single" w:sz="8" w:space="0" w:color="auto"/>
              <w:right w:val="single" w:sz="8" w:space="0" w:color="auto"/>
            </w:tcBorders>
            <w:shd w:val="clear" w:color="auto" w:fill="auto"/>
            <w:vAlign w:val="center"/>
            <w:hideMark/>
          </w:tcPr>
          <w:p w14:paraId="799017A0"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c>
          <w:tcPr>
            <w:tcW w:w="2762" w:type="dxa"/>
            <w:gridSpan w:val="2"/>
            <w:tcBorders>
              <w:top w:val="nil"/>
              <w:left w:val="nil"/>
              <w:bottom w:val="single" w:sz="8" w:space="0" w:color="auto"/>
              <w:right w:val="single" w:sz="8" w:space="0" w:color="auto"/>
            </w:tcBorders>
            <w:shd w:val="clear" w:color="auto" w:fill="auto"/>
            <w:noWrap/>
            <w:vAlign w:val="center"/>
            <w:hideMark/>
          </w:tcPr>
          <w:p w14:paraId="27E747FE" w14:textId="77777777" w:rsidR="002A7E48" w:rsidRPr="002A7E48" w:rsidRDefault="002A7E48" w:rsidP="002A7E48">
            <w:pPr>
              <w:spacing w:after="0" w:line="240" w:lineRule="auto"/>
              <w:rPr>
                <w:rFonts w:ascii="Arial" w:eastAsia="Times New Roman" w:hAnsi="Arial" w:cs="Arial"/>
                <w:color w:val="000000"/>
                <w:sz w:val="15"/>
                <w:szCs w:val="15"/>
                <w:lang w:eastAsia="sl-SI"/>
              </w:rPr>
            </w:pPr>
            <w:r w:rsidRPr="002A7E48">
              <w:rPr>
                <w:rFonts w:ascii="Arial" w:eastAsia="Times New Roman" w:hAnsi="Arial" w:cs="Arial"/>
                <w:noProof/>
                <w:color w:val="000000"/>
                <w:sz w:val="15"/>
                <w:szCs w:val="15"/>
                <w:lang w:eastAsia="sl-SI"/>
              </w:rPr>
              <w:t>090. Kolesarske steze in poti za pešce</w:t>
            </w:r>
          </w:p>
        </w:tc>
        <w:tc>
          <w:tcPr>
            <w:tcW w:w="1520" w:type="dxa"/>
            <w:tcBorders>
              <w:top w:val="nil"/>
              <w:left w:val="nil"/>
              <w:bottom w:val="single" w:sz="8" w:space="0" w:color="auto"/>
              <w:right w:val="single" w:sz="8" w:space="0" w:color="auto"/>
            </w:tcBorders>
            <w:shd w:val="clear" w:color="auto" w:fill="auto"/>
            <w:noWrap/>
            <w:vAlign w:val="center"/>
            <w:hideMark/>
          </w:tcPr>
          <w:p w14:paraId="6EC1A048"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noProof/>
                <w:color w:val="000000"/>
                <w:sz w:val="15"/>
                <w:szCs w:val="15"/>
                <w:lang w:eastAsia="sl-SI"/>
              </w:rPr>
              <w:t>11.480.000</w:t>
            </w:r>
          </w:p>
        </w:tc>
        <w:tc>
          <w:tcPr>
            <w:tcW w:w="1689" w:type="dxa"/>
            <w:tcBorders>
              <w:top w:val="nil"/>
              <w:left w:val="nil"/>
              <w:bottom w:val="single" w:sz="8" w:space="0" w:color="auto"/>
              <w:right w:val="single" w:sz="8" w:space="0" w:color="auto"/>
            </w:tcBorders>
            <w:shd w:val="clear" w:color="auto" w:fill="auto"/>
            <w:noWrap/>
            <w:vAlign w:val="center"/>
            <w:hideMark/>
          </w:tcPr>
          <w:p w14:paraId="152ECF2A"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color w:val="000000"/>
                <w:sz w:val="15"/>
                <w:szCs w:val="15"/>
                <w:lang w:eastAsia="sl-SI"/>
              </w:rPr>
              <w:t>-2.783.200</w:t>
            </w:r>
          </w:p>
        </w:tc>
        <w:tc>
          <w:tcPr>
            <w:tcW w:w="1652" w:type="dxa"/>
            <w:tcBorders>
              <w:top w:val="nil"/>
              <w:left w:val="nil"/>
              <w:bottom w:val="single" w:sz="8" w:space="0" w:color="auto"/>
              <w:right w:val="single" w:sz="8" w:space="0" w:color="auto"/>
            </w:tcBorders>
            <w:shd w:val="clear" w:color="auto" w:fill="auto"/>
            <w:noWrap/>
            <w:vAlign w:val="center"/>
            <w:hideMark/>
          </w:tcPr>
          <w:p w14:paraId="3FCE2C0A"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color w:val="000000"/>
                <w:sz w:val="15"/>
                <w:szCs w:val="15"/>
                <w:lang w:eastAsia="sl-SI"/>
              </w:rPr>
              <w:t>8.696.800</w:t>
            </w:r>
          </w:p>
        </w:tc>
      </w:tr>
      <w:tr w:rsidR="002A7E48" w:rsidRPr="002A7E48" w14:paraId="0BE477D1" w14:textId="77777777" w:rsidTr="0042240D">
        <w:trPr>
          <w:trHeight w:val="137"/>
        </w:trPr>
        <w:tc>
          <w:tcPr>
            <w:tcW w:w="4201" w:type="dxa"/>
            <w:gridSpan w:val="4"/>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33CDF5CB" w14:textId="77777777" w:rsidR="002A7E48" w:rsidRPr="002A7E48" w:rsidRDefault="002A7E48" w:rsidP="002A7E48">
            <w:pPr>
              <w:spacing w:after="0" w:line="240" w:lineRule="auto"/>
              <w:jc w:val="center"/>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Skupaj</w:t>
            </w:r>
          </w:p>
        </w:tc>
        <w:tc>
          <w:tcPr>
            <w:tcW w:w="1520" w:type="dxa"/>
            <w:tcBorders>
              <w:top w:val="nil"/>
              <w:left w:val="nil"/>
              <w:bottom w:val="single" w:sz="8" w:space="0" w:color="auto"/>
              <w:right w:val="single" w:sz="8" w:space="0" w:color="auto"/>
            </w:tcBorders>
            <w:shd w:val="clear" w:color="000000" w:fill="D9D9D9"/>
            <w:noWrap/>
            <w:vAlign w:val="center"/>
            <w:hideMark/>
          </w:tcPr>
          <w:p w14:paraId="7F5B44DC" w14:textId="77777777" w:rsidR="002A7E48" w:rsidRPr="002A7E48" w:rsidRDefault="002A7E48" w:rsidP="002A7E48">
            <w:pPr>
              <w:spacing w:after="0" w:line="240" w:lineRule="auto"/>
              <w:jc w:val="right"/>
              <w:rPr>
                <w:rFonts w:ascii="Arial" w:eastAsia="Times New Roman" w:hAnsi="Arial" w:cs="Arial"/>
                <w:b/>
                <w:bCs/>
                <w:color w:val="000000"/>
                <w:sz w:val="15"/>
                <w:szCs w:val="15"/>
                <w:lang w:eastAsia="sl-SI"/>
              </w:rPr>
            </w:pPr>
            <w:r w:rsidRPr="002A7E48">
              <w:rPr>
                <w:rFonts w:ascii="Arial" w:eastAsia="Times New Roman" w:hAnsi="Arial" w:cs="Arial"/>
                <w:b/>
                <w:bCs/>
                <w:color w:val="000000"/>
                <w:sz w:val="15"/>
                <w:szCs w:val="15"/>
                <w:lang w:eastAsia="sl-SI"/>
              </w:rPr>
              <w:t>282.047.850</w:t>
            </w:r>
          </w:p>
        </w:tc>
        <w:tc>
          <w:tcPr>
            <w:tcW w:w="1689" w:type="dxa"/>
            <w:tcBorders>
              <w:top w:val="nil"/>
              <w:left w:val="nil"/>
              <w:bottom w:val="single" w:sz="8" w:space="0" w:color="auto"/>
              <w:right w:val="single" w:sz="8" w:space="0" w:color="auto"/>
            </w:tcBorders>
            <w:shd w:val="clear" w:color="000000" w:fill="D9D9D9"/>
            <w:noWrap/>
            <w:vAlign w:val="center"/>
            <w:hideMark/>
          </w:tcPr>
          <w:p w14:paraId="6B6D9D23" w14:textId="77777777" w:rsidR="002A7E48" w:rsidRPr="002A7E48" w:rsidRDefault="002A7E48" w:rsidP="002A7E48">
            <w:pPr>
              <w:spacing w:after="0" w:line="240" w:lineRule="auto"/>
              <w:jc w:val="right"/>
              <w:rPr>
                <w:rFonts w:ascii="Arial" w:eastAsia="Times New Roman" w:hAnsi="Arial" w:cs="Arial"/>
                <w:b/>
                <w:bCs/>
                <w:color w:val="000000"/>
                <w:sz w:val="15"/>
                <w:szCs w:val="15"/>
                <w:lang w:eastAsia="sl-SI"/>
              </w:rPr>
            </w:pPr>
            <w:r w:rsidRPr="002A7E48">
              <w:rPr>
                <w:rFonts w:ascii="Calibri" w:eastAsia="Calibri" w:hAnsi="Calibri" w:cs="Calibri"/>
                <w:b/>
                <w:bCs/>
                <w:color w:val="000000"/>
                <w:sz w:val="15"/>
                <w:szCs w:val="15"/>
              </w:rPr>
              <w:t>20.367.964,00</w:t>
            </w:r>
          </w:p>
        </w:tc>
        <w:tc>
          <w:tcPr>
            <w:tcW w:w="1652" w:type="dxa"/>
            <w:tcBorders>
              <w:top w:val="nil"/>
              <w:left w:val="nil"/>
              <w:bottom w:val="single" w:sz="8" w:space="0" w:color="auto"/>
              <w:right w:val="single" w:sz="8" w:space="0" w:color="auto"/>
            </w:tcBorders>
            <w:shd w:val="clear" w:color="000000" w:fill="D9D9D9"/>
            <w:noWrap/>
            <w:vAlign w:val="center"/>
            <w:hideMark/>
          </w:tcPr>
          <w:p w14:paraId="6732333C" w14:textId="77777777" w:rsidR="002A7E48" w:rsidRPr="002A7E48" w:rsidRDefault="002A7E48" w:rsidP="002A7E48">
            <w:pPr>
              <w:spacing w:after="0" w:line="240" w:lineRule="auto"/>
              <w:jc w:val="right"/>
              <w:rPr>
                <w:rFonts w:ascii="Arial" w:eastAsia="Times New Roman" w:hAnsi="Arial" w:cs="Arial"/>
                <w:b/>
                <w:bCs/>
                <w:color w:val="000000"/>
                <w:sz w:val="15"/>
                <w:szCs w:val="15"/>
                <w:lang w:eastAsia="sl-SI"/>
              </w:rPr>
            </w:pPr>
            <w:r w:rsidRPr="002A7E48">
              <w:rPr>
                <w:rFonts w:ascii="Calibri" w:eastAsia="Calibri" w:hAnsi="Calibri" w:cs="Calibri"/>
                <w:b/>
                <w:bCs/>
                <w:color w:val="000000"/>
                <w:sz w:val="15"/>
                <w:szCs w:val="15"/>
              </w:rPr>
              <w:t>302.415.814,00</w:t>
            </w:r>
          </w:p>
        </w:tc>
      </w:tr>
    </w:tbl>
    <w:p w14:paraId="56D5396F" w14:textId="77777777" w:rsidR="002A7E48" w:rsidRPr="002A7E48" w:rsidRDefault="002A7E48" w:rsidP="002A7E48">
      <w:pPr>
        <w:spacing w:after="0" w:line="240" w:lineRule="auto"/>
        <w:jc w:val="both"/>
        <w:rPr>
          <w:rFonts w:ascii="Arial" w:eastAsia="Calibri" w:hAnsi="Arial" w:cs="Arial"/>
          <w:sz w:val="20"/>
          <w:szCs w:val="20"/>
        </w:rPr>
      </w:pPr>
    </w:p>
    <w:p w14:paraId="4D092D1E" w14:textId="77777777" w:rsidR="002A7E48" w:rsidRPr="002A7E48" w:rsidRDefault="002A7E48" w:rsidP="002A7E48">
      <w:pPr>
        <w:keepNext/>
        <w:autoSpaceDE w:val="0"/>
        <w:autoSpaceDN w:val="0"/>
        <w:adjustRightInd w:val="0"/>
        <w:spacing w:after="0" w:line="240" w:lineRule="auto"/>
        <w:rPr>
          <w:rFonts w:ascii="Arial" w:eastAsia="Times New Roman" w:hAnsi="Arial" w:cs="Arial"/>
          <w:b/>
          <w:noProof/>
          <w:sz w:val="20"/>
          <w:szCs w:val="20"/>
          <w:lang w:eastAsia="en-GB"/>
        </w:rPr>
      </w:pPr>
      <w:r w:rsidRPr="002A7E48">
        <w:rPr>
          <w:rFonts w:ascii="Arial" w:eastAsia="Times New Roman" w:hAnsi="Arial" w:cs="Arial"/>
          <w:b/>
          <w:noProof/>
          <w:sz w:val="20"/>
          <w:szCs w:val="20"/>
          <w:lang w:eastAsia="en-GB"/>
        </w:rPr>
        <w:t>Tabela 7: Predlog spremembe »Razsežnosti 2 – Oblika financiranja«</w:t>
      </w:r>
    </w:p>
    <w:tbl>
      <w:tblPr>
        <w:tblW w:w="9062" w:type="dxa"/>
        <w:tblInd w:w="-10" w:type="dxa"/>
        <w:tblCellMar>
          <w:left w:w="70" w:type="dxa"/>
          <w:right w:w="70" w:type="dxa"/>
        </w:tblCellMar>
        <w:tblLook w:val="04A0" w:firstRow="1" w:lastRow="0" w:firstColumn="1" w:lastColumn="0" w:noHBand="0" w:noVBand="1"/>
      </w:tblPr>
      <w:tblGrid>
        <w:gridCol w:w="568"/>
        <w:gridCol w:w="909"/>
        <w:gridCol w:w="2936"/>
        <w:gridCol w:w="1571"/>
        <w:gridCol w:w="1647"/>
        <w:gridCol w:w="1431"/>
      </w:tblGrid>
      <w:tr w:rsidR="002A7E48" w:rsidRPr="002A7E48" w14:paraId="3968BD49" w14:textId="77777777" w:rsidTr="0042240D">
        <w:trPr>
          <w:trHeight w:val="277"/>
        </w:trPr>
        <w:tc>
          <w:tcPr>
            <w:tcW w:w="1349" w:type="dxa"/>
            <w:gridSpan w:val="2"/>
            <w:tcBorders>
              <w:top w:val="single" w:sz="8" w:space="0" w:color="auto"/>
              <w:left w:val="single" w:sz="8" w:space="0" w:color="auto"/>
              <w:bottom w:val="single" w:sz="8" w:space="0" w:color="auto"/>
              <w:right w:val="single" w:sz="8" w:space="0" w:color="auto"/>
            </w:tcBorders>
            <w:shd w:val="clear" w:color="000000" w:fill="D9D9D9"/>
            <w:vAlign w:val="center"/>
            <w:hideMark/>
          </w:tcPr>
          <w:p w14:paraId="7414B0E9" w14:textId="77777777" w:rsidR="002A7E48" w:rsidRPr="002A7E48" w:rsidRDefault="002A7E48" w:rsidP="002A7E48">
            <w:pPr>
              <w:spacing w:after="0" w:line="240" w:lineRule="auto"/>
              <w:rPr>
                <w:rFonts w:ascii="Arial" w:eastAsia="Times New Roman" w:hAnsi="Arial" w:cs="Arial"/>
                <w:b/>
                <w:bCs/>
                <w:color w:val="000000"/>
                <w:sz w:val="16"/>
                <w:szCs w:val="16"/>
                <w:lang w:eastAsia="sl-SI"/>
              </w:rPr>
            </w:pPr>
            <w:r w:rsidRPr="002A7E48">
              <w:rPr>
                <w:rFonts w:ascii="Arial" w:eastAsia="Times New Roman" w:hAnsi="Arial" w:cs="Arial"/>
                <w:b/>
                <w:bCs/>
                <w:noProof/>
                <w:color w:val="000000"/>
                <w:sz w:val="16"/>
                <w:szCs w:val="16"/>
                <w:lang w:eastAsia="sl-SI"/>
              </w:rPr>
              <w:t>Prednostna os</w:t>
            </w:r>
          </w:p>
        </w:tc>
        <w:tc>
          <w:tcPr>
            <w:tcW w:w="2987" w:type="dxa"/>
            <w:tcBorders>
              <w:top w:val="single" w:sz="8" w:space="0" w:color="auto"/>
              <w:left w:val="nil"/>
              <w:bottom w:val="single" w:sz="8" w:space="0" w:color="auto"/>
              <w:right w:val="single" w:sz="8" w:space="0" w:color="000000"/>
            </w:tcBorders>
            <w:shd w:val="clear" w:color="000000" w:fill="D9D9D9"/>
            <w:vAlign w:val="center"/>
            <w:hideMark/>
          </w:tcPr>
          <w:p w14:paraId="58D3D2C1" w14:textId="77777777" w:rsidR="002A7E48" w:rsidRPr="002A7E48" w:rsidRDefault="002A7E48" w:rsidP="002A7E48">
            <w:pPr>
              <w:spacing w:after="0" w:line="240" w:lineRule="auto"/>
              <w:jc w:val="center"/>
              <w:rPr>
                <w:rFonts w:ascii="Arial" w:eastAsia="Times New Roman" w:hAnsi="Arial" w:cs="Arial"/>
                <w:b/>
                <w:bCs/>
                <w:color w:val="000000"/>
                <w:sz w:val="16"/>
                <w:szCs w:val="16"/>
                <w:lang w:eastAsia="sl-SI"/>
              </w:rPr>
            </w:pPr>
            <w:r w:rsidRPr="002A7E48">
              <w:rPr>
                <w:rFonts w:ascii="Arial" w:eastAsia="Times New Roman" w:hAnsi="Arial" w:cs="Arial"/>
                <w:b/>
                <w:bCs/>
                <w:noProof/>
                <w:color w:val="000000"/>
                <w:sz w:val="16"/>
                <w:szCs w:val="16"/>
                <w:lang w:eastAsia="sl-SI"/>
              </w:rPr>
              <w:t>04 -  Trajnostna raba in proizvodnja energije in pametna omrežja</w:t>
            </w:r>
          </w:p>
        </w:tc>
        <w:tc>
          <w:tcPr>
            <w:tcW w:w="1597" w:type="dxa"/>
            <w:tcBorders>
              <w:top w:val="single" w:sz="8" w:space="0" w:color="auto"/>
              <w:left w:val="nil"/>
              <w:bottom w:val="single" w:sz="8" w:space="0" w:color="auto"/>
              <w:right w:val="single" w:sz="8" w:space="0" w:color="auto"/>
            </w:tcBorders>
            <w:shd w:val="clear" w:color="000000" w:fill="D9D9D9"/>
            <w:vAlign w:val="center"/>
            <w:hideMark/>
          </w:tcPr>
          <w:p w14:paraId="5149168C" w14:textId="77777777" w:rsidR="002A7E48" w:rsidRPr="002A7E48" w:rsidRDefault="002A7E48" w:rsidP="002A7E48">
            <w:pPr>
              <w:spacing w:after="0" w:line="240" w:lineRule="auto"/>
              <w:rPr>
                <w:rFonts w:ascii="Arial" w:eastAsia="Times New Roman" w:hAnsi="Arial" w:cs="Arial"/>
                <w:b/>
                <w:bCs/>
                <w:color w:val="000000"/>
                <w:sz w:val="15"/>
                <w:szCs w:val="15"/>
                <w:lang w:eastAsia="sl-SI"/>
              </w:rPr>
            </w:pPr>
            <w:r w:rsidRPr="002A7E48">
              <w:rPr>
                <w:rFonts w:ascii="Arial" w:eastAsia="Times New Roman" w:hAnsi="Arial" w:cs="Arial"/>
                <w:b/>
                <w:bCs/>
                <w:color w:val="000000"/>
                <w:sz w:val="15"/>
                <w:szCs w:val="15"/>
                <w:lang w:eastAsia="sl-SI"/>
              </w:rPr>
              <w:t>Pravice porabe EU del OP, 7.1</w:t>
            </w:r>
          </w:p>
        </w:tc>
        <w:tc>
          <w:tcPr>
            <w:tcW w:w="1674" w:type="dxa"/>
            <w:tcBorders>
              <w:top w:val="single" w:sz="8" w:space="0" w:color="auto"/>
              <w:left w:val="nil"/>
              <w:bottom w:val="single" w:sz="8" w:space="0" w:color="auto"/>
              <w:right w:val="single" w:sz="8" w:space="0" w:color="auto"/>
            </w:tcBorders>
            <w:shd w:val="clear" w:color="000000" w:fill="D9D9D9"/>
            <w:vAlign w:val="center"/>
            <w:hideMark/>
          </w:tcPr>
          <w:p w14:paraId="7BF2C9EE" w14:textId="77777777" w:rsidR="002A7E48" w:rsidRPr="002A7E48" w:rsidRDefault="002A7E48" w:rsidP="002A7E48">
            <w:pPr>
              <w:spacing w:after="0" w:line="240" w:lineRule="auto"/>
              <w:rPr>
                <w:rFonts w:ascii="Arial" w:eastAsia="Times New Roman" w:hAnsi="Arial" w:cs="Arial"/>
                <w:b/>
                <w:bCs/>
                <w:color w:val="000000"/>
                <w:sz w:val="15"/>
                <w:szCs w:val="15"/>
                <w:lang w:eastAsia="sl-SI"/>
              </w:rPr>
            </w:pPr>
            <w:r w:rsidRPr="002A7E48">
              <w:rPr>
                <w:rFonts w:ascii="Arial" w:eastAsia="Times New Roman" w:hAnsi="Arial" w:cs="Arial"/>
                <w:b/>
                <w:bCs/>
                <w:color w:val="000000"/>
                <w:sz w:val="15"/>
                <w:szCs w:val="15"/>
                <w:lang w:eastAsia="sl-SI"/>
              </w:rPr>
              <w:t>predlagane spremembe</w:t>
            </w:r>
          </w:p>
        </w:tc>
        <w:tc>
          <w:tcPr>
            <w:tcW w:w="1455" w:type="dxa"/>
            <w:tcBorders>
              <w:top w:val="single" w:sz="8" w:space="0" w:color="auto"/>
              <w:left w:val="nil"/>
              <w:bottom w:val="single" w:sz="8" w:space="0" w:color="auto"/>
              <w:right w:val="single" w:sz="8" w:space="0" w:color="auto"/>
            </w:tcBorders>
            <w:shd w:val="clear" w:color="000000" w:fill="D9D9D9"/>
            <w:vAlign w:val="center"/>
            <w:hideMark/>
          </w:tcPr>
          <w:p w14:paraId="2C399DD5" w14:textId="77777777" w:rsidR="002A7E48" w:rsidRPr="002A7E48" w:rsidRDefault="002A7E48" w:rsidP="002A7E48">
            <w:pPr>
              <w:spacing w:after="0" w:line="240" w:lineRule="auto"/>
              <w:rPr>
                <w:rFonts w:ascii="Arial" w:eastAsia="Times New Roman" w:hAnsi="Arial" w:cs="Arial"/>
                <w:b/>
                <w:bCs/>
                <w:color w:val="000000"/>
                <w:sz w:val="15"/>
                <w:szCs w:val="15"/>
                <w:lang w:eastAsia="sl-SI"/>
              </w:rPr>
            </w:pPr>
            <w:r w:rsidRPr="002A7E48">
              <w:rPr>
                <w:rFonts w:ascii="Arial" w:eastAsia="Times New Roman" w:hAnsi="Arial" w:cs="Arial"/>
                <w:b/>
                <w:bCs/>
                <w:color w:val="000000"/>
                <w:sz w:val="15"/>
                <w:szCs w:val="15"/>
                <w:lang w:eastAsia="sl-SI"/>
              </w:rPr>
              <w:t>Pravice porabe EU del OP, 8.0</w:t>
            </w:r>
          </w:p>
        </w:tc>
      </w:tr>
      <w:tr w:rsidR="002A7E48" w:rsidRPr="002A7E48" w14:paraId="2BDCC593" w14:textId="77777777" w:rsidTr="0042240D">
        <w:trPr>
          <w:trHeight w:val="166"/>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0232693F" w14:textId="77777777" w:rsidR="002A7E48" w:rsidRPr="002A7E48" w:rsidRDefault="002A7E48" w:rsidP="002A7E48">
            <w:pPr>
              <w:spacing w:after="0" w:line="240" w:lineRule="auto"/>
              <w:jc w:val="center"/>
              <w:rPr>
                <w:rFonts w:ascii="Arial" w:eastAsia="Times New Roman" w:hAnsi="Arial" w:cs="Arial"/>
                <w:b/>
                <w:bCs/>
                <w:color w:val="000000"/>
                <w:sz w:val="16"/>
                <w:szCs w:val="16"/>
                <w:lang w:eastAsia="sl-SI"/>
              </w:rPr>
            </w:pPr>
            <w:r w:rsidRPr="002A7E48">
              <w:rPr>
                <w:rFonts w:ascii="Arial" w:eastAsia="Times New Roman" w:hAnsi="Arial" w:cs="Arial"/>
                <w:b/>
                <w:bCs/>
                <w:noProof/>
                <w:color w:val="000000"/>
                <w:sz w:val="16"/>
                <w:szCs w:val="16"/>
                <w:lang w:eastAsia="en-GB"/>
              </w:rPr>
              <w:t>Sklad</w:t>
            </w:r>
          </w:p>
        </w:tc>
        <w:tc>
          <w:tcPr>
            <w:tcW w:w="826" w:type="dxa"/>
            <w:tcBorders>
              <w:top w:val="single" w:sz="8" w:space="0" w:color="auto"/>
              <w:left w:val="nil"/>
              <w:bottom w:val="single" w:sz="8" w:space="0" w:color="auto"/>
              <w:right w:val="single" w:sz="8" w:space="0" w:color="000000"/>
            </w:tcBorders>
            <w:shd w:val="clear" w:color="auto" w:fill="auto"/>
            <w:vAlign w:val="center"/>
            <w:hideMark/>
          </w:tcPr>
          <w:p w14:paraId="62FC538D" w14:textId="77777777" w:rsidR="002A7E48" w:rsidRPr="002A7E48" w:rsidRDefault="002A7E48" w:rsidP="002A7E48">
            <w:pPr>
              <w:spacing w:after="0" w:line="240" w:lineRule="auto"/>
              <w:jc w:val="center"/>
              <w:rPr>
                <w:rFonts w:ascii="Arial" w:eastAsia="Times New Roman" w:hAnsi="Arial" w:cs="Arial"/>
                <w:b/>
                <w:bCs/>
                <w:color w:val="000000"/>
                <w:sz w:val="16"/>
                <w:szCs w:val="16"/>
                <w:lang w:eastAsia="sl-SI"/>
              </w:rPr>
            </w:pPr>
            <w:r w:rsidRPr="002A7E48">
              <w:rPr>
                <w:rFonts w:ascii="Arial" w:eastAsia="Times New Roman" w:hAnsi="Arial" w:cs="Arial"/>
                <w:b/>
                <w:bCs/>
                <w:noProof/>
                <w:color w:val="000000"/>
                <w:sz w:val="16"/>
                <w:szCs w:val="16"/>
                <w:lang w:eastAsia="en-GB"/>
              </w:rPr>
              <w:t>Kategorija regije</w:t>
            </w:r>
          </w:p>
        </w:tc>
        <w:tc>
          <w:tcPr>
            <w:tcW w:w="2987" w:type="dxa"/>
            <w:tcBorders>
              <w:top w:val="nil"/>
              <w:left w:val="nil"/>
              <w:bottom w:val="single" w:sz="8" w:space="0" w:color="auto"/>
              <w:right w:val="single" w:sz="8" w:space="0" w:color="auto"/>
            </w:tcBorders>
            <w:shd w:val="clear" w:color="auto" w:fill="auto"/>
            <w:vAlign w:val="center"/>
            <w:hideMark/>
          </w:tcPr>
          <w:p w14:paraId="051E34E0" w14:textId="77777777" w:rsidR="002A7E48" w:rsidRPr="002A7E48" w:rsidRDefault="002A7E48" w:rsidP="002A7E48">
            <w:pPr>
              <w:spacing w:after="0" w:line="240" w:lineRule="auto"/>
              <w:jc w:val="center"/>
              <w:rPr>
                <w:rFonts w:ascii="Arial" w:eastAsia="Times New Roman" w:hAnsi="Arial" w:cs="Arial"/>
                <w:b/>
                <w:bCs/>
                <w:color w:val="000000"/>
                <w:sz w:val="16"/>
                <w:szCs w:val="16"/>
                <w:lang w:eastAsia="sl-SI"/>
              </w:rPr>
            </w:pPr>
            <w:r w:rsidRPr="002A7E48">
              <w:rPr>
                <w:rFonts w:ascii="Arial" w:eastAsia="Times New Roman" w:hAnsi="Arial" w:cs="Arial"/>
                <w:b/>
                <w:bCs/>
                <w:noProof/>
                <w:color w:val="000000"/>
                <w:sz w:val="16"/>
                <w:szCs w:val="16"/>
                <w:lang w:eastAsia="sl-SI"/>
              </w:rPr>
              <w:t>Oznaka</w:t>
            </w:r>
          </w:p>
        </w:tc>
        <w:tc>
          <w:tcPr>
            <w:tcW w:w="1597" w:type="dxa"/>
            <w:tcBorders>
              <w:top w:val="nil"/>
              <w:left w:val="nil"/>
              <w:bottom w:val="single" w:sz="8" w:space="0" w:color="auto"/>
              <w:right w:val="single" w:sz="8" w:space="0" w:color="auto"/>
            </w:tcBorders>
            <w:shd w:val="clear" w:color="auto" w:fill="auto"/>
            <w:vAlign w:val="center"/>
            <w:hideMark/>
          </w:tcPr>
          <w:p w14:paraId="72DF2806" w14:textId="77777777" w:rsidR="002A7E48" w:rsidRPr="002A7E48" w:rsidRDefault="002A7E48" w:rsidP="002A7E48">
            <w:pPr>
              <w:spacing w:after="0" w:line="240" w:lineRule="auto"/>
              <w:jc w:val="center"/>
              <w:rPr>
                <w:rFonts w:ascii="Arial" w:eastAsia="Times New Roman" w:hAnsi="Arial" w:cs="Arial"/>
                <w:b/>
                <w:bCs/>
                <w:color w:val="000000"/>
                <w:sz w:val="16"/>
                <w:szCs w:val="16"/>
                <w:lang w:eastAsia="sl-SI"/>
              </w:rPr>
            </w:pPr>
            <w:r w:rsidRPr="002A7E48">
              <w:rPr>
                <w:rFonts w:ascii="Arial" w:eastAsia="Times New Roman" w:hAnsi="Arial" w:cs="Arial"/>
                <w:b/>
                <w:bCs/>
                <w:noProof/>
                <w:color w:val="000000"/>
                <w:sz w:val="16"/>
                <w:szCs w:val="16"/>
                <w:lang w:eastAsia="sl-SI"/>
              </w:rPr>
              <w:t>Znesek v EUR</w:t>
            </w:r>
          </w:p>
        </w:tc>
        <w:tc>
          <w:tcPr>
            <w:tcW w:w="1674" w:type="dxa"/>
            <w:tcBorders>
              <w:top w:val="nil"/>
              <w:left w:val="nil"/>
              <w:bottom w:val="single" w:sz="8" w:space="0" w:color="auto"/>
              <w:right w:val="single" w:sz="8" w:space="0" w:color="auto"/>
            </w:tcBorders>
            <w:shd w:val="clear" w:color="auto" w:fill="auto"/>
            <w:vAlign w:val="center"/>
            <w:hideMark/>
          </w:tcPr>
          <w:p w14:paraId="760F6649" w14:textId="77777777" w:rsidR="002A7E48" w:rsidRPr="002A7E48" w:rsidRDefault="002A7E48" w:rsidP="002A7E48">
            <w:pPr>
              <w:spacing w:after="0" w:line="240" w:lineRule="auto"/>
              <w:jc w:val="center"/>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Znesek v EUR</w:t>
            </w:r>
          </w:p>
        </w:tc>
        <w:tc>
          <w:tcPr>
            <w:tcW w:w="1455" w:type="dxa"/>
            <w:tcBorders>
              <w:top w:val="nil"/>
              <w:left w:val="nil"/>
              <w:bottom w:val="single" w:sz="8" w:space="0" w:color="auto"/>
              <w:right w:val="single" w:sz="8" w:space="0" w:color="auto"/>
            </w:tcBorders>
            <w:shd w:val="clear" w:color="auto" w:fill="auto"/>
            <w:vAlign w:val="center"/>
            <w:hideMark/>
          </w:tcPr>
          <w:p w14:paraId="47D40551" w14:textId="77777777" w:rsidR="002A7E48" w:rsidRPr="002A7E48" w:rsidRDefault="002A7E48" w:rsidP="002A7E48">
            <w:pPr>
              <w:spacing w:after="0" w:line="240" w:lineRule="auto"/>
              <w:jc w:val="center"/>
              <w:rPr>
                <w:rFonts w:ascii="Arial" w:eastAsia="Times New Roman" w:hAnsi="Arial" w:cs="Arial"/>
                <w:b/>
                <w:bCs/>
                <w:color w:val="000000"/>
                <w:sz w:val="16"/>
                <w:szCs w:val="16"/>
                <w:lang w:eastAsia="sl-SI"/>
              </w:rPr>
            </w:pPr>
            <w:r w:rsidRPr="002A7E48">
              <w:rPr>
                <w:rFonts w:ascii="Arial" w:eastAsia="Times New Roman" w:hAnsi="Arial" w:cs="Arial"/>
                <w:b/>
                <w:bCs/>
                <w:color w:val="000000"/>
                <w:sz w:val="16"/>
                <w:szCs w:val="16"/>
                <w:lang w:eastAsia="sl-SI"/>
              </w:rPr>
              <w:t>Znesek v EUR</w:t>
            </w:r>
          </w:p>
        </w:tc>
      </w:tr>
      <w:tr w:rsidR="002A7E48" w:rsidRPr="002A7E48" w14:paraId="1999B9E8" w14:textId="77777777" w:rsidTr="0042240D">
        <w:trPr>
          <w:trHeight w:val="166"/>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4F946760" w14:textId="77777777" w:rsidR="002A7E48" w:rsidRPr="002A7E48" w:rsidRDefault="002A7E48" w:rsidP="002A7E48">
            <w:pPr>
              <w:spacing w:after="0" w:line="240" w:lineRule="auto"/>
              <w:jc w:val="center"/>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val="en-GB" w:eastAsia="sl-SI"/>
              </w:rPr>
              <w:t>ERDF</w:t>
            </w:r>
          </w:p>
        </w:tc>
        <w:tc>
          <w:tcPr>
            <w:tcW w:w="826" w:type="dxa"/>
            <w:tcBorders>
              <w:top w:val="single" w:sz="8" w:space="0" w:color="auto"/>
              <w:left w:val="nil"/>
              <w:bottom w:val="single" w:sz="8" w:space="0" w:color="auto"/>
              <w:right w:val="single" w:sz="8" w:space="0" w:color="000000"/>
            </w:tcBorders>
            <w:shd w:val="clear" w:color="auto" w:fill="auto"/>
            <w:vAlign w:val="center"/>
            <w:hideMark/>
          </w:tcPr>
          <w:p w14:paraId="0B4EB8F3"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eastAsia="sl-SI"/>
              </w:rPr>
              <w:t>Manj razvite</w:t>
            </w:r>
          </w:p>
        </w:tc>
        <w:tc>
          <w:tcPr>
            <w:tcW w:w="2987" w:type="dxa"/>
            <w:tcBorders>
              <w:top w:val="nil"/>
              <w:left w:val="nil"/>
              <w:bottom w:val="single" w:sz="8" w:space="0" w:color="auto"/>
              <w:right w:val="single" w:sz="8" w:space="0" w:color="auto"/>
            </w:tcBorders>
            <w:shd w:val="clear" w:color="auto" w:fill="auto"/>
            <w:noWrap/>
            <w:vAlign w:val="center"/>
            <w:hideMark/>
          </w:tcPr>
          <w:p w14:paraId="661A0B68"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eastAsia="sl-SI"/>
              </w:rPr>
              <w:t>01. Nepovratna sredstva</w:t>
            </w:r>
          </w:p>
        </w:tc>
        <w:tc>
          <w:tcPr>
            <w:tcW w:w="1597" w:type="dxa"/>
            <w:tcBorders>
              <w:top w:val="nil"/>
              <w:left w:val="nil"/>
              <w:bottom w:val="single" w:sz="8" w:space="0" w:color="auto"/>
              <w:right w:val="single" w:sz="8" w:space="0" w:color="auto"/>
            </w:tcBorders>
            <w:shd w:val="clear" w:color="auto" w:fill="auto"/>
            <w:noWrap/>
            <w:vAlign w:val="center"/>
            <w:hideMark/>
          </w:tcPr>
          <w:p w14:paraId="1034796A"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noProof/>
                <w:color w:val="000000"/>
                <w:sz w:val="15"/>
                <w:szCs w:val="15"/>
                <w:lang w:eastAsia="sl-SI"/>
              </w:rPr>
              <w:t>26.099.288</w:t>
            </w:r>
          </w:p>
        </w:tc>
        <w:tc>
          <w:tcPr>
            <w:tcW w:w="1674" w:type="dxa"/>
            <w:tcBorders>
              <w:top w:val="nil"/>
              <w:left w:val="nil"/>
              <w:bottom w:val="single" w:sz="8" w:space="0" w:color="auto"/>
              <w:right w:val="single" w:sz="8" w:space="0" w:color="auto"/>
            </w:tcBorders>
            <w:shd w:val="clear" w:color="auto" w:fill="auto"/>
            <w:noWrap/>
            <w:vAlign w:val="center"/>
            <w:hideMark/>
          </w:tcPr>
          <w:p w14:paraId="482288CF"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color w:val="000000"/>
                <w:sz w:val="15"/>
                <w:szCs w:val="15"/>
                <w:lang w:eastAsia="sl-SI"/>
              </w:rPr>
              <w:t>36.783.759,00</w:t>
            </w:r>
          </w:p>
        </w:tc>
        <w:tc>
          <w:tcPr>
            <w:tcW w:w="1455" w:type="dxa"/>
            <w:tcBorders>
              <w:top w:val="nil"/>
              <w:left w:val="nil"/>
              <w:bottom w:val="single" w:sz="8" w:space="0" w:color="auto"/>
              <w:right w:val="single" w:sz="8" w:space="0" w:color="auto"/>
            </w:tcBorders>
            <w:shd w:val="clear" w:color="auto" w:fill="auto"/>
            <w:noWrap/>
            <w:vAlign w:val="center"/>
            <w:hideMark/>
          </w:tcPr>
          <w:p w14:paraId="6FE75AF7"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color w:val="000000"/>
                <w:sz w:val="15"/>
                <w:szCs w:val="15"/>
                <w:lang w:eastAsia="sl-SI"/>
              </w:rPr>
              <w:t>62.883.047</w:t>
            </w:r>
          </w:p>
        </w:tc>
      </w:tr>
      <w:tr w:rsidR="002A7E48" w:rsidRPr="002A7E48" w14:paraId="2B6FA7F0" w14:textId="77777777" w:rsidTr="0042240D">
        <w:trPr>
          <w:trHeight w:val="166"/>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397DBCA4" w14:textId="77777777" w:rsidR="002A7E48" w:rsidRPr="002A7E48" w:rsidRDefault="002A7E48" w:rsidP="002A7E48">
            <w:pPr>
              <w:spacing w:after="0" w:line="240" w:lineRule="auto"/>
              <w:jc w:val="center"/>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eastAsia="sl-SI"/>
              </w:rPr>
              <w:t>ERDF</w:t>
            </w:r>
          </w:p>
        </w:tc>
        <w:tc>
          <w:tcPr>
            <w:tcW w:w="826" w:type="dxa"/>
            <w:tcBorders>
              <w:top w:val="single" w:sz="8" w:space="0" w:color="auto"/>
              <w:left w:val="nil"/>
              <w:bottom w:val="single" w:sz="8" w:space="0" w:color="auto"/>
              <w:right w:val="single" w:sz="8" w:space="0" w:color="000000"/>
            </w:tcBorders>
            <w:shd w:val="clear" w:color="auto" w:fill="auto"/>
            <w:vAlign w:val="center"/>
            <w:hideMark/>
          </w:tcPr>
          <w:p w14:paraId="27BAC4BC"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eastAsia="sl-SI"/>
              </w:rPr>
              <w:t>Bolj razvite</w:t>
            </w:r>
          </w:p>
        </w:tc>
        <w:tc>
          <w:tcPr>
            <w:tcW w:w="2987" w:type="dxa"/>
            <w:tcBorders>
              <w:top w:val="nil"/>
              <w:left w:val="nil"/>
              <w:bottom w:val="single" w:sz="8" w:space="0" w:color="auto"/>
              <w:right w:val="single" w:sz="8" w:space="0" w:color="auto"/>
            </w:tcBorders>
            <w:shd w:val="clear" w:color="auto" w:fill="auto"/>
            <w:noWrap/>
            <w:vAlign w:val="center"/>
            <w:hideMark/>
          </w:tcPr>
          <w:p w14:paraId="431A1C04"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eastAsia="sl-SI"/>
              </w:rPr>
              <w:t>01. Nepovratna sredstva</w:t>
            </w:r>
          </w:p>
        </w:tc>
        <w:tc>
          <w:tcPr>
            <w:tcW w:w="1597" w:type="dxa"/>
            <w:tcBorders>
              <w:top w:val="nil"/>
              <w:left w:val="nil"/>
              <w:bottom w:val="single" w:sz="8" w:space="0" w:color="auto"/>
              <w:right w:val="single" w:sz="8" w:space="0" w:color="auto"/>
            </w:tcBorders>
            <w:shd w:val="clear" w:color="auto" w:fill="auto"/>
            <w:noWrap/>
            <w:vAlign w:val="center"/>
            <w:hideMark/>
          </w:tcPr>
          <w:p w14:paraId="5BB19660"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noProof/>
                <w:color w:val="000000"/>
                <w:sz w:val="15"/>
                <w:szCs w:val="15"/>
                <w:lang w:eastAsia="sl-SI"/>
              </w:rPr>
              <w:t>17.932.912</w:t>
            </w:r>
          </w:p>
        </w:tc>
        <w:tc>
          <w:tcPr>
            <w:tcW w:w="1674" w:type="dxa"/>
            <w:tcBorders>
              <w:top w:val="nil"/>
              <w:left w:val="nil"/>
              <w:bottom w:val="single" w:sz="8" w:space="0" w:color="auto"/>
              <w:right w:val="single" w:sz="8" w:space="0" w:color="auto"/>
            </w:tcBorders>
            <w:shd w:val="clear" w:color="auto" w:fill="auto"/>
            <w:noWrap/>
            <w:vAlign w:val="center"/>
            <w:hideMark/>
          </w:tcPr>
          <w:p w14:paraId="46E2C14F"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color w:val="000000"/>
                <w:sz w:val="15"/>
                <w:szCs w:val="15"/>
                <w:lang w:eastAsia="sl-SI"/>
              </w:rPr>
              <w:t> </w:t>
            </w:r>
          </w:p>
        </w:tc>
        <w:tc>
          <w:tcPr>
            <w:tcW w:w="1455" w:type="dxa"/>
            <w:tcBorders>
              <w:top w:val="nil"/>
              <w:left w:val="nil"/>
              <w:bottom w:val="single" w:sz="8" w:space="0" w:color="auto"/>
              <w:right w:val="single" w:sz="8" w:space="0" w:color="auto"/>
            </w:tcBorders>
            <w:shd w:val="clear" w:color="auto" w:fill="auto"/>
            <w:noWrap/>
            <w:vAlign w:val="center"/>
            <w:hideMark/>
          </w:tcPr>
          <w:p w14:paraId="041EC4C7"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color w:val="000000"/>
                <w:sz w:val="15"/>
                <w:szCs w:val="15"/>
                <w:lang w:eastAsia="sl-SI"/>
              </w:rPr>
              <w:t>17.932.912</w:t>
            </w:r>
          </w:p>
        </w:tc>
      </w:tr>
      <w:tr w:rsidR="002A7E48" w:rsidRPr="002A7E48" w14:paraId="11FF291C" w14:textId="77777777" w:rsidTr="0042240D">
        <w:trPr>
          <w:trHeight w:val="166"/>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758A6B04" w14:textId="77777777" w:rsidR="002A7E48" w:rsidRPr="002A7E48" w:rsidRDefault="002A7E48" w:rsidP="002A7E48">
            <w:pPr>
              <w:spacing w:after="0" w:line="240" w:lineRule="auto"/>
              <w:jc w:val="center"/>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eastAsia="sl-SI"/>
              </w:rPr>
              <w:t>CF</w:t>
            </w:r>
          </w:p>
        </w:tc>
        <w:tc>
          <w:tcPr>
            <w:tcW w:w="826" w:type="dxa"/>
            <w:tcBorders>
              <w:top w:val="single" w:sz="8" w:space="0" w:color="auto"/>
              <w:left w:val="nil"/>
              <w:bottom w:val="single" w:sz="8" w:space="0" w:color="auto"/>
              <w:right w:val="single" w:sz="8" w:space="0" w:color="000000"/>
            </w:tcBorders>
            <w:shd w:val="clear" w:color="auto" w:fill="auto"/>
            <w:vAlign w:val="center"/>
            <w:hideMark/>
          </w:tcPr>
          <w:p w14:paraId="5A386792"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c>
          <w:tcPr>
            <w:tcW w:w="2987" w:type="dxa"/>
            <w:tcBorders>
              <w:top w:val="nil"/>
              <w:left w:val="nil"/>
              <w:bottom w:val="single" w:sz="8" w:space="0" w:color="auto"/>
              <w:right w:val="single" w:sz="8" w:space="0" w:color="auto"/>
            </w:tcBorders>
            <w:shd w:val="clear" w:color="auto" w:fill="auto"/>
            <w:noWrap/>
            <w:vAlign w:val="center"/>
            <w:hideMark/>
          </w:tcPr>
          <w:p w14:paraId="40EA3444"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eastAsia="sl-SI"/>
              </w:rPr>
              <w:t>01. Nepovratna sredstva</w:t>
            </w:r>
          </w:p>
        </w:tc>
        <w:tc>
          <w:tcPr>
            <w:tcW w:w="1597" w:type="dxa"/>
            <w:tcBorders>
              <w:top w:val="nil"/>
              <w:left w:val="nil"/>
              <w:bottom w:val="single" w:sz="8" w:space="0" w:color="auto"/>
              <w:right w:val="single" w:sz="8" w:space="0" w:color="auto"/>
            </w:tcBorders>
            <w:shd w:val="clear" w:color="auto" w:fill="auto"/>
            <w:noWrap/>
            <w:vAlign w:val="center"/>
            <w:hideMark/>
          </w:tcPr>
          <w:p w14:paraId="73E3E194"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noProof/>
                <w:color w:val="000000"/>
                <w:sz w:val="15"/>
                <w:szCs w:val="15"/>
                <w:lang w:eastAsia="sl-SI"/>
              </w:rPr>
              <w:t>213.015.650</w:t>
            </w:r>
          </w:p>
        </w:tc>
        <w:tc>
          <w:tcPr>
            <w:tcW w:w="1674" w:type="dxa"/>
            <w:tcBorders>
              <w:top w:val="nil"/>
              <w:left w:val="nil"/>
              <w:bottom w:val="single" w:sz="8" w:space="0" w:color="auto"/>
              <w:right w:val="single" w:sz="8" w:space="0" w:color="auto"/>
            </w:tcBorders>
            <w:shd w:val="clear" w:color="auto" w:fill="auto"/>
            <w:noWrap/>
            <w:vAlign w:val="center"/>
            <w:hideMark/>
          </w:tcPr>
          <w:p w14:paraId="0851D28C"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color w:val="000000"/>
                <w:sz w:val="15"/>
                <w:szCs w:val="15"/>
                <w:lang w:eastAsia="sl-SI"/>
              </w:rPr>
              <w:t>2.860.950</w:t>
            </w:r>
          </w:p>
        </w:tc>
        <w:tc>
          <w:tcPr>
            <w:tcW w:w="1455" w:type="dxa"/>
            <w:tcBorders>
              <w:top w:val="nil"/>
              <w:left w:val="nil"/>
              <w:bottom w:val="single" w:sz="8" w:space="0" w:color="auto"/>
              <w:right w:val="single" w:sz="8" w:space="0" w:color="auto"/>
            </w:tcBorders>
            <w:shd w:val="clear" w:color="auto" w:fill="auto"/>
            <w:noWrap/>
            <w:vAlign w:val="center"/>
            <w:hideMark/>
          </w:tcPr>
          <w:p w14:paraId="4606E800"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color w:val="000000"/>
                <w:sz w:val="15"/>
                <w:szCs w:val="15"/>
                <w:lang w:eastAsia="sl-SI"/>
              </w:rPr>
              <w:t>215.876.600</w:t>
            </w:r>
          </w:p>
        </w:tc>
      </w:tr>
      <w:tr w:rsidR="002A7E48" w:rsidRPr="002A7E48" w14:paraId="5ABFD295" w14:textId="77777777" w:rsidTr="0042240D">
        <w:trPr>
          <w:trHeight w:val="166"/>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04D8DA3D" w14:textId="77777777" w:rsidR="002A7E48" w:rsidRPr="002A7E48" w:rsidRDefault="002A7E48" w:rsidP="002A7E48">
            <w:pPr>
              <w:spacing w:after="0" w:line="240" w:lineRule="auto"/>
              <w:jc w:val="center"/>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val="en-GB" w:eastAsia="sl-SI"/>
              </w:rPr>
              <w:t>CF</w:t>
            </w:r>
          </w:p>
        </w:tc>
        <w:tc>
          <w:tcPr>
            <w:tcW w:w="826" w:type="dxa"/>
            <w:tcBorders>
              <w:top w:val="single" w:sz="8" w:space="0" w:color="auto"/>
              <w:left w:val="nil"/>
              <w:bottom w:val="single" w:sz="8" w:space="0" w:color="auto"/>
              <w:right w:val="single" w:sz="8" w:space="0" w:color="000000"/>
            </w:tcBorders>
            <w:shd w:val="clear" w:color="auto" w:fill="auto"/>
            <w:vAlign w:val="center"/>
            <w:hideMark/>
          </w:tcPr>
          <w:p w14:paraId="0E38F915"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c>
          <w:tcPr>
            <w:tcW w:w="2987" w:type="dxa"/>
            <w:tcBorders>
              <w:top w:val="nil"/>
              <w:left w:val="nil"/>
              <w:bottom w:val="single" w:sz="8" w:space="0" w:color="auto"/>
              <w:right w:val="single" w:sz="8" w:space="0" w:color="auto"/>
            </w:tcBorders>
            <w:shd w:val="clear" w:color="auto" w:fill="auto"/>
            <w:noWrap/>
            <w:vAlign w:val="center"/>
            <w:hideMark/>
          </w:tcPr>
          <w:p w14:paraId="3AB84078"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eastAsia="sl-SI"/>
              </w:rPr>
              <w:t>04. Podpora prek finančnih instrumentov: posojila ali ekvivalentno</w:t>
            </w:r>
          </w:p>
        </w:tc>
        <w:tc>
          <w:tcPr>
            <w:tcW w:w="1597" w:type="dxa"/>
            <w:tcBorders>
              <w:top w:val="nil"/>
              <w:left w:val="nil"/>
              <w:bottom w:val="single" w:sz="8" w:space="0" w:color="auto"/>
              <w:right w:val="single" w:sz="8" w:space="0" w:color="auto"/>
            </w:tcBorders>
            <w:shd w:val="clear" w:color="auto" w:fill="auto"/>
            <w:noWrap/>
            <w:vAlign w:val="center"/>
            <w:hideMark/>
          </w:tcPr>
          <w:p w14:paraId="498E0B04"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noProof/>
                <w:color w:val="000000"/>
                <w:sz w:val="15"/>
                <w:szCs w:val="15"/>
                <w:lang w:eastAsia="sl-SI"/>
              </w:rPr>
              <w:t>25.000.000</w:t>
            </w:r>
          </w:p>
        </w:tc>
        <w:tc>
          <w:tcPr>
            <w:tcW w:w="1674" w:type="dxa"/>
            <w:tcBorders>
              <w:top w:val="nil"/>
              <w:left w:val="nil"/>
              <w:bottom w:val="single" w:sz="8" w:space="0" w:color="auto"/>
              <w:right w:val="single" w:sz="8" w:space="0" w:color="auto"/>
            </w:tcBorders>
            <w:shd w:val="clear" w:color="auto" w:fill="auto"/>
            <w:noWrap/>
            <w:vAlign w:val="center"/>
            <w:hideMark/>
          </w:tcPr>
          <w:p w14:paraId="694986F8"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color w:val="000000"/>
                <w:sz w:val="15"/>
                <w:szCs w:val="15"/>
                <w:lang w:eastAsia="sl-SI"/>
              </w:rPr>
              <w:t>-18.270.000</w:t>
            </w:r>
          </w:p>
        </w:tc>
        <w:tc>
          <w:tcPr>
            <w:tcW w:w="1455" w:type="dxa"/>
            <w:tcBorders>
              <w:top w:val="nil"/>
              <w:left w:val="nil"/>
              <w:bottom w:val="single" w:sz="8" w:space="0" w:color="auto"/>
              <w:right w:val="single" w:sz="8" w:space="0" w:color="auto"/>
            </w:tcBorders>
            <w:shd w:val="clear" w:color="auto" w:fill="auto"/>
            <w:noWrap/>
            <w:vAlign w:val="center"/>
            <w:hideMark/>
          </w:tcPr>
          <w:p w14:paraId="44CBD539"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color w:val="000000"/>
                <w:sz w:val="15"/>
                <w:szCs w:val="15"/>
                <w:lang w:eastAsia="sl-SI"/>
              </w:rPr>
              <w:t>6.730.000</w:t>
            </w:r>
          </w:p>
        </w:tc>
      </w:tr>
      <w:tr w:rsidR="002A7E48" w:rsidRPr="002A7E48" w14:paraId="30491E83" w14:textId="77777777" w:rsidTr="0042240D">
        <w:trPr>
          <w:trHeight w:val="166"/>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0BFE8708" w14:textId="77777777" w:rsidR="002A7E48" w:rsidRPr="002A7E48" w:rsidRDefault="002A7E48" w:rsidP="002A7E48">
            <w:pPr>
              <w:spacing w:after="0" w:line="240" w:lineRule="auto"/>
              <w:jc w:val="center"/>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val="en-GB" w:eastAsia="sl-SI"/>
              </w:rPr>
              <w:t>CF</w:t>
            </w:r>
          </w:p>
        </w:tc>
        <w:tc>
          <w:tcPr>
            <w:tcW w:w="826" w:type="dxa"/>
            <w:tcBorders>
              <w:top w:val="single" w:sz="8" w:space="0" w:color="auto"/>
              <w:left w:val="nil"/>
              <w:bottom w:val="single" w:sz="8" w:space="0" w:color="auto"/>
              <w:right w:val="single" w:sz="8" w:space="0" w:color="000000"/>
            </w:tcBorders>
            <w:shd w:val="clear" w:color="auto" w:fill="auto"/>
            <w:vAlign w:val="center"/>
            <w:hideMark/>
          </w:tcPr>
          <w:p w14:paraId="3E8EFCC6"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color w:val="000000"/>
                <w:sz w:val="16"/>
                <w:szCs w:val="16"/>
                <w:lang w:eastAsia="sl-SI"/>
              </w:rPr>
              <w:t> </w:t>
            </w:r>
          </w:p>
        </w:tc>
        <w:tc>
          <w:tcPr>
            <w:tcW w:w="2987" w:type="dxa"/>
            <w:tcBorders>
              <w:top w:val="nil"/>
              <w:left w:val="nil"/>
              <w:bottom w:val="single" w:sz="8" w:space="0" w:color="auto"/>
              <w:right w:val="single" w:sz="8" w:space="0" w:color="auto"/>
            </w:tcBorders>
            <w:shd w:val="clear" w:color="auto" w:fill="auto"/>
            <w:noWrap/>
            <w:vAlign w:val="center"/>
            <w:hideMark/>
          </w:tcPr>
          <w:p w14:paraId="0E83FA9F" w14:textId="77777777" w:rsidR="002A7E48" w:rsidRPr="002A7E48" w:rsidRDefault="002A7E48" w:rsidP="002A7E48">
            <w:pPr>
              <w:spacing w:after="0" w:line="240" w:lineRule="auto"/>
              <w:rPr>
                <w:rFonts w:ascii="Arial" w:eastAsia="Times New Roman" w:hAnsi="Arial" w:cs="Arial"/>
                <w:color w:val="000000"/>
                <w:sz w:val="16"/>
                <w:szCs w:val="16"/>
                <w:lang w:eastAsia="sl-SI"/>
              </w:rPr>
            </w:pPr>
            <w:r w:rsidRPr="002A7E48">
              <w:rPr>
                <w:rFonts w:ascii="Arial" w:eastAsia="Times New Roman" w:hAnsi="Arial" w:cs="Arial"/>
                <w:noProof/>
                <w:color w:val="000000"/>
                <w:sz w:val="16"/>
                <w:szCs w:val="16"/>
                <w:lang w:eastAsia="sl-SI"/>
              </w:rPr>
              <w:t xml:space="preserve">06. Podpora prek finančnih instrumentov: subvencioniranje </w:t>
            </w:r>
            <w:r w:rsidRPr="002A7E48">
              <w:rPr>
                <w:rFonts w:ascii="Arial" w:eastAsia="Times New Roman" w:hAnsi="Arial" w:cs="Arial"/>
                <w:noProof/>
                <w:color w:val="000000"/>
                <w:sz w:val="16"/>
                <w:szCs w:val="16"/>
                <w:lang w:eastAsia="sl-SI"/>
              </w:rPr>
              <w:lastRenderedPageBreak/>
              <w:t>obrestnih mer, subvencioniranje provizije za garancijo, tehnična podpora ali ekvivalentno</w:t>
            </w:r>
          </w:p>
        </w:tc>
        <w:tc>
          <w:tcPr>
            <w:tcW w:w="1597" w:type="dxa"/>
            <w:tcBorders>
              <w:top w:val="nil"/>
              <w:left w:val="nil"/>
              <w:bottom w:val="single" w:sz="8" w:space="0" w:color="auto"/>
              <w:right w:val="single" w:sz="8" w:space="0" w:color="auto"/>
            </w:tcBorders>
            <w:shd w:val="clear" w:color="auto" w:fill="auto"/>
            <w:noWrap/>
            <w:vAlign w:val="center"/>
            <w:hideMark/>
          </w:tcPr>
          <w:p w14:paraId="78324C32"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noProof/>
                <w:color w:val="000000"/>
                <w:sz w:val="15"/>
                <w:szCs w:val="15"/>
                <w:lang w:eastAsia="sl-SI"/>
              </w:rPr>
              <w:lastRenderedPageBreak/>
              <w:t>0</w:t>
            </w:r>
          </w:p>
        </w:tc>
        <w:tc>
          <w:tcPr>
            <w:tcW w:w="1674" w:type="dxa"/>
            <w:tcBorders>
              <w:top w:val="nil"/>
              <w:left w:val="nil"/>
              <w:bottom w:val="single" w:sz="8" w:space="0" w:color="auto"/>
              <w:right w:val="single" w:sz="8" w:space="0" w:color="auto"/>
            </w:tcBorders>
            <w:shd w:val="clear" w:color="auto" w:fill="auto"/>
            <w:noWrap/>
            <w:vAlign w:val="center"/>
            <w:hideMark/>
          </w:tcPr>
          <w:p w14:paraId="3CA22156"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color w:val="000000"/>
                <w:sz w:val="15"/>
                <w:szCs w:val="15"/>
                <w:lang w:eastAsia="sl-SI"/>
              </w:rPr>
              <w:t>0</w:t>
            </w:r>
          </w:p>
        </w:tc>
        <w:tc>
          <w:tcPr>
            <w:tcW w:w="1455" w:type="dxa"/>
            <w:tcBorders>
              <w:top w:val="nil"/>
              <w:left w:val="nil"/>
              <w:bottom w:val="single" w:sz="8" w:space="0" w:color="auto"/>
              <w:right w:val="single" w:sz="8" w:space="0" w:color="auto"/>
            </w:tcBorders>
            <w:shd w:val="clear" w:color="auto" w:fill="auto"/>
            <w:noWrap/>
            <w:vAlign w:val="center"/>
            <w:hideMark/>
          </w:tcPr>
          <w:p w14:paraId="32E5ADCB" w14:textId="77777777" w:rsidR="002A7E48" w:rsidRPr="002A7E48" w:rsidRDefault="002A7E48" w:rsidP="002A7E48">
            <w:pPr>
              <w:spacing w:after="0" w:line="240" w:lineRule="auto"/>
              <w:jc w:val="right"/>
              <w:rPr>
                <w:rFonts w:ascii="Arial" w:eastAsia="Times New Roman" w:hAnsi="Arial" w:cs="Arial"/>
                <w:color w:val="000000"/>
                <w:sz w:val="15"/>
                <w:szCs w:val="15"/>
                <w:lang w:eastAsia="sl-SI"/>
              </w:rPr>
            </w:pPr>
            <w:r w:rsidRPr="002A7E48">
              <w:rPr>
                <w:rFonts w:ascii="Arial" w:eastAsia="Times New Roman" w:hAnsi="Arial" w:cs="Arial"/>
                <w:color w:val="000000"/>
                <w:sz w:val="15"/>
                <w:szCs w:val="15"/>
                <w:lang w:eastAsia="sl-SI"/>
              </w:rPr>
              <w:t>0</w:t>
            </w:r>
          </w:p>
        </w:tc>
      </w:tr>
      <w:tr w:rsidR="002A7E48" w:rsidRPr="002A7E48" w14:paraId="5D38B629" w14:textId="77777777" w:rsidTr="0042240D">
        <w:trPr>
          <w:trHeight w:val="166"/>
        </w:trPr>
        <w:tc>
          <w:tcPr>
            <w:tcW w:w="4336" w:type="dxa"/>
            <w:gridSpan w:val="3"/>
            <w:tcBorders>
              <w:top w:val="single" w:sz="8" w:space="0" w:color="auto"/>
              <w:left w:val="single" w:sz="8" w:space="0" w:color="auto"/>
              <w:bottom w:val="single" w:sz="8" w:space="0" w:color="auto"/>
              <w:right w:val="single" w:sz="8" w:space="0" w:color="000000"/>
            </w:tcBorders>
            <w:shd w:val="clear" w:color="000000" w:fill="D9D9D9"/>
            <w:vAlign w:val="center"/>
            <w:hideMark/>
          </w:tcPr>
          <w:p w14:paraId="0024524C" w14:textId="77777777" w:rsidR="002A7E48" w:rsidRPr="002A7E48" w:rsidRDefault="002A7E48" w:rsidP="002A7E48">
            <w:pPr>
              <w:spacing w:after="0" w:line="240" w:lineRule="auto"/>
              <w:jc w:val="center"/>
              <w:rPr>
                <w:rFonts w:ascii="Arial" w:eastAsia="Times New Roman" w:hAnsi="Arial" w:cs="Arial"/>
                <w:b/>
                <w:bCs/>
                <w:color w:val="000000"/>
                <w:sz w:val="15"/>
                <w:szCs w:val="15"/>
                <w:lang w:eastAsia="sl-SI"/>
              </w:rPr>
            </w:pPr>
            <w:r w:rsidRPr="002A7E48">
              <w:rPr>
                <w:rFonts w:ascii="Arial" w:eastAsia="Times New Roman" w:hAnsi="Arial" w:cs="Arial"/>
                <w:b/>
                <w:bCs/>
                <w:color w:val="000000"/>
                <w:sz w:val="15"/>
                <w:szCs w:val="15"/>
                <w:lang w:eastAsia="sl-SI"/>
              </w:rPr>
              <w:t>Skupaj</w:t>
            </w:r>
          </w:p>
        </w:tc>
        <w:tc>
          <w:tcPr>
            <w:tcW w:w="1597" w:type="dxa"/>
            <w:tcBorders>
              <w:top w:val="nil"/>
              <w:left w:val="nil"/>
              <w:bottom w:val="single" w:sz="8" w:space="0" w:color="auto"/>
              <w:right w:val="single" w:sz="8" w:space="0" w:color="auto"/>
            </w:tcBorders>
            <w:shd w:val="clear" w:color="000000" w:fill="D9D9D9"/>
            <w:noWrap/>
            <w:vAlign w:val="center"/>
            <w:hideMark/>
          </w:tcPr>
          <w:p w14:paraId="0C75E4C3" w14:textId="77777777" w:rsidR="002A7E48" w:rsidRPr="002A7E48" w:rsidRDefault="002A7E48" w:rsidP="002A7E48">
            <w:pPr>
              <w:spacing w:after="0" w:line="240" w:lineRule="auto"/>
              <w:jc w:val="right"/>
              <w:rPr>
                <w:rFonts w:ascii="Arial" w:eastAsia="Times New Roman" w:hAnsi="Arial" w:cs="Arial"/>
                <w:b/>
                <w:bCs/>
                <w:color w:val="000000"/>
                <w:sz w:val="15"/>
                <w:szCs w:val="15"/>
                <w:lang w:eastAsia="sl-SI"/>
              </w:rPr>
            </w:pPr>
            <w:r w:rsidRPr="002A7E48">
              <w:rPr>
                <w:rFonts w:ascii="Arial" w:eastAsia="Times New Roman" w:hAnsi="Arial" w:cs="Arial"/>
                <w:b/>
                <w:bCs/>
                <w:color w:val="000000"/>
                <w:sz w:val="15"/>
                <w:szCs w:val="15"/>
                <w:lang w:eastAsia="sl-SI"/>
              </w:rPr>
              <w:t>282.047.850</w:t>
            </w:r>
          </w:p>
        </w:tc>
        <w:tc>
          <w:tcPr>
            <w:tcW w:w="1674" w:type="dxa"/>
            <w:tcBorders>
              <w:top w:val="nil"/>
              <w:left w:val="nil"/>
              <w:bottom w:val="single" w:sz="8" w:space="0" w:color="auto"/>
              <w:right w:val="single" w:sz="8" w:space="0" w:color="auto"/>
            </w:tcBorders>
            <w:shd w:val="clear" w:color="000000" w:fill="D9D9D9"/>
            <w:noWrap/>
            <w:vAlign w:val="center"/>
            <w:hideMark/>
          </w:tcPr>
          <w:p w14:paraId="21D5B455" w14:textId="77777777" w:rsidR="002A7E48" w:rsidRPr="002A7E48" w:rsidRDefault="002A7E48" w:rsidP="002A7E48">
            <w:pPr>
              <w:spacing w:after="0" w:line="240" w:lineRule="auto"/>
              <w:jc w:val="right"/>
              <w:rPr>
                <w:rFonts w:ascii="Arial" w:eastAsia="Times New Roman" w:hAnsi="Arial" w:cs="Arial"/>
                <w:b/>
                <w:bCs/>
                <w:color w:val="000000"/>
                <w:sz w:val="15"/>
                <w:szCs w:val="15"/>
                <w:lang w:eastAsia="sl-SI"/>
              </w:rPr>
            </w:pPr>
            <w:r w:rsidRPr="002A7E48">
              <w:rPr>
                <w:rFonts w:ascii="Calibri" w:eastAsia="Calibri" w:hAnsi="Calibri" w:cs="Calibri"/>
                <w:b/>
                <w:bCs/>
                <w:color w:val="000000"/>
                <w:sz w:val="15"/>
                <w:szCs w:val="15"/>
              </w:rPr>
              <w:t>21.374.709,00</w:t>
            </w:r>
          </w:p>
        </w:tc>
        <w:tc>
          <w:tcPr>
            <w:tcW w:w="1455" w:type="dxa"/>
            <w:tcBorders>
              <w:top w:val="nil"/>
              <w:left w:val="nil"/>
              <w:bottom w:val="single" w:sz="8" w:space="0" w:color="auto"/>
              <w:right w:val="single" w:sz="8" w:space="0" w:color="auto"/>
            </w:tcBorders>
            <w:shd w:val="clear" w:color="000000" w:fill="D9D9D9"/>
            <w:noWrap/>
            <w:vAlign w:val="center"/>
            <w:hideMark/>
          </w:tcPr>
          <w:p w14:paraId="1E73D82B" w14:textId="77777777" w:rsidR="002A7E48" w:rsidRPr="002A7E48" w:rsidRDefault="002A7E48" w:rsidP="002A7E48">
            <w:pPr>
              <w:spacing w:after="0" w:line="240" w:lineRule="auto"/>
              <w:jc w:val="right"/>
              <w:rPr>
                <w:rFonts w:ascii="Arial" w:eastAsia="Times New Roman" w:hAnsi="Arial" w:cs="Arial"/>
                <w:b/>
                <w:bCs/>
                <w:color w:val="000000"/>
                <w:sz w:val="15"/>
                <w:szCs w:val="15"/>
                <w:lang w:eastAsia="sl-SI"/>
              </w:rPr>
            </w:pPr>
            <w:r w:rsidRPr="002A7E48">
              <w:rPr>
                <w:rFonts w:ascii="Calibri" w:eastAsia="Calibri" w:hAnsi="Calibri" w:cs="Calibri"/>
                <w:b/>
                <w:bCs/>
                <w:color w:val="000000"/>
                <w:sz w:val="15"/>
                <w:szCs w:val="15"/>
              </w:rPr>
              <w:t>303.422.559,00</w:t>
            </w:r>
          </w:p>
        </w:tc>
      </w:tr>
    </w:tbl>
    <w:p w14:paraId="63B11E7E" w14:textId="77777777" w:rsidR="002A7E48" w:rsidRPr="002A7E48" w:rsidRDefault="002A7E48" w:rsidP="002A7E48">
      <w:pPr>
        <w:spacing w:after="0" w:line="240" w:lineRule="auto"/>
        <w:jc w:val="both"/>
        <w:rPr>
          <w:rFonts w:ascii="Arial" w:eastAsia="Calibri" w:hAnsi="Arial" w:cs="Arial"/>
          <w:sz w:val="20"/>
          <w:szCs w:val="20"/>
        </w:rPr>
      </w:pPr>
    </w:p>
    <w:p w14:paraId="1CEBB6F8" w14:textId="5DF68585" w:rsidR="002A7E48" w:rsidRPr="002A7E48" w:rsidRDefault="002A7E48" w:rsidP="002A7E48">
      <w:pPr>
        <w:spacing w:after="0" w:line="240" w:lineRule="auto"/>
        <w:jc w:val="both"/>
        <w:rPr>
          <w:rFonts w:ascii="Arial" w:eastAsia="Calibri" w:hAnsi="Arial" w:cs="Arial"/>
          <w:b/>
          <w:sz w:val="20"/>
          <w:szCs w:val="20"/>
        </w:rPr>
      </w:pPr>
      <w:r w:rsidRPr="002A7E48">
        <w:rPr>
          <w:rFonts w:ascii="Arial" w:eastAsia="Calibri" w:hAnsi="Arial" w:cs="Arial"/>
          <w:b/>
          <w:sz w:val="20"/>
          <w:szCs w:val="20"/>
        </w:rPr>
        <w:t>Tabela 8: Predlog spremembe kazalnikov</w:t>
      </w:r>
    </w:p>
    <w:tbl>
      <w:tblP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11"/>
        <w:gridCol w:w="763"/>
        <w:gridCol w:w="50"/>
        <w:gridCol w:w="2692"/>
        <w:gridCol w:w="9"/>
        <w:gridCol w:w="871"/>
        <w:gridCol w:w="753"/>
        <w:gridCol w:w="567"/>
        <w:gridCol w:w="919"/>
        <w:gridCol w:w="926"/>
        <w:gridCol w:w="841"/>
      </w:tblGrid>
      <w:tr w:rsidR="002A7E48" w:rsidRPr="002A7E48" w14:paraId="19DFEDC3" w14:textId="77777777" w:rsidTr="0042240D">
        <w:trPr>
          <w:trHeight w:val="157"/>
        </w:trPr>
        <w:tc>
          <w:tcPr>
            <w:tcW w:w="811" w:type="dxa"/>
            <w:shd w:val="clear" w:color="auto" w:fill="auto"/>
            <w:noWrap/>
            <w:vAlign w:val="bottom"/>
            <w:hideMark/>
          </w:tcPr>
          <w:p w14:paraId="19D710DA" w14:textId="77777777" w:rsidR="002A7E48" w:rsidRPr="002A7E48" w:rsidRDefault="002A7E48" w:rsidP="002A7E48">
            <w:pPr>
              <w:spacing w:after="0" w:line="240" w:lineRule="auto"/>
              <w:rPr>
                <w:rFonts w:ascii="Arial" w:eastAsia="Times New Roman" w:hAnsi="Arial" w:cs="Arial"/>
                <w:sz w:val="14"/>
                <w:szCs w:val="14"/>
                <w:lang w:eastAsia="sl-SI"/>
              </w:rPr>
            </w:pPr>
          </w:p>
        </w:tc>
        <w:tc>
          <w:tcPr>
            <w:tcW w:w="813" w:type="dxa"/>
            <w:gridSpan w:val="2"/>
            <w:shd w:val="clear" w:color="auto" w:fill="auto"/>
            <w:noWrap/>
            <w:vAlign w:val="bottom"/>
            <w:hideMark/>
          </w:tcPr>
          <w:p w14:paraId="6AAE3CFB" w14:textId="77777777" w:rsidR="002A7E48" w:rsidRPr="002A7E48" w:rsidRDefault="002A7E48" w:rsidP="002A7E48">
            <w:pPr>
              <w:spacing w:after="0" w:line="240" w:lineRule="auto"/>
              <w:rPr>
                <w:rFonts w:ascii="Arial" w:eastAsia="Times New Roman" w:hAnsi="Arial" w:cs="Arial"/>
                <w:sz w:val="14"/>
                <w:szCs w:val="14"/>
                <w:lang w:eastAsia="sl-SI"/>
              </w:rPr>
            </w:pPr>
          </w:p>
        </w:tc>
        <w:tc>
          <w:tcPr>
            <w:tcW w:w="2701" w:type="dxa"/>
            <w:gridSpan w:val="2"/>
            <w:shd w:val="clear" w:color="auto" w:fill="auto"/>
            <w:noWrap/>
            <w:vAlign w:val="bottom"/>
            <w:hideMark/>
          </w:tcPr>
          <w:p w14:paraId="39665575" w14:textId="77777777" w:rsidR="002A7E48" w:rsidRPr="002A7E48" w:rsidRDefault="002A7E48" w:rsidP="002A7E48">
            <w:pPr>
              <w:spacing w:after="0" w:line="240" w:lineRule="auto"/>
              <w:rPr>
                <w:rFonts w:ascii="Arial" w:eastAsia="Times New Roman" w:hAnsi="Arial" w:cs="Arial"/>
                <w:sz w:val="14"/>
                <w:szCs w:val="14"/>
                <w:lang w:eastAsia="sl-SI"/>
              </w:rPr>
            </w:pPr>
          </w:p>
        </w:tc>
        <w:tc>
          <w:tcPr>
            <w:tcW w:w="871" w:type="dxa"/>
            <w:shd w:val="clear" w:color="auto" w:fill="auto"/>
            <w:noWrap/>
            <w:vAlign w:val="bottom"/>
            <w:hideMark/>
          </w:tcPr>
          <w:p w14:paraId="25E92F0A" w14:textId="77777777" w:rsidR="002A7E48" w:rsidRPr="002A7E48" w:rsidRDefault="002A7E48" w:rsidP="002A7E48">
            <w:pPr>
              <w:spacing w:after="0" w:line="240" w:lineRule="auto"/>
              <w:rPr>
                <w:rFonts w:ascii="Arial" w:eastAsia="Times New Roman" w:hAnsi="Arial" w:cs="Arial"/>
                <w:sz w:val="14"/>
                <w:szCs w:val="14"/>
                <w:lang w:eastAsia="sl-SI"/>
              </w:rPr>
            </w:pPr>
          </w:p>
        </w:tc>
        <w:tc>
          <w:tcPr>
            <w:tcW w:w="1320" w:type="dxa"/>
            <w:gridSpan w:val="2"/>
            <w:shd w:val="clear" w:color="auto" w:fill="auto"/>
            <w:noWrap/>
            <w:vAlign w:val="bottom"/>
            <w:hideMark/>
          </w:tcPr>
          <w:p w14:paraId="7DBE5BAF" w14:textId="77777777" w:rsidR="002A7E48" w:rsidRPr="002A7E48" w:rsidRDefault="002A7E48" w:rsidP="002A7E48">
            <w:pPr>
              <w:spacing w:after="0" w:line="240" w:lineRule="auto"/>
              <w:rPr>
                <w:rFonts w:ascii="Arial" w:eastAsia="Times New Roman" w:hAnsi="Arial" w:cs="Arial"/>
                <w:sz w:val="14"/>
                <w:szCs w:val="14"/>
                <w:lang w:eastAsia="sl-SI"/>
              </w:rPr>
            </w:pPr>
          </w:p>
        </w:tc>
        <w:tc>
          <w:tcPr>
            <w:tcW w:w="850" w:type="dxa"/>
            <w:shd w:val="clear" w:color="000000" w:fill="D9D9D9"/>
            <w:vAlign w:val="center"/>
            <w:hideMark/>
          </w:tcPr>
          <w:p w14:paraId="0AD04C9A" w14:textId="77777777" w:rsidR="002A7E48" w:rsidRPr="002A7E48" w:rsidRDefault="002A7E48" w:rsidP="002A7E48">
            <w:pPr>
              <w:spacing w:after="0" w:line="240" w:lineRule="auto"/>
              <w:rPr>
                <w:rFonts w:ascii="Arial" w:eastAsia="Times New Roman" w:hAnsi="Arial" w:cs="Arial"/>
                <w:b/>
                <w:bCs/>
                <w:color w:val="000000"/>
                <w:sz w:val="14"/>
                <w:szCs w:val="14"/>
                <w:lang w:eastAsia="sl-SI"/>
              </w:rPr>
            </w:pPr>
            <w:r w:rsidRPr="002A7E48">
              <w:rPr>
                <w:rFonts w:ascii="Arial" w:eastAsia="Times New Roman" w:hAnsi="Arial" w:cs="Arial"/>
                <w:b/>
                <w:bCs/>
                <w:color w:val="000000"/>
                <w:sz w:val="14"/>
                <w:szCs w:val="14"/>
                <w:lang w:eastAsia="sl-SI"/>
              </w:rPr>
              <w:t>OP, 7.1</w:t>
            </w:r>
          </w:p>
        </w:tc>
        <w:tc>
          <w:tcPr>
            <w:tcW w:w="926" w:type="dxa"/>
            <w:shd w:val="clear" w:color="000000" w:fill="D9D9D9"/>
            <w:vAlign w:val="center"/>
            <w:hideMark/>
          </w:tcPr>
          <w:p w14:paraId="74176584" w14:textId="77777777" w:rsidR="002A7E48" w:rsidRPr="002A7E48" w:rsidRDefault="002A7E48" w:rsidP="002A7E48">
            <w:pPr>
              <w:spacing w:after="0" w:line="240" w:lineRule="auto"/>
              <w:rPr>
                <w:rFonts w:ascii="Arial" w:eastAsia="Times New Roman" w:hAnsi="Arial" w:cs="Arial"/>
                <w:b/>
                <w:bCs/>
                <w:color w:val="000000"/>
                <w:sz w:val="14"/>
                <w:szCs w:val="14"/>
                <w:lang w:eastAsia="sl-SI"/>
              </w:rPr>
            </w:pPr>
            <w:r w:rsidRPr="002A7E48">
              <w:rPr>
                <w:rFonts w:ascii="Arial" w:eastAsia="Times New Roman" w:hAnsi="Arial" w:cs="Arial"/>
                <w:b/>
                <w:bCs/>
                <w:color w:val="000000"/>
                <w:sz w:val="14"/>
                <w:szCs w:val="14"/>
                <w:lang w:eastAsia="sl-SI"/>
              </w:rPr>
              <w:t>predlagane spremembe</w:t>
            </w:r>
          </w:p>
        </w:tc>
        <w:tc>
          <w:tcPr>
            <w:tcW w:w="808" w:type="dxa"/>
            <w:shd w:val="clear" w:color="000000" w:fill="D9D9D9"/>
            <w:vAlign w:val="center"/>
            <w:hideMark/>
          </w:tcPr>
          <w:p w14:paraId="409E7449" w14:textId="77777777" w:rsidR="002A7E48" w:rsidRPr="002A7E48" w:rsidRDefault="002A7E48" w:rsidP="002A7E48">
            <w:pPr>
              <w:spacing w:after="0" w:line="240" w:lineRule="auto"/>
              <w:rPr>
                <w:rFonts w:ascii="Arial" w:eastAsia="Times New Roman" w:hAnsi="Arial" w:cs="Arial"/>
                <w:b/>
                <w:bCs/>
                <w:color w:val="000000"/>
                <w:sz w:val="14"/>
                <w:szCs w:val="14"/>
                <w:lang w:eastAsia="sl-SI"/>
              </w:rPr>
            </w:pPr>
            <w:r w:rsidRPr="002A7E48">
              <w:rPr>
                <w:rFonts w:ascii="Arial" w:eastAsia="Times New Roman" w:hAnsi="Arial" w:cs="Arial"/>
                <w:b/>
                <w:bCs/>
                <w:color w:val="000000"/>
                <w:sz w:val="14"/>
                <w:szCs w:val="14"/>
                <w:lang w:eastAsia="sl-SI"/>
              </w:rPr>
              <w:t>OP, 8.0</w:t>
            </w:r>
          </w:p>
        </w:tc>
      </w:tr>
      <w:tr w:rsidR="002A7E48" w:rsidRPr="002A7E48" w14:paraId="506F4751" w14:textId="77777777" w:rsidTr="0042240D">
        <w:trPr>
          <w:trHeight w:val="322"/>
        </w:trPr>
        <w:tc>
          <w:tcPr>
            <w:tcW w:w="811" w:type="dxa"/>
            <w:shd w:val="clear" w:color="000000" w:fill="D9D9D9"/>
            <w:vAlign w:val="center"/>
            <w:hideMark/>
          </w:tcPr>
          <w:p w14:paraId="3EB11221" w14:textId="77777777" w:rsidR="002A7E48" w:rsidRPr="002A7E48" w:rsidRDefault="002A7E48" w:rsidP="002A7E48">
            <w:pPr>
              <w:spacing w:after="0" w:line="240" w:lineRule="auto"/>
              <w:rPr>
                <w:rFonts w:ascii="Arial" w:eastAsia="Times New Roman" w:hAnsi="Arial" w:cs="Arial"/>
                <w:b/>
                <w:bCs/>
                <w:color w:val="000000"/>
                <w:sz w:val="14"/>
                <w:szCs w:val="14"/>
                <w:lang w:eastAsia="sl-SI"/>
              </w:rPr>
            </w:pPr>
            <w:r w:rsidRPr="002A7E48">
              <w:rPr>
                <w:rFonts w:ascii="Arial" w:eastAsia="Times New Roman" w:hAnsi="Arial" w:cs="Arial"/>
                <w:b/>
                <w:bCs/>
                <w:color w:val="000000"/>
                <w:sz w:val="14"/>
                <w:szCs w:val="14"/>
                <w:lang w:eastAsia="sl-SI"/>
              </w:rPr>
              <w:t>Vrsta kazalnika</w:t>
            </w:r>
          </w:p>
        </w:tc>
        <w:tc>
          <w:tcPr>
            <w:tcW w:w="763" w:type="dxa"/>
            <w:shd w:val="clear" w:color="000000" w:fill="D9D9D9"/>
            <w:vAlign w:val="center"/>
            <w:hideMark/>
          </w:tcPr>
          <w:p w14:paraId="2A114FFC" w14:textId="77777777" w:rsidR="002A7E48" w:rsidRPr="002A7E48" w:rsidRDefault="002A7E48" w:rsidP="002A7E48">
            <w:pPr>
              <w:spacing w:after="0" w:line="240" w:lineRule="auto"/>
              <w:rPr>
                <w:rFonts w:ascii="Arial" w:eastAsia="Times New Roman" w:hAnsi="Arial" w:cs="Arial"/>
                <w:b/>
                <w:bCs/>
                <w:color w:val="000000"/>
                <w:sz w:val="14"/>
                <w:szCs w:val="14"/>
                <w:lang w:eastAsia="sl-SI"/>
              </w:rPr>
            </w:pPr>
            <w:r w:rsidRPr="002A7E48">
              <w:rPr>
                <w:rFonts w:ascii="Arial" w:eastAsia="Times New Roman" w:hAnsi="Arial" w:cs="Arial"/>
                <w:b/>
                <w:bCs/>
                <w:color w:val="000000"/>
                <w:sz w:val="14"/>
                <w:szCs w:val="14"/>
                <w:lang w:eastAsia="sl-SI"/>
              </w:rPr>
              <w:t>Šifra kazalnika</w:t>
            </w:r>
          </w:p>
        </w:tc>
        <w:tc>
          <w:tcPr>
            <w:tcW w:w="2742" w:type="dxa"/>
            <w:gridSpan w:val="2"/>
            <w:shd w:val="clear" w:color="000000" w:fill="D9D9D9"/>
            <w:vAlign w:val="center"/>
            <w:hideMark/>
          </w:tcPr>
          <w:p w14:paraId="753641C6" w14:textId="77777777" w:rsidR="002A7E48" w:rsidRPr="002A7E48" w:rsidRDefault="002A7E48" w:rsidP="002A7E48">
            <w:pPr>
              <w:spacing w:after="0" w:line="240" w:lineRule="auto"/>
              <w:rPr>
                <w:rFonts w:ascii="Arial" w:eastAsia="Times New Roman" w:hAnsi="Arial" w:cs="Arial"/>
                <w:b/>
                <w:bCs/>
                <w:color w:val="000000"/>
                <w:sz w:val="14"/>
                <w:szCs w:val="14"/>
                <w:lang w:eastAsia="sl-SI"/>
              </w:rPr>
            </w:pPr>
            <w:r w:rsidRPr="002A7E48">
              <w:rPr>
                <w:rFonts w:ascii="Arial" w:eastAsia="Times New Roman" w:hAnsi="Arial" w:cs="Arial"/>
                <w:b/>
                <w:bCs/>
                <w:color w:val="000000"/>
                <w:sz w:val="14"/>
                <w:szCs w:val="14"/>
                <w:lang w:eastAsia="sl-SI"/>
              </w:rPr>
              <w:t>Naziv kazalnika</w:t>
            </w:r>
          </w:p>
        </w:tc>
        <w:tc>
          <w:tcPr>
            <w:tcW w:w="880" w:type="dxa"/>
            <w:gridSpan w:val="2"/>
            <w:shd w:val="clear" w:color="000000" w:fill="D9D9D9"/>
            <w:vAlign w:val="center"/>
            <w:hideMark/>
          </w:tcPr>
          <w:p w14:paraId="3D8630DB" w14:textId="77777777" w:rsidR="002A7E48" w:rsidRPr="002A7E48" w:rsidRDefault="002A7E48" w:rsidP="002A7E48">
            <w:pPr>
              <w:spacing w:after="0" w:line="240" w:lineRule="auto"/>
              <w:rPr>
                <w:rFonts w:ascii="Arial" w:eastAsia="Times New Roman" w:hAnsi="Arial" w:cs="Arial"/>
                <w:b/>
                <w:bCs/>
                <w:color w:val="000000"/>
                <w:sz w:val="14"/>
                <w:szCs w:val="14"/>
                <w:lang w:eastAsia="sl-SI"/>
              </w:rPr>
            </w:pPr>
            <w:r w:rsidRPr="002A7E48">
              <w:rPr>
                <w:rFonts w:ascii="Arial" w:eastAsia="Times New Roman" w:hAnsi="Arial" w:cs="Arial"/>
                <w:b/>
                <w:bCs/>
                <w:color w:val="000000"/>
                <w:sz w:val="14"/>
                <w:szCs w:val="14"/>
                <w:lang w:eastAsia="sl-SI"/>
              </w:rPr>
              <w:t>Okvir uspešnosti</w:t>
            </w:r>
          </w:p>
        </w:tc>
        <w:tc>
          <w:tcPr>
            <w:tcW w:w="753" w:type="dxa"/>
            <w:shd w:val="clear" w:color="000000" w:fill="D9D9D9"/>
            <w:vAlign w:val="center"/>
            <w:hideMark/>
          </w:tcPr>
          <w:p w14:paraId="600D1900" w14:textId="77777777" w:rsidR="002A7E48" w:rsidRPr="002A7E48" w:rsidRDefault="002A7E48" w:rsidP="002A7E48">
            <w:pPr>
              <w:spacing w:after="0" w:line="240" w:lineRule="auto"/>
              <w:rPr>
                <w:rFonts w:ascii="Arial" w:eastAsia="Times New Roman" w:hAnsi="Arial" w:cs="Arial"/>
                <w:b/>
                <w:bCs/>
                <w:color w:val="000000"/>
                <w:sz w:val="14"/>
                <w:szCs w:val="14"/>
                <w:lang w:eastAsia="sl-SI"/>
              </w:rPr>
            </w:pPr>
            <w:r w:rsidRPr="002A7E48">
              <w:rPr>
                <w:rFonts w:ascii="Arial" w:eastAsia="Times New Roman" w:hAnsi="Arial" w:cs="Arial"/>
                <w:b/>
                <w:bCs/>
                <w:color w:val="000000"/>
                <w:sz w:val="14"/>
                <w:szCs w:val="14"/>
                <w:lang w:eastAsia="sl-SI"/>
              </w:rPr>
              <w:t>Merska enota</w:t>
            </w:r>
          </w:p>
        </w:tc>
        <w:tc>
          <w:tcPr>
            <w:tcW w:w="567" w:type="dxa"/>
            <w:shd w:val="clear" w:color="000000" w:fill="D9D9D9"/>
            <w:vAlign w:val="center"/>
            <w:hideMark/>
          </w:tcPr>
          <w:p w14:paraId="7184EDDD" w14:textId="77777777" w:rsidR="002A7E48" w:rsidRPr="002A7E48" w:rsidRDefault="002A7E48" w:rsidP="002A7E48">
            <w:pPr>
              <w:spacing w:after="0" w:line="240" w:lineRule="auto"/>
              <w:rPr>
                <w:rFonts w:ascii="Arial" w:eastAsia="Times New Roman" w:hAnsi="Arial" w:cs="Arial"/>
                <w:b/>
                <w:bCs/>
                <w:color w:val="000000"/>
                <w:sz w:val="14"/>
                <w:szCs w:val="14"/>
                <w:lang w:eastAsia="sl-SI"/>
              </w:rPr>
            </w:pPr>
            <w:r w:rsidRPr="002A7E48">
              <w:rPr>
                <w:rFonts w:ascii="Arial" w:eastAsia="Times New Roman" w:hAnsi="Arial" w:cs="Arial"/>
                <w:b/>
                <w:bCs/>
                <w:color w:val="000000"/>
                <w:sz w:val="14"/>
                <w:szCs w:val="14"/>
                <w:lang w:eastAsia="sl-SI"/>
              </w:rPr>
              <w:t>Sklad</w:t>
            </w:r>
          </w:p>
        </w:tc>
        <w:tc>
          <w:tcPr>
            <w:tcW w:w="850" w:type="dxa"/>
            <w:shd w:val="clear" w:color="000000" w:fill="D9D9D9"/>
            <w:vAlign w:val="center"/>
            <w:hideMark/>
          </w:tcPr>
          <w:p w14:paraId="13A62176" w14:textId="77777777" w:rsidR="002A7E48" w:rsidRPr="002A7E48" w:rsidRDefault="002A7E48" w:rsidP="002A7E48">
            <w:pPr>
              <w:spacing w:after="0" w:line="240" w:lineRule="auto"/>
              <w:rPr>
                <w:rFonts w:ascii="Arial" w:eastAsia="Times New Roman" w:hAnsi="Arial" w:cs="Arial"/>
                <w:b/>
                <w:bCs/>
                <w:color w:val="000000"/>
                <w:sz w:val="14"/>
                <w:szCs w:val="14"/>
                <w:lang w:eastAsia="sl-SI"/>
              </w:rPr>
            </w:pPr>
            <w:r w:rsidRPr="002A7E48">
              <w:rPr>
                <w:rFonts w:ascii="Arial" w:eastAsia="Times New Roman" w:hAnsi="Arial" w:cs="Arial"/>
                <w:b/>
                <w:bCs/>
                <w:color w:val="000000"/>
                <w:sz w:val="14"/>
                <w:szCs w:val="14"/>
                <w:lang w:eastAsia="sl-SI"/>
              </w:rPr>
              <w:t>Vsota od Ciljna vrednost 2023</w:t>
            </w:r>
          </w:p>
        </w:tc>
        <w:tc>
          <w:tcPr>
            <w:tcW w:w="926" w:type="dxa"/>
            <w:shd w:val="clear" w:color="000000" w:fill="D9D9D9"/>
            <w:vAlign w:val="center"/>
            <w:hideMark/>
          </w:tcPr>
          <w:p w14:paraId="675E6E2D" w14:textId="77777777" w:rsidR="002A7E48" w:rsidRPr="002A7E48" w:rsidRDefault="002A7E48" w:rsidP="002A7E48">
            <w:pPr>
              <w:spacing w:after="0" w:line="240" w:lineRule="auto"/>
              <w:rPr>
                <w:rFonts w:ascii="Arial" w:eastAsia="Times New Roman" w:hAnsi="Arial" w:cs="Arial"/>
                <w:b/>
                <w:bCs/>
                <w:color w:val="000000"/>
                <w:sz w:val="14"/>
                <w:szCs w:val="14"/>
                <w:lang w:eastAsia="sl-SI"/>
              </w:rPr>
            </w:pPr>
            <w:r w:rsidRPr="002A7E48">
              <w:rPr>
                <w:rFonts w:ascii="Arial" w:eastAsia="Times New Roman" w:hAnsi="Arial" w:cs="Arial"/>
                <w:b/>
                <w:bCs/>
                <w:color w:val="000000"/>
                <w:sz w:val="14"/>
                <w:szCs w:val="14"/>
                <w:lang w:eastAsia="sl-SI"/>
              </w:rPr>
              <w:t> </w:t>
            </w:r>
          </w:p>
        </w:tc>
        <w:tc>
          <w:tcPr>
            <w:tcW w:w="808" w:type="dxa"/>
            <w:shd w:val="clear" w:color="000000" w:fill="D9D9D9"/>
            <w:vAlign w:val="center"/>
            <w:hideMark/>
          </w:tcPr>
          <w:p w14:paraId="2CB5AB09" w14:textId="77777777" w:rsidR="002A7E48" w:rsidRPr="002A7E48" w:rsidRDefault="002A7E48" w:rsidP="002A7E48">
            <w:pPr>
              <w:spacing w:after="0" w:line="240" w:lineRule="auto"/>
              <w:rPr>
                <w:rFonts w:ascii="Arial" w:eastAsia="Times New Roman" w:hAnsi="Arial" w:cs="Arial"/>
                <w:b/>
                <w:bCs/>
                <w:color w:val="000000"/>
                <w:sz w:val="14"/>
                <w:szCs w:val="14"/>
                <w:lang w:eastAsia="sl-SI"/>
              </w:rPr>
            </w:pPr>
            <w:r w:rsidRPr="002A7E48">
              <w:rPr>
                <w:rFonts w:ascii="Arial" w:eastAsia="Times New Roman" w:hAnsi="Arial" w:cs="Arial"/>
                <w:b/>
                <w:bCs/>
                <w:color w:val="000000"/>
                <w:sz w:val="14"/>
                <w:szCs w:val="14"/>
                <w:lang w:eastAsia="sl-SI"/>
              </w:rPr>
              <w:t>Vsota od Ciljna vrednost 2023</w:t>
            </w:r>
          </w:p>
        </w:tc>
      </w:tr>
      <w:tr w:rsidR="002A7E48" w:rsidRPr="002A7E48" w14:paraId="2FDCC1CB" w14:textId="77777777" w:rsidTr="0042240D">
        <w:trPr>
          <w:trHeight w:val="232"/>
        </w:trPr>
        <w:tc>
          <w:tcPr>
            <w:tcW w:w="811" w:type="dxa"/>
            <w:shd w:val="clear" w:color="auto" w:fill="auto"/>
            <w:vAlign w:val="center"/>
            <w:hideMark/>
          </w:tcPr>
          <w:p w14:paraId="580FE077" w14:textId="77777777" w:rsidR="002A7E48" w:rsidRPr="002A7E48" w:rsidRDefault="002A7E48" w:rsidP="002A7E48">
            <w:pPr>
              <w:spacing w:after="0" w:line="240" w:lineRule="auto"/>
              <w:jc w:val="both"/>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 </w:t>
            </w:r>
          </w:p>
        </w:tc>
        <w:tc>
          <w:tcPr>
            <w:tcW w:w="763" w:type="dxa"/>
            <w:shd w:val="clear" w:color="auto" w:fill="auto"/>
            <w:vAlign w:val="center"/>
            <w:hideMark/>
          </w:tcPr>
          <w:p w14:paraId="7423209A" w14:textId="77777777" w:rsidR="002A7E48" w:rsidRPr="002A7E48" w:rsidRDefault="002A7E48" w:rsidP="002A7E48">
            <w:pPr>
              <w:spacing w:after="0" w:line="240" w:lineRule="auto"/>
              <w:jc w:val="both"/>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4.9</w:t>
            </w:r>
          </w:p>
        </w:tc>
        <w:tc>
          <w:tcPr>
            <w:tcW w:w="2742" w:type="dxa"/>
            <w:gridSpan w:val="2"/>
            <w:shd w:val="clear" w:color="auto" w:fill="auto"/>
            <w:vAlign w:val="center"/>
            <w:hideMark/>
          </w:tcPr>
          <w:p w14:paraId="02A698F4" w14:textId="77777777" w:rsidR="002A7E48" w:rsidRPr="002A7E48" w:rsidRDefault="002A7E48" w:rsidP="002A7E48">
            <w:pPr>
              <w:spacing w:after="0" w:line="240" w:lineRule="auto"/>
              <w:jc w:val="both"/>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Dodatno inštalirana moč za proizvodnjo toplote</w:t>
            </w:r>
          </w:p>
        </w:tc>
        <w:tc>
          <w:tcPr>
            <w:tcW w:w="880" w:type="dxa"/>
            <w:gridSpan w:val="2"/>
            <w:shd w:val="clear" w:color="auto" w:fill="auto"/>
            <w:vAlign w:val="center"/>
            <w:hideMark/>
          </w:tcPr>
          <w:p w14:paraId="4C46766C" w14:textId="77777777" w:rsidR="002A7E48" w:rsidRPr="002A7E48" w:rsidRDefault="002A7E48" w:rsidP="002A7E48">
            <w:pPr>
              <w:spacing w:after="0" w:line="240" w:lineRule="auto"/>
              <w:jc w:val="both"/>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Da</w:t>
            </w:r>
          </w:p>
        </w:tc>
        <w:tc>
          <w:tcPr>
            <w:tcW w:w="753" w:type="dxa"/>
            <w:shd w:val="clear" w:color="auto" w:fill="auto"/>
            <w:vAlign w:val="center"/>
            <w:hideMark/>
          </w:tcPr>
          <w:p w14:paraId="4639E667" w14:textId="77777777" w:rsidR="002A7E48" w:rsidRPr="002A7E48" w:rsidRDefault="002A7E48" w:rsidP="002A7E48">
            <w:pPr>
              <w:spacing w:after="0" w:line="240" w:lineRule="auto"/>
              <w:jc w:val="both"/>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megawatt</w:t>
            </w:r>
          </w:p>
        </w:tc>
        <w:tc>
          <w:tcPr>
            <w:tcW w:w="567" w:type="dxa"/>
            <w:shd w:val="clear" w:color="auto" w:fill="auto"/>
            <w:vAlign w:val="center"/>
            <w:hideMark/>
          </w:tcPr>
          <w:p w14:paraId="3648CDBE" w14:textId="77777777" w:rsidR="002A7E48" w:rsidRPr="002A7E48" w:rsidRDefault="002A7E48" w:rsidP="002A7E48">
            <w:pPr>
              <w:spacing w:after="0" w:line="240" w:lineRule="auto"/>
              <w:jc w:val="both"/>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KS</w:t>
            </w:r>
          </w:p>
        </w:tc>
        <w:tc>
          <w:tcPr>
            <w:tcW w:w="850" w:type="dxa"/>
            <w:shd w:val="clear" w:color="auto" w:fill="auto"/>
            <w:noWrap/>
            <w:vAlign w:val="center"/>
            <w:hideMark/>
          </w:tcPr>
          <w:p w14:paraId="2209C113" w14:textId="77777777" w:rsidR="002A7E48" w:rsidRPr="002A7E48" w:rsidRDefault="002A7E48" w:rsidP="002A7E48">
            <w:pPr>
              <w:spacing w:after="0" w:line="240" w:lineRule="auto"/>
              <w:jc w:val="right"/>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83</w:t>
            </w:r>
          </w:p>
        </w:tc>
        <w:tc>
          <w:tcPr>
            <w:tcW w:w="926" w:type="dxa"/>
            <w:shd w:val="clear" w:color="auto" w:fill="auto"/>
            <w:noWrap/>
            <w:vAlign w:val="center"/>
            <w:hideMark/>
          </w:tcPr>
          <w:p w14:paraId="6B40C194" w14:textId="77777777" w:rsidR="002A7E48" w:rsidRPr="002A7E48" w:rsidRDefault="002A7E48" w:rsidP="002A7E48">
            <w:pPr>
              <w:spacing w:after="0" w:line="240" w:lineRule="auto"/>
              <w:jc w:val="right"/>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-33</w:t>
            </w:r>
          </w:p>
        </w:tc>
        <w:tc>
          <w:tcPr>
            <w:tcW w:w="808" w:type="dxa"/>
            <w:shd w:val="clear" w:color="auto" w:fill="auto"/>
            <w:noWrap/>
            <w:vAlign w:val="center"/>
            <w:hideMark/>
          </w:tcPr>
          <w:p w14:paraId="2E4F3624" w14:textId="77777777" w:rsidR="002A7E48" w:rsidRPr="002A7E48" w:rsidRDefault="002A7E48" w:rsidP="002A7E48">
            <w:pPr>
              <w:spacing w:after="0" w:line="240" w:lineRule="auto"/>
              <w:jc w:val="right"/>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50</w:t>
            </w:r>
          </w:p>
        </w:tc>
      </w:tr>
      <w:tr w:rsidR="002A7E48" w:rsidRPr="002A7E48" w14:paraId="54029C4F" w14:textId="77777777" w:rsidTr="0042240D">
        <w:trPr>
          <w:trHeight w:val="345"/>
        </w:trPr>
        <w:tc>
          <w:tcPr>
            <w:tcW w:w="811" w:type="dxa"/>
            <w:shd w:val="clear" w:color="auto" w:fill="auto"/>
            <w:vAlign w:val="center"/>
          </w:tcPr>
          <w:p w14:paraId="430363DC" w14:textId="77777777" w:rsidR="002A7E48" w:rsidRPr="002A7E48" w:rsidRDefault="002A7E48" w:rsidP="002A7E48">
            <w:pPr>
              <w:spacing w:after="0" w:line="240" w:lineRule="auto"/>
              <w:jc w:val="both"/>
              <w:rPr>
                <w:rFonts w:ascii="Arial" w:eastAsia="Times New Roman" w:hAnsi="Arial" w:cs="Arial"/>
                <w:color w:val="000000"/>
                <w:sz w:val="14"/>
                <w:szCs w:val="14"/>
                <w:lang w:eastAsia="sl-SI"/>
              </w:rPr>
            </w:pPr>
          </w:p>
        </w:tc>
        <w:tc>
          <w:tcPr>
            <w:tcW w:w="763" w:type="dxa"/>
            <w:shd w:val="clear" w:color="auto" w:fill="auto"/>
            <w:vAlign w:val="center"/>
          </w:tcPr>
          <w:p w14:paraId="741AC3F6" w14:textId="77777777" w:rsidR="002A7E48" w:rsidRPr="002A7E48" w:rsidRDefault="002A7E48" w:rsidP="002A7E48">
            <w:pPr>
              <w:spacing w:after="0" w:line="240" w:lineRule="auto"/>
              <w:jc w:val="both"/>
              <w:rPr>
                <w:rFonts w:ascii="Arial" w:eastAsia="Times New Roman" w:hAnsi="Arial" w:cs="Arial"/>
                <w:color w:val="000000"/>
                <w:sz w:val="14"/>
                <w:szCs w:val="14"/>
                <w:lang w:eastAsia="sl-SI"/>
              </w:rPr>
            </w:pPr>
          </w:p>
        </w:tc>
        <w:tc>
          <w:tcPr>
            <w:tcW w:w="2742" w:type="dxa"/>
            <w:gridSpan w:val="2"/>
            <w:shd w:val="clear" w:color="auto" w:fill="auto"/>
            <w:vAlign w:val="center"/>
          </w:tcPr>
          <w:p w14:paraId="41DCBACA" w14:textId="77777777" w:rsidR="002A7E48" w:rsidRPr="002A7E48" w:rsidRDefault="002A7E48" w:rsidP="002A7E48">
            <w:pPr>
              <w:spacing w:after="0" w:line="240" w:lineRule="auto"/>
              <w:jc w:val="both"/>
              <w:rPr>
                <w:rFonts w:ascii="Arial" w:eastAsia="Times New Roman" w:hAnsi="Arial" w:cs="Arial"/>
                <w:color w:val="000000"/>
                <w:sz w:val="14"/>
                <w:szCs w:val="14"/>
                <w:lang w:eastAsia="sl-SI"/>
              </w:rPr>
            </w:pPr>
          </w:p>
        </w:tc>
        <w:tc>
          <w:tcPr>
            <w:tcW w:w="880" w:type="dxa"/>
            <w:gridSpan w:val="2"/>
            <w:shd w:val="clear" w:color="auto" w:fill="auto"/>
            <w:vAlign w:val="center"/>
          </w:tcPr>
          <w:p w14:paraId="4BF6AC20" w14:textId="77777777" w:rsidR="002A7E48" w:rsidRPr="002A7E48" w:rsidRDefault="002A7E48" w:rsidP="002A7E48">
            <w:pPr>
              <w:spacing w:after="0" w:line="240" w:lineRule="auto"/>
              <w:jc w:val="both"/>
              <w:rPr>
                <w:rFonts w:ascii="Arial" w:eastAsia="Times New Roman" w:hAnsi="Arial" w:cs="Arial"/>
                <w:color w:val="000000"/>
                <w:sz w:val="14"/>
                <w:szCs w:val="14"/>
                <w:lang w:eastAsia="sl-SI"/>
              </w:rPr>
            </w:pPr>
          </w:p>
        </w:tc>
        <w:tc>
          <w:tcPr>
            <w:tcW w:w="753" w:type="dxa"/>
            <w:shd w:val="clear" w:color="auto" w:fill="auto"/>
            <w:vAlign w:val="center"/>
          </w:tcPr>
          <w:p w14:paraId="5136322C" w14:textId="77777777" w:rsidR="002A7E48" w:rsidRPr="002A7E48" w:rsidRDefault="002A7E48" w:rsidP="002A7E48">
            <w:pPr>
              <w:spacing w:after="0" w:line="240" w:lineRule="auto"/>
              <w:jc w:val="both"/>
              <w:rPr>
                <w:rFonts w:ascii="Arial" w:eastAsia="Times New Roman" w:hAnsi="Arial" w:cs="Arial"/>
                <w:color w:val="000000"/>
                <w:sz w:val="14"/>
                <w:szCs w:val="14"/>
                <w:lang w:eastAsia="sl-SI"/>
              </w:rPr>
            </w:pPr>
          </w:p>
        </w:tc>
        <w:tc>
          <w:tcPr>
            <w:tcW w:w="567" w:type="dxa"/>
            <w:shd w:val="clear" w:color="auto" w:fill="auto"/>
            <w:vAlign w:val="center"/>
          </w:tcPr>
          <w:p w14:paraId="272FA711" w14:textId="77777777" w:rsidR="002A7E48" w:rsidRPr="002A7E48" w:rsidRDefault="002A7E48" w:rsidP="002A7E48">
            <w:pPr>
              <w:spacing w:after="0" w:line="240" w:lineRule="auto"/>
              <w:jc w:val="both"/>
              <w:rPr>
                <w:rFonts w:ascii="Arial" w:eastAsia="Times New Roman" w:hAnsi="Arial" w:cs="Arial"/>
                <w:color w:val="000000"/>
                <w:sz w:val="14"/>
                <w:szCs w:val="14"/>
                <w:lang w:eastAsia="sl-SI"/>
              </w:rPr>
            </w:pPr>
          </w:p>
        </w:tc>
        <w:tc>
          <w:tcPr>
            <w:tcW w:w="850" w:type="dxa"/>
            <w:shd w:val="clear" w:color="auto" w:fill="auto"/>
            <w:noWrap/>
            <w:vAlign w:val="center"/>
          </w:tcPr>
          <w:p w14:paraId="6A28EBEC" w14:textId="77777777" w:rsidR="002A7E48" w:rsidRPr="002A7E48" w:rsidRDefault="002A7E48" w:rsidP="002A7E48">
            <w:pPr>
              <w:spacing w:after="0" w:line="240" w:lineRule="auto"/>
              <w:jc w:val="right"/>
              <w:rPr>
                <w:rFonts w:ascii="Arial" w:eastAsia="Times New Roman" w:hAnsi="Arial" w:cs="Arial"/>
                <w:color w:val="000000"/>
                <w:sz w:val="14"/>
                <w:szCs w:val="14"/>
                <w:lang w:eastAsia="sl-SI"/>
              </w:rPr>
            </w:pPr>
          </w:p>
        </w:tc>
        <w:tc>
          <w:tcPr>
            <w:tcW w:w="926" w:type="dxa"/>
            <w:shd w:val="clear" w:color="auto" w:fill="auto"/>
            <w:noWrap/>
            <w:vAlign w:val="center"/>
          </w:tcPr>
          <w:p w14:paraId="3EEFB824" w14:textId="77777777" w:rsidR="002A7E48" w:rsidRPr="002A7E48" w:rsidRDefault="002A7E48" w:rsidP="002A7E48">
            <w:pPr>
              <w:spacing w:after="0" w:line="240" w:lineRule="auto"/>
              <w:jc w:val="right"/>
              <w:rPr>
                <w:rFonts w:ascii="Arial" w:eastAsia="Times New Roman" w:hAnsi="Arial" w:cs="Arial"/>
                <w:color w:val="000000"/>
                <w:sz w:val="14"/>
                <w:szCs w:val="14"/>
                <w:lang w:eastAsia="sl-SI"/>
              </w:rPr>
            </w:pPr>
          </w:p>
        </w:tc>
        <w:tc>
          <w:tcPr>
            <w:tcW w:w="808" w:type="dxa"/>
            <w:shd w:val="clear" w:color="auto" w:fill="auto"/>
            <w:noWrap/>
            <w:vAlign w:val="center"/>
          </w:tcPr>
          <w:p w14:paraId="0D781D24" w14:textId="77777777" w:rsidR="002A7E48" w:rsidRPr="002A7E48" w:rsidRDefault="002A7E48" w:rsidP="002A7E48">
            <w:pPr>
              <w:spacing w:after="0" w:line="240" w:lineRule="auto"/>
              <w:jc w:val="right"/>
              <w:rPr>
                <w:rFonts w:ascii="Arial" w:eastAsia="Times New Roman" w:hAnsi="Arial" w:cs="Arial"/>
                <w:color w:val="000000"/>
                <w:sz w:val="14"/>
                <w:szCs w:val="14"/>
                <w:lang w:eastAsia="sl-SI"/>
              </w:rPr>
            </w:pPr>
          </w:p>
        </w:tc>
      </w:tr>
      <w:tr w:rsidR="002A7E48" w:rsidRPr="002A7E48" w14:paraId="21397C92" w14:textId="77777777" w:rsidTr="0042240D">
        <w:trPr>
          <w:trHeight w:val="345"/>
        </w:trPr>
        <w:tc>
          <w:tcPr>
            <w:tcW w:w="811" w:type="dxa"/>
            <w:shd w:val="clear" w:color="auto" w:fill="auto"/>
            <w:vAlign w:val="center"/>
            <w:hideMark/>
          </w:tcPr>
          <w:p w14:paraId="03335F51" w14:textId="77777777" w:rsidR="002A7E48" w:rsidRPr="002A7E48" w:rsidRDefault="002A7E48" w:rsidP="002A7E48">
            <w:pPr>
              <w:spacing w:after="0" w:line="240" w:lineRule="auto"/>
              <w:jc w:val="both"/>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 </w:t>
            </w:r>
          </w:p>
        </w:tc>
        <w:tc>
          <w:tcPr>
            <w:tcW w:w="763" w:type="dxa"/>
            <w:shd w:val="clear" w:color="auto" w:fill="auto"/>
            <w:vAlign w:val="center"/>
            <w:hideMark/>
          </w:tcPr>
          <w:p w14:paraId="64DC4705" w14:textId="77777777" w:rsidR="002A7E48" w:rsidRPr="002A7E48" w:rsidRDefault="002A7E48" w:rsidP="002A7E48">
            <w:pPr>
              <w:spacing w:after="0" w:line="240" w:lineRule="auto"/>
              <w:jc w:val="both"/>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CO30</w:t>
            </w:r>
          </w:p>
        </w:tc>
        <w:tc>
          <w:tcPr>
            <w:tcW w:w="2742" w:type="dxa"/>
            <w:gridSpan w:val="2"/>
            <w:shd w:val="clear" w:color="auto" w:fill="auto"/>
            <w:vAlign w:val="center"/>
            <w:hideMark/>
          </w:tcPr>
          <w:p w14:paraId="719D652E" w14:textId="77777777" w:rsidR="002A7E48" w:rsidRPr="002A7E48" w:rsidRDefault="002A7E48" w:rsidP="002A7E48">
            <w:pPr>
              <w:spacing w:after="0" w:line="240" w:lineRule="auto"/>
              <w:jc w:val="both"/>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Obnovljivi viri energije: Dodatne zmogljivosti za proizvodnjo energije iz obnovljivih virov</w:t>
            </w:r>
          </w:p>
        </w:tc>
        <w:tc>
          <w:tcPr>
            <w:tcW w:w="880" w:type="dxa"/>
            <w:gridSpan w:val="2"/>
            <w:shd w:val="clear" w:color="auto" w:fill="auto"/>
            <w:vAlign w:val="center"/>
            <w:hideMark/>
          </w:tcPr>
          <w:p w14:paraId="3E3F88CD" w14:textId="77777777" w:rsidR="002A7E48" w:rsidRPr="002A7E48" w:rsidRDefault="002A7E48" w:rsidP="002A7E48">
            <w:pPr>
              <w:spacing w:after="0" w:line="240" w:lineRule="auto"/>
              <w:jc w:val="both"/>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Ne</w:t>
            </w:r>
          </w:p>
        </w:tc>
        <w:tc>
          <w:tcPr>
            <w:tcW w:w="753" w:type="dxa"/>
            <w:shd w:val="clear" w:color="auto" w:fill="auto"/>
            <w:vAlign w:val="center"/>
            <w:hideMark/>
          </w:tcPr>
          <w:p w14:paraId="266FFA50" w14:textId="77777777" w:rsidR="002A7E48" w:rsidRPr="002A7E48" w:rsidRDefault="002A7E48" w:rsidP="002A7E48">
            <w:pPr>
              <w:spacing w:after="0" w:line="240" w:lineRule="auto"/>
              <w:jc w:val="both"/>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megawatt</w:t>
            </w:r>
          </w:p>
        </w:tc>
        <w:tc>
          <w:tcPr>
            <w:tcW w:w="567" w:type="dxa"/>
            <w:shd w:val="clear" w:color="auto" w:fill="auto"/>
            <w:vAlign w:val="center"/>
            <w:hideMark/>
          </w:tcPr>
          <w:p w14:paraId="30E2A0BC" w14:textId="77777777" w:rsidR="002A7E48" w:rsidRPr="002A7E48" w:rsidRDefault="002A7E48" w:rsidP="002A7E48">
            <w:pPr>
              <w:spacing w:after="0" w:line="240" w:lineRule="auto"/>
              <w:jc w:val="both"/>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KS</w:t>
            </w:r>
          </w:p>
        </w:tc>
        <w:tc>
          <w:tcPr>
            <w:tcW w:w="850" w:type="dxa"/>
            <w:shd w:val="clear" w:color="auto" w:fill="auto"/>
            <w:noWrap/>
            <w:vAlign w:val="center"/>
            <w:hideMark/>
          </w:tcPr>
          <w:p w14:paraId="013D25B1" w14:textId="77777777" w:rsidR="002A7E48" w:rsidRPr="002A7E48" w:rsidRDefault="002A7E48" w:rsidP="002A7E48">
            <w:pPr>
              <w:spacing w:after="0" w:line="240" w:lineRule="auto"/>
              <w:jc w:val="right"/>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133</w:t>
            </w:r>
          </w:p>
        </w:tc>
        <w:tc>
          <w:tcPr>
            <w:tcW w:w="926" w:type="dxa"/>
            <w:shd w:val="clear" w:color="auto" w:fill="auto"/>
            <w:noWrap/>
            <w:vAlign w:val="center"/>
            <w:hideMark/>
          </w:tcPr>
          <w:p w14:paraId="21DB9F2A" w14:textId="77777777" w:rsidR="002A7E48" w:rsidRPr="002A7E48" w:rsidRDefault="002A7E48" w:rsidP="002A7E48">
            <w:pPr>
              <w:spacing w:after="0" w:line="240" w:lineRule="auto"/>
              <w:jc w:val="right"/>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242</w:t>
            </w:r>
          </w:p>
        </w:tc>
        <w:tc>
          <w:tcPr>
            <w:tcW w:w="808" w:type="dxa"/>
            <w:shd w:val="clear" w:color="auto" w:fill="auto"/>
            <w:noWrap/>
            <w:vAlign w:val="center"/>
            <w:hideMark/>
          </w:tcPr>
          <w:p w14:paraId="0175DA04" w14:textId="77777777" w:rsidR="002A7E48" w:rsidRPr="002A7E48" w:rsidRDefault="002A7E48" w:rsidP="002A7E48">
            <w:pPr>
              <w:spacing w:after="0" w:line="240" w:lineRule="auto"/>
              <w:jc w:val="right"/>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375</w:t>
            </w:r>
          </w:p>
        </w:tc>
      </w:tr>
      <w:tr w:rsidR="002A7E48" w:rsidRPr="002A7E48" w14:paraId="58E69ABA" w14:textId="77777777" w:rsidTr="0042240D">
        <w:trPr>
          <w:trHeight w:val="345"/>
        </w:trPr>
        <w:tc>
          <w:tcPr>
            <w:tcW w:w="811" w:type="dxa"/>
            <w:shd w:val="clear" w:color="auto" w:fill="auto"/>
            <w:vAlign w:val="center"/>
          </w:tcPr>
          <w:p w14:paraId="356CB635" w14:textId="77777777" w:rsidR="002A7E48" w:rsidRPr="002A7E48" w:rsidRDefault="002A7E48" w:rsidP="002A7E48">
            <w:pPr>
              <w:spacing w:after="0" w:line="240" w:lineRule="auto"/>
              <w:jc w:val="both"/>
              <w:rPr>
                <w:rFonts w:ascii="Arial" w:eastAsia="Times New Roman" w:hAnsi="Arial" w:cs="Arial"/>
                <w:color w:val="000000"/>
                <w:sz w:val="14"/>
                <w:szCs w:val="14"/>
                <w:lang w:eastAsia="sl-SI"/>
              </w:rPr>
            </w:pPr>
          </w:p>
        </w:tc>
        <w:tc>
          <w:tcPr>
            <w:tcW w:w="763" w:type="dxa"/>
            <w:shd w:val="clear" w:color="auto" w:fill="auto"/>
            <w:vAlign w:val="center"/>
          </w:tcPr>
          <w:p w14:paraId="2696EFB0" w14:textId="77777777" w:rsidR="002A7E48" w:rsidRPr="002A7E48" w:rsidRDefault="002A7E48" w:rsidP="002A7E48">
            <w:pPr>
              <w:spacing w:after="0" w:line="260" w:lineRule="exact"/>
              <w:jc w:val="both"/>
              <w:rPr>
                <w:rFonts w:ascii="Arial" w:eastAsia="Times New Roman" w:hAnsi="Arial" w:cs="Arial"/>
                <w:color w:val="000000"/>
                <w:sz w:val="14"/>
                <w:szCs w:val="14"/>
              </w:rPr>
            </w:pPr>
            <w:r w:rsidRPr="002A7E48">
              <w:rPr>
                <w:rFonts w:ascii="Arial" w:eastAsia="Times New Roman" w:hAnsi="Arial" w:cs="Arial"/>
                <w:color w:val="000000"/>
                <w:sz w:val="14"/>
                <w:szCs w:val="14"/>
              </w:rPr>
              <w:t>4.51</w:t>
            </w:r>
          </w:p>
        </w:tc>
        <w:tc>
          <w:tcPr>
            <w:tcW w:w="2742" w:type="dxa"/>
            <w:gridSpan w:val="2"/>
            <w:shd w:val="clear" w:color="auto" w:fill="auto"/>
            <w:vAlign w:val="center"/>
          </w:tcPr>
          <w:p w14:paraId="07760404" w14:textId="77777777" w:rsidR="002A7E48" w:rsidRPr="002A7E48" w:rsidRDefault="002A7E48" w:rsidP="002A7E48">
            <w:pPr>
              <w:spacing w:after="0" w:line="260" w:lineRule="exact"/>
              <w:jc w:val="both"/>
              <w:rPr>
                <w:rFonts w:ascii="Arial" w:eastAsia="Times New Roman" w:hAnsi="Arial" w:cs="Arial"/>
                <w:color w:val="000000"/>
                <w:sz w:val="14"/>
                <w:szCs w:val="14"/>
              </w:rPr>
            </w:pPr>
            <w:r w:rsidRPr="002A7E48">
              <w:rPr>
                <w:rFonts w:ascii="Arial" w:eastAsia="Times New Roman" w:hAnsi="Arial" w:cs="Arial"/>
                <w:color w:val="000000"/>
                <w:sz w:val="14"/>
                <w:szCs w:val="14"/>
              </w:rPr>
              <w:t xml:space="preserve">Skupna tlorisna površina energetsko prenovljenih stavb v lasti in uporabi osrednje oz. ožje vlade </w:t>
            </w:r>
          </w:p>
        </w:tc>
        <w:tc>
          <w:tcPr>
            <w:tcW w:w="880" w:type="dxa"/>
            <w:gridSpan w:val="2"/>
            <w:shd w:val="clear" w:color="auto" w:fill="auto"/>
            <w:vAlign w:val="center"/>
          </w:tcPr>
          <w:p w14:paraId="5584AF18" w14:textId="77777777" w:rsidR="002A7E48" w:rsidRPr="002A7E48" w:rsidRDefault="002A7E48" w:rsidP="002A7E48">
            <w:pPr>
              <w:spacing w:after="0" w:line="260" w:lineRule="exact"/>
              <w:jc w:val="both"/>
              <w:rPr>
                <w:rFonts w:ascii="Arial" w:eastAsia="Times New Roman" w:hAnsi="Arial" w:cs="Arial"/>
                <w:color w:val="000000"/>
                <w:sz w:val="14"/>
                <w:szCs w:val="14"/>
              </w:rPr>
            </w:pPr>
            <w:r w:rsidRPr="002A7E48">
              <w:rPr>
                <w:rFonts w:ascii="Arial" w:eastAsia="Times New Roman" w:hAnsi="Arial" w:cs="Arial"/>
                <w:color w:val="000000"/>
                <w:sz w:val="14"/>
                <w:szCs w:val="14"/>
              </w:rPr>
              <w:t>Ne</w:t>
            </w:r>
          </w:p>
        </w:tc>
        <w:tc>
          <w:tcPr>
            <w:tcW w:w="753" w:type="dxa"/>
            <w:shd w:val="clear" w:color="auto" w:fill="auto"/>
            <w:vAlign w:val="center"/>
          </w:tcPr>
          <w:p w14:paraId="5E3E1AE9" w14:textId="77777777" w:rsidR="002A7E48" w:rsidRPr="002A7E48" w:rsidRDefault="002A7E48" w:rsidP="002A7E48">
            <w:pPr>
              <w:spacing w:after="0" w:line="260" w:lineRule="exact"/>
              <w:jc w:val="both"/>
              <w:rPr>
                <w:rFonts w:ascii="Arial" w:eastAsia="Times New Roman" w:hAnsi="Arial" w:cs="Arial"/>
                <w:color w:val="000000"/>
                <w:sz w:val="14"/>
                <w:szCs w:val="14"/>
              </w:rPr>
            </w:pPr>
            <w:r w:rsidRPr="002A7E48">
              <w:rPr>
                <w:rFonts w:ascii="Arial" w:eastAsia="Times New Roman" w:hAnsi="Arial" w:cs="Arial"/>
                <w:color w:val="000000"/>
                <w:sz w:val="14"/>
                <w:szCs w:val="14"/>
              </w:rPr>
              <w:t>m2</w:t>
            </w:r>
          </w:p>
        </w:tc>
        <w:tc>
          <w:tcPr>
            <w:tcW w:w="567" w:type="dxa"/>
            <w:shd w:val="clear" w:color="auto" w:fill="auto"/>
            <w:vAlign w:val="center"/>
          </w:tcPr>
          <w:p w14:paraId="0F9B4BC4" w14:textId="77777777" w:rsidR="002A7E48" w:rsidRPr="002A7E48" w:rsidRDefault="002A7E48" w:rsidP="002A7E48">
            <w:pPr>
              <w:spacing w:after="0" w:line="260" w:lineRule="exact"/>
              <w:jc w:val="both"/>
              <w:rPr>
                <w:rFonts w:ascii="Arial" w:eastAsia="Times New Roman" w:hAnsi="Arial" w:cs="Arial"/>
                <w:color w:val="000000"/>
                <w:sz w:val="14"/>
                <w:szCs w:val="14"/>
              </w:rPr>
            </w:pPr>
            <w:r w:rsidRPr="002A7E48">
              <w:rPr>
                <w:rFonts w:ascii="Arial" w:eastAsia="Times New Roman" w:hAnsi="Arial" w:cs="Arial"/>
                <w:color w:val="000000"/>
                <w:sz w:val="14"/>
                <w:szCs w:val="14"/>
              </w:rPr>
              <w:t>KS</w:t>
            </w:r>
          </w:p>
        </w:tc>
        <w:tc>
          <w:tcPr>
            <w:tcW w:w="850" w:type="dxa"/>
            <w:shd w:val="clear" w:color="auto" w:fill="auto"/>
            <w:noWrap/>
            <w:vAlign w:val="center"/>
          </w:tcPr>
          <w:p w14:paraId="53B65FFD" w14:textId="77777777" w:rsidR="002A7E48" w:rsidRPr="002A7E48" w:rsidRDefault="002A7E48" w:rsidP="002A7E48">
            <w:pPr>
              <w:spacing w:after="0" w:line="260" w:lineRule="exact"/>
              <w:jc w:val="right"/>
              <w:rPr>
                <w:rFonts w:ascii="Arial" w:eastAsia="Times New Roman" w:hAnsi="Arial" w:cs="Arial"/>
                <w:color w:val="000000"/>
                <w:sz w:val="14"/>
                <w:szCs w:val="14"/>
              </w:rPr>
            </w:pPr>
            <w:r w:rsidRPr="002A7E48">
              <w:rPr>
                <w:rFonts w:ascii="Arial" w:eastAsia="Times New Roman" w:hAnsi="Arial" w:cs="Arial"/>
                <w:color w:val="000000"/>
                <w:sz w:val="14"/>
                <w:szCs w:val="14"/>
              </w:rPr>
              <w:t>114.404</w:t>
            </w:r>
          </w:p>
        </w:tc>
        <w:tc>
          <w:tcPr>
            <w:tcW w:w="926" w:type="dxa"/>
            <w:shd w:val="clear" w:color="auto" w:fill="auto"/>
            <w:noWrap/>
            <w:vAlign w:val="center"/>
          </w:tcPr>
          <w:p w14:paraId="168D592F" w14:textId="77777777" w:rsidR="002A7E48" w:rsidRPr="002A7E48" w:rsidRDefault="002A7E48" w:rsidP="002A7E48">
            <w:pPr>
              <w:spacing w:after="0" w:line="240" w:lineRule="auto"/>
              <w:jc w:val="right"/>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- 56.319,54</w:t>
            </w:r>
          </w:p>
        </w:tc>
        <w:tc>
          <w:tcPr>
            <w:tcW w:w="808" w:type="dxa"/>
            <w:shd w:val="clear" w:color="auto" w:fill="auto"/>
            <w:noWrap/>
            <w:vAlign w:val="center"/>
          </w:tcPr>
          <w:p w14:paraId="47A3259C" w14:textId="77777777" w:rsidR="002A7E48" w:rsidRPr="002A7E48" w:rsidRDefault="002A7E48" w:rsidP="002A7E48">
            <w:pPr>
              <w:spacing w:after="0" w:line="240" w:lineRule="auto"/>
              <w:jc w:val="right"/>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58.084,46</w:t>
            </w:r>
          </w:p>
        </w:tc>
      </w:tr>
      <w:tr w:rsidR="002A7E48" w:rsidRPr="002A7E48" w14:paraId="75E71B30" w14:textId="77777777" w:rsidTr="0042240D">
        <w:trPr>
          <w:trHeight w:val="345"/>
        </w:trPr>
        <w:tc>
          <w:tcPr>
            <w:tcW w:w="811" w:type="dxa"/>
            <w:shd w:val="clear" w:color="auto" w:fill="auto"/>
            <w:vAlign w:val="center"/>
          </w:tcPr>
          <w:p w14:paraId="21CAAF3C" w14:textId="77777777" w:rsidR="002A7E48" w:rsidRPr="002A7E48" w:rsidRDefault="002A7E48" w:rsidP="002A7E48">
            <w:pPr>
              <w:spacing w:after="0" w:line="240" w:lineRule="auto"/>
              <w:jc w:val="both"/>
              <w:rPr>
                <w:rFonts w:ascii="Arial" w:eastAsia="Times New Roman" w:hAnsi="Arial" w:cs="Arial"/>
                <w:color w:val="000000"/>
                <w:sz w:val="14"/>
                <w:szCs w:val="14"/>
                <w:lang w:eastAsia="sl-SI"/>
              </w:rPr>
            </w:pPr>
          </w:p>
        </w:tc>
        <w:tc>
          <w:tcPr>
            <w:tcW w:w="763" w:type="dxa"/>
            <w:shd w:val="clear" w:color="auto" w:fill="auto"/>
            <w:vAlign w:val="center"/>
          </w:tcPr>
          <w:p w14:paraId="77B14638" w14:textId="77777777" w:rsidR="002A7E48" w:rsidRPr="002A7E48" w:rsidRDefault="002A7E48" w:rsidP="002A7E48">
            <w:pPr>
              <w:spacing w:after="0" w:line="260" w:lineRule="exact"/>
              <w:jc w:val="both"/>
              <w:rPr>
                <w:rFonts w:ascii="Arial" w:eastAsia="Times New Roman" w:hAnsi="Arial" w:cs="Arial"/>
                <w:color w:val="000000"/>
                <w:sz w:val="14"/>
                <w:szCs w:val="14"/>
              </w:rPr>
            </w:pPr>
            <w:r w:rsidRPr="002A7E48">
              <w:rPr>
                <w:rFonts w:ascii="Arial" w:eastAsia="Times New Roman" w:hAnsi="Arial" w:cs="Arial"/>
                <w:color w:val="000000"/>
                <w:sz w:val="14"/>
                <w:szCs w:val="14"/>
              </w:rPr>
              <w:t>CO32</w:t>
            </w:r>
          </w:p>
        </w:tc>
        <w:tc>
          <w:tcPr>
            <w:tcW w:w="2742" w:type="dxa"/>
            <w:gridSpan w:val="2"/>
            <w:shd w:val="clear" w:color="auto" w:fill="auto"/>
            <w:vAlign w:val="center"/>
          </w:tcPr>
          <w:p w14:paraId="66DFBFBD" w14:textId="77777777" w:rsidR="002A7E48" w:rsidRPr="002A7E48" w:rsidRDefault="002A7E48" w:rsidP="002A7E48">
            <w:pPr>
              <w:spacing w:after="0" w:line="260" w:lineRule="exact"/>
              <w:jc w:val="both"/>
              <w:rPr>
                <w:rFonts w:ascii="Arial" w:eastAsia="Times New Roman" w:hAnsi="Arial" w:cs="Arial"/>
                <w:color w:val="000000"/>
                <w:sz w:val="14"/>
                <w:szCs w:val="14"/>
              </w:rPr>
            </w:pPr>
            <w:r w:rsidRPr="002A7E48">
              <w:rPr>
                <w:rFonts w:ascii="Arial" w:eastAsia="Times New Roman" w:hAnsi="Arial" w:cs="Arial"/>
                <w:color w:val="000000"/>
                <w:sz w:val="14"/>
                <w:szCs w:val="14"/>
              </w:rPr>
              <w:t xml:space="preserve">Energetska učinkovitost: Zmanjšanje letne porabe primarne energije v javnih stavbah </w:t>
            </w:r>
          </w:p>
        </w:tc>
        <w:tc>
          <w:tcPr>
            <w:tcW w:w="880" w:type="dxa"/>
            <w:gridSpan w:val="2"/>
            <w:shd w:val="clear" w:color="auto" w:fill="auto"/>
            <w:vAlign w:val="center"/>
          </w:tcPr>
          <w:p w14:paraId="30CB96FE" w14:textId="77777777" w:rsidR="002A7E48" w:rsidRPr="002A7E48" w:rsidRDefault="002A7E48" w:rsidP="002A7E48">
            <w:pPr>
              <w:spacing w:after="0" w:line="260" w:lineRule="exact"/>
              <w:jc w:val="both"/>
              <w:rPr>
                <w:rFonts w:ascii="Arial" w:eastAsia="Times New Roman" w:hAnsi="Arial" w:cs="Arial"/>
                <w:color w:val="000000"/>
                <w:sz w:val="14"/>
                <w:szCs w:val="14"/>
              </w:rPr>
            </w:pPr>
            <w:r w:rsidRPr="002A7E48">
              <w:rPr>
                <w:rFonts w:ascii="Arial" w:eastAsia="Times New Roman" w:hAnsi="Arial" w:cs="Arial"/>
                <w:color w:val="000000"/>
                <w:sz w:val="14"/>
                <w:szCs w:val="14"/>
              </w:rPr>
              <w:t>Ne</w:t>
            </w:r>
          </w:p>
        </w:tc>
        <w:tc>
          <w:tcPr>
            <w:tcW w:w="753" w:type="dxa"/>
            <w:shd w:val="clear" w:color="auto" w:fill="auto"/>
            <w:vAlign w:val="center"/>
          </w:tcPr>
          <w:p w14:paraId="0D6C663E" w14:textId="77777777" w:rsidR="002A7E48" w:rsidRPr="002A7E48" w:rsidRDefault="002A7E48" w:rsidP="002A7E48">
            <w:pPr>
              <w:spacing w:after="0" w:line="260" w:lineRule="exact"/>
              <w:jc w:val="both"/>
              <w:rPr>
                <w:rFonts w:ascii="Arial" w:eastAsia="Times New Roman" w:hAnsi="Arial" w:cs="Arial"/>
                <w:color w:val="000000"/>
                <w:sz w:val="14"/>
                <w:szCs w:val="14"/>
              </w:rPr>
            </w:pPr>
            <w:r w:rsidRPr="002A7E48">
              <w:rPr>
                <w:rFonts w:ascii="Arial" w:eastAsia="Times New Roman" w:hAnsi="Arial" w:cs="Arial"/>
                <w:color w:val="000000"/>
                <w:sz w:val="14"/>
                <w:szCs w:val="14"/>
              </w:rPr>
              <w:t>kilowatt-na ura</w:t>
            </w:r>
          </w:p>
        </w:tc>
        <w:tc>
          <w:tcPr>
            <w:tcW w:w="567" w:type="dxa"/>
            <w:shd w:val="clear" w:color="auto" w:fill="auto"/>
            <w:vAlign w:val="center"/>
          </w:tcPr>
          <w:p w14:paraId="129B1571" w14:textId="77777777" w:rsidR="002A7E48" w:rsidRPr="002A7E48" w:rsidRDefault="002A7E48" w:rsidP="002A7E48">
            <w:pPr>
              <w:spacing w:after="0" w:line="260" w:lineRule="exact"/>
              <w:jc w:val="both"/>
              <w:rPr>
                <w:rFonts w:ascii="Arial" w:eastAsia="Times New Roman" w:hAnsi="Arial" w:cs="Arial"/>
                <w:color w:val="000000"/>
                <w:sz w:val="14"/>
                <w:szCs w:val="14"/>
              </w:rPr>
            </w:pPr>
            <w:r w:rsidRPr="002A7E48">
              <w:rPr>
                <w:rFonts w:ascii="Arial" w:eastAsia="Times New Roman" w:hAnsi="Arial" w:cs="Arial"/>
                <w:color w:val="000000"/>
                <w:sz w:val="14"/>
                <w:szCs w:val="14"/>
              </w:rPr>
              <w:t>KS</w:t>
            </w:r>
          </w:p>
        </w:tc>
        <w:tc>
          <w:tcPr>
            <w:tcW w:w="850" w:type="dxa"/>
            <w:shd w:val="clear" w:color="auto" w:fill="auto"/>
            <w:noWrap/>
            <w:vAlign w:val="center"/>
          </w:tcPr>
          <w:p w14:paraId="62925D60" w14:textId="77777777" w:rsidR="002A7E48" w:rsidRPr="002A7E48" w:rsidRDefault="002A7E48" w:rsidP="002A7E48">
            <w:pPr>
              <w:spacing w:after="0" w:line="260" w:lineRule="exact"/>
              <w:jc w:val="right"/>
              <w:rPr>
                <w:rFonts w:ascii="Arial" w:eastAsia="Times New Roman" w:hAnsi="Arial" w:cs="Arial"/>
                <w:color w:val="000000"/>
                <w:sz w:val="14"/>
                <w:szCs w:val="14"/>
              </w:rPr>
            </w:pPr>
            <w:r w:rsidRPr="002A7E48">
              <w:rPr>
                <w:rFonts w:ascii="Arial" w:eastAsia="Times New Roman" w:hAnsi="Arial" w:cs="Arial"/>
                <w:color w:val="000000"/>
                <w:sz w:val="14"/>
                <w:szCs w:val="14"/>
              </w:rPr>
              <w:t>104.400.000</w:t>
            </w:r>
          </w:p>
        </w:tc>
        <w:tc>
          <w:tcPr>
            <w:tcW w:w="926" w:type="dxa"/>
            <w:shd w:val="clear" w:color="auto" w:fill="auto"/>
            <w:noWrap/>
            <w:vAlign w:val="center"/>
          </w:tcPr>
          <w:p w14:paraId="24151719" w14:textId="77777777" w:rsidR="002A7E48" w:rsidRPr="002A7E48" w:rsidRDefault="002A7E48" w:rsidP="002A7E48">
            <w:pPr>
              <w:spacing w:after="0" w:line="240" w:lineRule="auto"/>
              <w:jc w:val="right"/>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- 14.400.000</w:t>
            </w:r>
          </w:p>
        </w:tc>
        <w:tc>
          <w:tcPr>
            <w:tcW w:w="808" w:type="dxa"/>
            <w:shd w:val="clear" w:color="auto" w:fill="auto"/>
            <w:noWrap/>
            <w:vAlign w:val="center"/>
          </w:tcPr>
          <w:p w14:paraId="5823F126" w14:textId="77777777" w:rsidR="002A7E48" w:rsidRPr="002A7E48" w:rsidRDefault="002A7E48" w:rsidP="002A7E48">
            <w:pPr>
              <w:spacing w:after="0" w:line="240" w:lineRule="auto"/>
              <w:jc w:val="right"/>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90.000.000</w:t>
            </w:r>
          </w:p>
        </w:tc>
      </w:tr>
      <w:tr w:rsidR="002A7E48" w:rsidRPr="002A7E48" w14:paraId="61E727EC" w14:textId="77777777" w:rsidTr="0042240D">
        <w:trPr>
          <w:trHeight w:val="345"/>
        </w:trPr>
        <w:tc>
          <w:tcPr>
            <w:tcW w:w="811" w:type="dxa"/>
            <w:shd w:val="clear" w:color="auto" w:fill="auto"/>
            <w:vAlign w:val="center"/>
            <w:hideMark/>
          </w:tcPr>
          <w:p w14:paraId="3E0AFF37" w14:textId="77777777" w:rsidR="002A7E48" w:rsidRPr="002A7E48" w:rsidRDefault="002A7E48" w:rsidP="002A7E48">
            <w:pPr>
              <w:spacing w:after="0" w:line="240" w:lineRule="auto"/>
              <w:jc w:val="both"/>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Kazalnik učinka</w:t>
            </w:r>
          </w:p>
        </w:tc>
        <w:tc>
          <w:tcPr>
            <w:tcW w:w="763" w:type="dxa"/>
            <w:shd w:val="clear" w:color="auto" w:fill="auto"/>
            <w:vAlign w:val="center"/>
            <w:hideMark/>
          </w:tcPr>
          <w:p w14:paraId="46EDC7B5" w14:textId="77777777" w:rsidR="002A7E48" w:rsidRPr="002A7E48" w:rsidRDefault="002A7E48" w:rsidP="002A7E48">
            <w:pPr>
              <w:spacing w:after="0" w:line="240" w:lineRule="auto"/>
              <w:jc w:val="both"/>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CO33</w:t>
            </w:r>
          </w:p>
        </w:tc>
        <w:tc>
          <w:tcPr>
            <w:tcW w:w="2742" w:type="dxa"/>
            <w:gridSpan w:val="2"/>
            <w:shd w:val="clear" w:color="auto" w:fill="auto"/>
            <w:vAlign w:val="center"/>
            <w:hideMark/>
          </w:tcPr>
          <w:p w14:paraId="2B1345B8" w14:textId="77777777" w:rsidR="002A7E48" w:rsidRPr="002A7E48" w:rsidRDefault="002A7E48" w:rsidP="002A7E48">
            <w:pPr>
              <w:spacing w:after="0" w:line="240" w:lineRule="auto"/>
              <w:jc w:val="both"/>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Energetska učinkovitost: Število dodatnih uporabnikov energije, priključenih na pametna omrežja</w:t>
            </w:r>
          </w:p>
        </w:tc>
        <w:tc>
          <w:tcPr>
            <w:tcW w:w="880" w:type="dxa"/>
            <w:gridSpan w:val="2"/>
            <w:shd w:val="clear" w:color="auto" w:fill="auto"/>
            <w:vAlign w:val="center"/>
            <w:hideMark/>
          </w:tcPr>
          <w:p w14:paraId="1D666AF4" w14:textId="77777777" w:rsidR="002A7E48" w:rsidRPr="002A7E48" w:rsidRDefault="002A7E48" w:rsidP="002A7E48">
            <w:pPr>
              <w:spacing w:after="0" w:line="240" w:lineRule="auto"/>
              <w:jc w:val="both"/>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Ne</w:t>
            </w:r>
          </w:p>
        </w:tc>
        <w:tc>
          <w:tcPr>
            <w:tcW w:w="753" w:type="dxa"/>
            <w:shd w:val="clear" w:color="auto" w:fill="auto"/>
            <w:vAlign w:val="center"/>
            <w:hideMark/>
          </w:tcPr>
          <w:p w14:paraId="7D21D493" w14:textId="77777777" w:rsidR="002A7E48" w:rsidRPr="002A7E48" w:rsidRDefault="002A7E48" w:rsidP="002A7E48">
            <w:pPr>
              <w:spacing w:after="0" w:line="240" w:lineRule="auto"/>
              <w:jc w:val="both"/>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število</w:t>
            </w:r>
          </w:p>
        </w:tc>
        <w:tc>
          <w:tcPr>
            <w:tcW w:w="567" w:type="dxa"/>
            <w:shd w:val="clear" w:color="auto" w:fill="auto"/>
            <w:vAlign w:val="center"/>
            <w:hideMark/>
          </w:tcPr>
          <w:p w14:paraId="15E5059D" w14:textId="77777777" w:rsidR="002A7E48" w:rsidRPr="002A7E48" w:rsidRDefault="002A7E48" w:rsidP="002A7E48">
            <w:pPr>
              <w:spacing w:after="0" w:line="240" w:lineRule="auto"/>
              <w:jc w:val="both"/>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KS</w:t>
            </w:r>
          </w:p>
        </w:tc>
        <w:tc>
          <w:tcPr>
            <w:tcW w:w="850" w:type="dxa"/>
            <w:shd w:val="clear" w:color="auto" w:fill="auto"/>
            <w:noWrap/>
            <w:vAlign w:val="center"/>
            <w:hideMark/>
          </w:tcPr>
          <w:p w14:paraId="0E151568" w14:textId="77777777" w:rsidR="002A7E48" w:rsidRPr="002A7E48" w:rsidRDefault="002A7E48" w:rsidP="002A7E48">
            <w:pPr>
              <w:spacing w:after="0" w:line="240" w:lineRule="auto"/>
              <w:jc w:val="right"/>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300.000</w:t>
            </w:r>
          </w:p>
        </w:tc>
        <w:tc>
          <w:tcPr>
            <w:tcW w:w="926" w:type="dxa"/>
            <w:shd w:val="clear" w:color="auto" w:fill="auto"/>
            <w:noWrap/>
            <w:vAlign w:val="center"/>
            <w:hideMark/>
          </w:tcPr>
          <w:p w14:paraId="59E2E130" w14:textId="77777777" w:rsidR="002A7E48" w:rsidRPr="002A7E48" w:rsidRDefault="002A7E48" w:rsidP="002A7E48">
            <w:pPr>
              <w:spacing w:after="0" w:line="240" w:lineRule="auto"/>
              <w:jc w:val="right"/>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-300.000</w:t>
            </w:r>
          </w:p>
        </w:tc>
        <w:tc>
          <w:tcPr>
            <w:tcW w:w="808" w:type="dxa"/>
            <w:shd w:val="clear" w:color="auto" w:fill="auto"/>
            <w:noWrap/>
            <w:vAlign w:val="center"/>
            <w:hideMark/>
          </w:tcPr>
          <w:p w14:paraId="6FE5E74B" w14:textId="77777777" w:rsidR="002A7E48" w:rsidRPr="002A7E48" w:rsidRDefault="002A7E48" w:rsidP="002A7E48">
            <w:pPr>
              <w:spacing w:after="0" w:line="240" w:lineRule="auto"/>
              <w:jc w:val="right"/>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0</w:t>
            </w:r>
          </w:p>
        </w:tc>
      </w:tr>
      <w:tr w:rsidR="002A7E48" w:rsidRPr="002A7E48" w14:paraId="444552FD" w14:textId="77777777" w:rsidTr="0042240D">
        <w:trPr>
          <w:trHeight w:val="345"/>
        </w:trPr>
        <w:tc>
          <w:tcPr>
            <w:tcW w:w="811" w:type="dxa"/>
            <w:shd w:val="clear" w:color="auto" w:fill="auto"/>
            <w:vAlign w:val="center"/>
            <w:hideMark/>
          </w:tcPr>
          <w:p w14:paraId="7BF3765A" w14:textId="77777777" w:rsidR="002A7E48" w:rsidRPr="002A7E48" w:rsidRDefault="002A7E48" w:rsidP="002A7E48">
            <w:pPr>
              <w:spacing w:after="0" w:line="240" w:lineRule="auto"/>
              <w:jc w:val="both"/>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 </w:t>
            </w:r>
          </w:p>
        </w:tc>
        <w:tc>
          <w:tcPr>
            <w:tcW w:w="763" w:type="dxa"/>
            <w:shd w:val="clear" w:color="auto" w:fill="auto"/>
            <w:vAlign w:val="center"/>
            <w:hideMark/>
          </w:tcPr>
          <w:p w14:paraId="461050EF" w14:textId="77777777" w:rsidR="002A7E48" w:rsidRPr="002A7E48" w:rsidRDefault="002A7E48" w:rsidP="002A7E48">
            <w:pPr>
              <w:spacing w:after="0" w:line="240" w:lineRule="auto"/>
              <w:jc w:val="both"/>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4.18</w:t>
            </w:r>
          </w:p>
        </w:tc>
        <w:tc>
          <w:tcPr>
            <w:tcW w:w="2742" w:type="dxa"/>
            <w:gridSpan w:val="2"/>
            <w:shd w:val="clear" w:color="auto" w:fill="auto"/>
            <w:vAlign w:val="center"/>
            <w:hideMark/>
          </w:tcPr>
          <w:p w14:paraId="7AFDAC93" w14:textId="77777777" w:rsidR="002A7E48" w:rsidRPr="002A7E48" w:rsidRDefault="002A7E48" w:rsidP="002A7E48">
            <w:pPr>
              <w:spacing w:after="0" w:line="240" w:lineRule="auto"/>
              <w:jc w:val="both"/>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Število pametnih javnih polnilnih postaj za električna vozila z možnostjo daljinskega upravljanja moči polnjenja</w:t>
            </w:r>
          </w:p>
        </w:tc>
        <w:tc>
          <w:tcPr>
            <w:tcW w:w="880" w:type="dxa"/>
            <w:gridSpan w:val="2"/>
            <w:shd w:val="clear" w:color="auto" w:fill="auto"/>
            <w:vAlign w:val="center"/>
            <w:hideMark/>
          </w:tcPr>
          <w:p w14:paraId="70D275BE" w14:textId="77777777" w:rsidR="002A7E48" w:rsidRPr="002A7E48" w:rsidRDefault="002A7E48" w:rsidP="002A7E48">
            <w:pPr>
              <w:spacing w:after="0" w:line="240" w:lineRule="auto"/>
              <w:jc w:val="both"/>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Ne</w:t>
            </w:r>
          </w:p>
        </w:tc>
        <w:tc>
          <w:tcPr>
            <w:tcW w:w="753" w:type="dxa"/>
            <w:shd w:val="clear" w:color="auto" w:fill="auto"/>
            <w:vAlign w:val="center"/>
            <w:hideMark/>
          </w:tcPr>
          <w:p w14:paraId="54FBDB0E" w14:textId="77777777" w:rsidR="002A7E48" w:rsidRPr="002A7E48" w:rsidRDefault="002A7E48" w:rsidP="002A7E48">
            <w:pPr>
              <w:spacing w:after="0" w:line="240" w:lineRule="auto"/>
              <w:jc w:val="both"/>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število</w:t>
            </w:r>
          </w:p>
        </w:tc>
        <w:tc>
          <w:tcPr>
            <w:tcW w:w="567" w:type="dxa"/>
            <w:shd w:val="clear" w:color="auto" w:fill="auto"/>
            <w:vAlign w:val="center"/>
            <w:hideMark/>
          </w:tcPr>
          <w:p w14:paraId="5D0F8A9D" w14:textId="77777777" w:rsidR="002A7E48" w:rsidRPr="002A7E48" w:rsidRDefault="002A7E48" w:rsidP="002A7E48">
            <w:pPr>
              <w:spacing w:after="0" w:line="240" w:lineRule="auto"/>
              <w:jc w:val="both"/>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KS</w:t>
            </w:r>
          </w:p>
        </w:tc>
        <w:tc>
          <w:tcPr>
            <w:tcW w:w="850" w:type="dxa"/>
            <w:shd w:val="clear" w:color="auto" w:fill="auto"/>
            <w:noWrap/>
            <w:vAlign w:val="center"/>
            <w:hideMark/>
          </w:tcPr>
          <w:p w14:paraId="3845A3C5" w14:textId="77777777" w:rsidR="002A7E48" w:rsidRPr="002A7E48" w:rsidRDefault="002A7E48" w:rsidP="002A7E48">
            <w:pPr>
              <w:spacing w:after="0" w:line="240" w:lineRule="auto"/>
              <w:jc w:val="right"/>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50</w:t>
            </w:r>
          </w:p>
        </w:tc>
        <w:tc>
          <w:tcPr>
            <w:tcW w:w="926" w:type="dxa"/>
            <w:shd w:val="clear" w:color="auto" w:fill="auto"/>
            <w:noWrap/>
            <w:vAlign w:val="center"/>
            <w:hideMark/>
          </w:tcPr>
          <w:p w14:paraId="62A88445" w14:textId="77777777" w:rsidR="002A7E48" w:rsidRPr="002A7E48" w:rsidRDefault="002A7E48" w:rsidP="002A7E48">
            <w:pPr>
              <w:spacing w:after="0" w:line="240" w:lineRule="auto"/>
              <w:jc w:val="right"/>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-50 </w:t>
            </w:r>
          </w:p>
        </w:tc>
        <w:tc>
          <w:tcPr>
            <w:tcW w:w="808" w:type="dxa"/>
            <w:shd w:val="clear" w:color="auto" w:fill="auto"/>
            <w:noWrap/>
            <w:vAlign w:val="center"/>
            <w:hideMark/>
          </w:tcPr>
          <w:p w14:paraId="75E744BF" w14:textId="77777777" w:rsidR="002A7E48" w:rsidRPr="002A7E48" w:rsidRDefault="002A7E48" w:rsidP="002A7E48">
            <w:pPr>
              <w:spacing w:after="0" w:line="240" w:lineRule="auto"/>
              <w:jc w:val="right"/>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0</w:t>
            </w:r>
          </w:p>
        </w:tc>
      </w:tr>
      <w:tr w:rsidR="002A7E48" w:rsidRPr="002A7E48" w14:paraId="236B8D39" w14:textId="77777777" w:rsidTr="0042240D">
        <w:trPr>
          <w:trHeight w:val="345"/>
        </w:trPr>
        <w:tc>
          <w:tcPr>
            <w:tcW w:w="811" w:type="dxa"/>
            <w:shd w:val="clear" w:color="auto" w:fill="auto"/>
            <w:vAlign w:val="center"/>
          </w:tcPr>
          <w:p w14:paraId="328D9AA3" w14:textId="77777777" w:rsidR="002A7E48" w:rsidRPr="002A7E48" w:rsidRDefault="002A7E48" w:rsidP="002A7E48">
            <w:pPr>
              <w:spacing w:after="0" w:line="240" w:lineRule="auto"/>
              <w:jc w:val="both"/>
              <w:rPr>
                <w:rFonts w:ascii="Arial" w:eastAsia="Times New Roman" w:hAnsi="Arial" w:cs="Arial"/>
                <w:color w:val="000000"/>
                <w:sz w:val="14"/>
                <w:szCs w:val="14"/>
                <w:lang w:eastAsia="sl-SI"/>
              </w:rPr>
            </w:pPr>
          </w:p>
        </w:tc>
        <w:tc>
          <w:tcPr>
            <w:tcW w:w="763" w:type="dxa"/>
            <w:shd w:val="clear" w:color="auto" w:fill="auto"/>
            <w:vAlign w:val="center"/>
          </w:tcPr>
          <w:p w14:paraId="7D723A2D" w14:textId="77777777" w:rsidR="002A7E48" w:rsidRPr="002A7E48" w:rsidRDefault="002A7E48" w:rsidP="002A7E48">
            <w:pPr>
              <w:spacing w:after="0" w:line="240" w:lineRule="auto"/>
              <w:jc w:val="both"/>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4.23</w:t>
            </w:r>
          </w:p>
        </w:tc>
        <w:tc>
          <w:tcPr>
            <w:tcW w:w="2742" w:type="dxa"/>
            <w:gridSpan w:val="2"/>
            <w:shd w:val="clear" w:color="auto" w:fill="auto"/>
            <w:vAlign w:val="center"/>
          </w:tcPr>
          <w:p w14:paraId="222EBDD2" w14:textId="77777777" w:rsidR="002A7E48" w:rsidRPr="002A7E48" w:rsidRDefault="002A7E48" w:rsidP="002A7E48">
            <w:pPr>
              <w:spacing w:after="0" w:line="240" w:lineRule="auto"/>
              <w:jc w:val="both"/>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Regionalne kolesarske povezave: dolžina novih povezav</w:t>
            </w:r>
          </w:p>
        </w:tc>
        <w:tc>
          <w:tcPr>
            <w:tcW w:w="880" w:type="dxa"/>
            <w:gridSpan w:val="2"/>
            <w:shd w:val="clear" w:color="auto" w:fill="auto"/>
            <w:vAlign w:val="center"/>
          </w:tcPr>
          <w:p w14:paraId="7634E34C" w14:textId="77777777" w:rsidR="002A7E48" w:rsidRPr="002A7E48" w:rsidRDefault="002A7E48" w:rsidP="002A7E48">
            <w:pPr>
              <w:spacing w:after="0" w:line="240" w:lineRule="auto"/>
              <w:jc w:val="both"/>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Ne</w:t>
            </w:r>
          </w:p>
        </w:tc>
        <w:tc>
          <w:tcPr>
            <w:tcW w:w="753" w:type="dxa"/>
            <w:shd w:val="clear" w:color="auto" w:fill="auto"/>
            <w:vAlign w:val="center"/>
          </w:tcPr>
          <w:p w14:paraId="6600DBC9" w14:textId="77777777" w:rsidR="002A7E48" w:rsidRPr="002A7E48" w:rsidRDefault="002A7E48" w:rsidP="002A7E48">
            <w:pPr>
              <w:spacing w:after="0" w:line="240" w:lineRule="auto"/>
              <w:jc w:val="both"/>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km</w:t>
            </w:r>
          </w:p>
        </w:tc>
        <w:tc>
          <w:tcPr>
            <w:tcW w:w="567" w:type="dxa"/>
            <w:shd w:val="clear" w:color="auto" w:fill="auto"/>
            <w:vAlign w:val="center"/>
          </w:tcPr>
          <w:p w14:paraId="49FC8D8E" w14:textId="77777777" w:rsidR="002A7E48" w:rsidRPr="002A7E48" w:rsidRDefault="002A7E48" w:rsidP="002A7E48">
            <w:pPr>
              <w:spacing w:after="0" w:line="240" w:lineRule="auto"/>
              <w:jc w:val="both"/>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ESRR – manj razvite</w:t>
            </w:r>
          </w:p>
        </w:tc>
        <w:tc>
          <w:tcPr>
            <w:tcW w:w="850" w:type="dxa"/>
            <w:shd w:val="clear" w:color="auto" w:fill="auto"/>
            <w:noWrap/>
            <w:vAlign w:val="center"/>
          </w:tcPr>
          <w:p w14:paraId="78CF4AC3" w14:textId="77777777" w:rsidR="002A7E48" w:rsidRPr="002A7E48" w:rsidRDefault="002A7E48" w:rsidP="002A7E48">
            <w:pPr>
              <w:spacing w:after="0" w:line="240" w:lineRule="auto"/>
              <w:jc w:val="right"/>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30</w:t>
            </w:r>
          </w:p>
        </w:tc>
        <w:tc>
          <w:tcPr>
            <w:tcW w:w="926" w:type="dxa"/>
            <w:shd w:val="clear" w:color="auto" w:fill="auto"/>
            <w:noWrap/>
            <w:vAlign w:val="center"/>
          </w:tcPr>
          <w:p w14:paraId="4374144C" w14:textId="77777777" w:rsidR="002A7E48" w:rsidRPr="002A7E48" w:rsidRDefault="002A7E48" w:rsidP="002A7E48">
            <w:pPr>
              <w:spacing w:after="0" w:line="240" w:lineRule="auto"/>
              <w:jc w:val="right"/>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53</w:t>
            </w:r>
          </w:p>
        </w:tc>
        <w:tc>
          <w:tcPr>
            <w:tcW w:w="808" w:type="dxa"/>
            <w:shd w:val="clear" w:color="auto" w:fill="auto"/>
            <w:noWrap/>
            <w:vAlign w:val="center"/>
          </w:tcPr>
          <w:p w14:paraId="573B9262" w14:textId="77777777" w:rsidR="002A7E48" w:rsidRPr="002A7E48" w:rsidRDefault="002A7E48" w:rsidP="002A7E48">
            <w:pPr>
              <w:spacing w:after="0" w:line="240" w:lineRule="auto"/>
              <w:jc w:val="right"/>
              <w:rPr>
                <w:rFonts w:ascii="Arial" w:eastAsia="Times New Roman" w:hAnsi="Arial" w:cs="Arial"/>
                <w:color w:val="000000"/>
                <w:sz w:val="14"/>
                <w:szCs w:val="14"/>
                <w:lang w:eastAsia="sl-SI"/>
              </w:rPr>
            </w:pPr>
            <w:r w:rsidRPr="002A7E48">
              <w:rPr>
                <w:rFonts w:ascii="Arial" w:eastAsia="Times New Roman" w:hAnsi="Arial" w:cs="Arial"/>
                <w:color w:val="000000"/>
                <w:sz w:val="14"/>
                <w:szCs w:val="14"/>
                <w:lang w:eastAsia="sl-SI"/>
              </w:rPr>
              <w:t>83</w:t>
            </w:r>
          </w:p>
        </w:tc>
      </w:tr>
    </w:tbl>
    <w:p w14:paraId="70159274" w14:textId="77777777" w:rsidR="002A7E48" w:rsidRPr="002A7E48" w:rsidRDefault="002A7E48" w:rsidP="002A7E48">
      <w:pPr>
        <w:spacing w:after="0" w:line="240" w:lineRule="auto"/>
        <w:jc w:val="both"/>
        <w:rPr>
          <w:rFonts w:ascii="Arial" w:eastAsia="Calibri" w:hAnsi="Arial" w:cs="Arial"/>
          <w:sz w:val="20"/>
          <w:szCs w:val="20"/>
        </w:rPr>
      </w:pPr>
    </w:p>
    <w:p w14:paraId="06A068AD" w14:textId="77777777" w:rsidR="002A7E48" w:rsidRPr="002A7E48" w:rsidRDefault="002A7E48" w:rsidP="002A7E48">
      <w:pPr>
        <w:keepNext/>
        <w:keepLines/>
        <w:spacing w:after="0" w:line="240" w:lineRule="auto"/>
        <w:outlineLvl w:val="1"/>
        <w:rPr>
          <w:rFonts w:ascii="Arial" w:eastAsia="Times New Roman" w:hAnsi="Arial" w:cs="Times New Roman"/>
          <w:b/>
          <w:sz w:val="24"/>
          <w:szCs w:val="26"/>
        </w:rPr>
      </w:pPr>
      <w:r w:rsidRPr="002A7E48">
        <w:rPr>
          <w:rFonts w:ascii="Arial" w:eastAsia="Times New Roman" w:hAnsi="Arial" w:cs="Times New Roman"/>
          <w:b/>
          <w:sz w:val="24"/>
          <w:szCs w:val="26"/>
        </w:rPr>
        <w:t xml:space="preserve">PO 5 </w:t>
      </w:r>
    </w:p>
    <w:p w14:paraId="52DC6420"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Na prednostni osi 5 se predlaga prerazporeditev pravic porabe na obeh skladih. V času izvajanja OP14 – 20 so nastale nepredvidljive okoliščine, ki so bistveno vplivale na potek izvajanja projektov. Glavna dejavnika sta epidemija Covid-19 in vojna v Ukrajini, ki sta močno vplivala na različnih področjih in sicer: umeščanje ukrepov v prostor (dolgotrajnejši postopki odkup zemljišč in s tem povezani postopki pridobivanja upravnih dovoljenj), javna naročila in izbor izvajalcev del, razpoložljivost gradbenega materiala, ki je onemogočala izvedbo že dogovorjenih del v prvotno predvidenih pogodbenih rokih, dvig cen materialov in storitev ter motnje v dobavnih verigah. Zaradi navedenega je nujno, da se prilagodi obseg investicij, ki jih je realno možno izvesti do konca programskega obdobja 2014-2020. Ob upoštevanju navedenih razlogov in s tem povezanih tveganj pri uresničevanju operativnega programa se predlaga prenos sredstev Kohezijskega sklada na prednostno os 7 in prenos sredstev ESRR, vzhod na prednostno os 4, kar je prikazano v Tabeli 3. Predlog prenosa sredstev na ti dve prednostni osi je bil pripravljen na podlagi Tabele 2, iz katere izhaja, da se na obeh prednostnih oseh (PO7, KS in PO 4, ESRR vzhod) predvideva črpanje sredstev, ki bo preseglo pravice porabe.</w:t>
      </w:r>
    </w:p>
    <w:p w14:paraId="6BFA1110"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V okviru prednostne naložbe 5.1 (5i) »Podpiranje naložb za prilagajanje podnebnim spremembam, vključno s pristopi, ki temeljijo na ekosistemu« se doda nov ukrep »Zagotavljanje ustrezne opreme za izvajanje nalog na področju zaščite, reševanja in pomoči ob poplavah na državni, regionalni in lokalni ravni«. Z nabavo in distribucijo opreme ter tehničnih sredstev za odziv na poplave se bo na dvajsetih porečjih, v katerih so umeščena območja pomembnega vpliva poplav, zagotovili hiter in učinkovit odziv sil za zaščito, reševanje in pomoč v primeru tovrstnih nesreč. S tem bo zvišana stopnja zaščite prebivalstva, premoženja, okolja itn. pred posledicami poplav in z omejitvijo škode zaradi poplav dosežena hitrejša obnova ter okrevanje po njih. To bo rezultiralo v okrepljeni pripravljenosti in odzivu na poplave. Ciljna vrednost (za leto 2023) kazalnika CO20 se zaradi navedenega ukrepa iz vrednosti 20.142 oseb poveča na 94.514 oseb.</w:t>
      </w:r>
    </w:p>
    <w:p w14:paraId="736D9329"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V SFC se v delu »Ukrepi, ki jim je namenjena podpora« 8. odstavek spremeni:</w:t>
      </w:r>
    </w:p>
    <w:p w14:paraId="4DB391F1"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»V okviru te prednostne naložbe bodo podprti tudi sledeči horizontalni ukrepi za obvladovanje tveganj, ki jih prinašajo podnebne spremembe in sicer:</w:t>
      </w:r>
    </w:p>
    <w:p w14:paraId="7CF2A2BD" w14:textId="77777777" w:rsidR="002A7E48" w:rsidRPr="002A7E48" w:rsidRDefault="002A7E48" w:rsidP="002A7E48">
      <w:pPr>
        <w:numPr>
          <w:ilvl w:val="0"/>
          <w:numId w:val="3"/>
        </w:numPr>
        <w:tabs>
          <w:tab w:val="left" w:pos="266"/>
        </w:tabs>
        <w:spacing w:after="0" w:line="240" w:lineRule="auto"/>
        <w:contextualSpacing/>
        <w:jc w:val="both"/>
        <w:rPr>
          <w:rFonts w:ascii="Arial" w:eastAsia="Calibri" w:hAnsi="Arial" w:cs="Arial"/>
          <w:sz w:val="20"/>
          <w:szCs w:val="20"/>
        </w:rPr>
      </w:pPr>
      <w:r w:rsidRPr="002A7E48">
        <w:rPr>
          <w:rFonts w:ascii="Arial" w:eastAsia="Calibri" w:hAnsi="Arial" w:cs="Arial"/>
          <w:sz w:val="20"/>
          <w:szCs w:val="20"/>
        </w:rPr>
        <w:t xml:space="preserve">naložbe  na področju pripravljenosti in odziva na podnebne spremembe ter dogodke, ki nastanejo kot posledica podnebnih sprememb. Gre za ukrepe, ki so skladni z določili Resolucije nacionalnega programa varstva pred naravnimi in drugimi nesrečami v letih od 2016 do 2022, kjer je med temeljnimi cilji varstva pred naravnimi in drugimi nesrečami med drugim predvideno nadaljevanje ukrepov in aktivnosti za izboljšanje splošne pripravljenosti na narave in druge </w:t>
      </w:r>
      <w:r w:rsidRPr="002A7E48">
        <w:rPr>
          <w:rFonts w:ascii="Arial" w:eastAsia="Calibri" w:hAnsi="Arial" w:cs="Arial"/>
          <w:sz w:val="20"/>
          <w:szCs w:val="20"/>
        </w:rPr>
        <w:lastRenderedPageBreak/>
        <w:t>nesreče, ki jih povzročajo sodobni viri ogrožanja, podnebne spremembe ter skrajševanje odzivnih časov tudi s posodobitvijo osebne in skupinske zaščitne reševalne opreme vseh reševalnih služb. Gre za nakup opreme in tehničnih sredstev za hiter in učinkovit odziv na poplave, katera bo razdeljena po regionalno-lokalnem principu, in sicer enotam za odziv na podnebno pogojene nesreče znotraj dvajsetih hidrološkh območij, kjer je tveganje poplav najvišje.</w:t>
      </w:r>
    </w:p>
    <w:p w14:paraId="035A24D9" w14:textId="77777777" w:rsidR="002A7E48" w:rsidRPr="002A7E48" w:rsidRDefault="002A7E48" w:rsidP="002A7E48">
      <w:pPr>
        <w:tabs>
          <w:tab w:val="left" w:pos="266"/>
        </w:tabs>
        <w:spacing w:after="0" w:line="240" w:lineRule="auto"/>
        <w:ind w:left="720"/>
        <w:contextualSpacing/>
        <w:jc w:val="both"/>
        <w:rPr>
          <w:rFonts w:ascii="Arial" w:eastAsia="Calibri" w:hAnsi="Arial" w:cs="Arial"/>
          <w:sz w:val="20"/>
          <w:szCs w:val="20"/>
        </w:rPr>
      </w:pPr>
    </w:p>
    <w:p w14:paraId="344459CC" w14:textId="77777777" w:rsidR="002A7E48" w:rsidRPr="002A7E48" w:rsidRDefault="002A7E48" w:rsidP="002A7E48">
      <w:pPr>
        <w:keepNext/>
        <w:keepLines/>
        <w:spacing w:after="0" w:line="240" w:lineRule="auto"/>
        <w:outlineLvl w:val="1"/>
        <w:rPr>
          <w:rFonts w:ascii="Arial" w:eastAsia="Times New Roman" w:hAnsi="Arial" w:cs="Times New Roman"/>
          <w:b/>
          <w:sz w:val="24"/>
          <w:szCs w:val="26"/>
        </w:rPr>
      </w:pPr>
      <w:r w:rsidRPr="002A7E48">
        <w:rPr>
          <w:rFonts w:ascii="Arial" w:eastAsia="Times New Roman" w:hAnsi="Arial" w:cs="Times New Roman"/>
          <w:b/>
          <w:sz w:val="24"/>
          <w:szCs w:val="26"/>
        </w:rPr>
        <w:t xml:space="preserve">PO 6 </w:t>
      </w:r>
    </w:p>
    <w:p w14:paraId="3D35AD18" w14:textId="77777777" w:rsidR="002A7E48" w:rsidRPr="002A7E48" w:rsidRDefault="002A7E48" w:rsidP="002A7E48">
      <w:pPr>
        <w:autoSpaceDE w:val="0"/>
        <w:autoSpaceDN w:val="0"/>
        <w:adjustRightInd w:val="0"/>
        <w:spacing w:after="0" w:line="240" w:lineRule="auto"/>
        <w:jc w:val="both"/>
        <w:rPr>
          <w:rFonts w:ascii="Arial" w:eastAsia="Calibri" w:hAnsi="Arial" w:cs="Arial"/>
          <w:color w:val="000000"/>
          <w:sz w:val="20"/>
          <w:szCs w:val="20"/>
        </w:rPr>
      </w:pPr>
      <w:r w:rsidRPr="002A7E48">
        <w:rPr>
          <w:rFonts w:ascii="Arial" w:eastAsia="Calibri" w:hAnsi="Arial" w:cs="Arial"/>
          <w:color w:val="000000"/>
          <w:sz w:val="20"/>
          <w:szCs w:val="20"/>
        </w:rPr>
        <w:t xml:space="preserve">V okviru prednostne naložbe 6.2 (6d) se je, zaradi ukrepov za zmanjšanje posledic epidemije COVID – 19, del sredstev (cca 9 mio EUR) prerazporedil na druge prednostne osi, na katerih so bili izvedeni nujni ukrepi za ublažitev posledic epidemije COVID – 19 (zdravstvo, podjetništvo). Zaradi zmanjšanja sredstev so odpadli trije pripravljeni projekti, kar vodi v zmanjšanje kazalnika 6.7 »Naravovarstveno urejene površine za javni dostop« iz 250 ha na 160 ha. </w:t>
      </w:r>
    </w:p>
    <w:p w14:paraId="4F3E3E38" w14:textId="77777777" w:rsidR="002A7E48" w:rsidRPr="002A7E48" w:rsidRDefault="002A7E48" w:rsidP="002A7E48">
      <w:pPr>
        <w:spacing w:after="0" w:line="240" w:lineRule="auto"/>
        <w:jc w:val="both"/>
        <w:rPr>
          <w:rFonts w:ascii="Arial" w:eastAsia="Calibri" w:hAnsi="Arial" w:cs="Arial"/>
          <w:sz w:val="20"/>
          <w:szCs w:val="20"/>
        </w:rPr>
      </w:pPr>
    </w:p>
    <w:p w14:paraId="21E5D5A5" w14:textId="77777777" w:rsidR="002A7E48" w:rsidRPr="002A7E48" w:rsidRDefault="002A7E48" w:rsidP="002A7E48">
      <w:pPr>
        <w:keepNext/>
        <w:keepLines/>
        <w:spacing w:after="0" w:line="240" w:lineRule="auto"/>
        <w:outlineLvl w:val="1"/>
        <w:rPr>
          <w:rFonts w:ascii="Arial" w:eastAsia="Times New Roman" w:hAnsi="Arial" w:cs="Times New Roman"/>
          <w:b/>
          <w:sz w:val="24"/>
          <w:szCs w:val="26"/>
        </w:rPr>
      </w:pPr>
      <w:r w:rsidRPr="002A7E48">
        <w:rPr>
          <w:rFonts w:ascii="Arial" w:eastAsia="Times New Roman" w:hAnsi="Arial" w:cs="Times New Roman"/>
          <w:b/>
          <w:sz w:val="24"/>
          <w:szCs w:val="26"/>
        </w:rPr>
        <w:t>PO 7</w:t>
      </w:r>
    </w:p>
    <w:p w14:paraId="0941D29E" w14:textId="77777777" w:rsidR="002A7E48" w:rsidRPr="002A7E48" w:rsidRDefault="002A7E48" w:rsidP="002A7E48">
      <w:pPr>
        <w:spacing w:after="0" w:line="240" w:lineRule="auto"/>
        <w:jc w:val="both"/>
        <w:rPr>
          <w:rFonts w:ascii="Arial" w:eastAsia="Calibri" w:hAnsi="Arial" w:cs="Arial"/>
          <w:b/>
          <w:i/>
          <w:sz w:val="20"/>
          <w:szCs w:val="20"/>
        </w:rPr>
      </w:pPr>
      <w:r w:rsidRPr="002A7E48">
        <w:rPr>
          <w:rFonts w:ascii="Arial" w:eastAsia="Calibri" w:hAnsi="Arial" w:cs="Arial"/>
          <w:b/>
          <w:i/>
          <w:sz w:val="20"/>
          <w:szCs w:val="20"/>
        </w:rPr>
        <w:t>PN 7.1 »Razvoj in obnova celostnih, visokokakovostnih in interoperabilnih železniških sistemov ter spodbujanje ukrepov za zmanjševanje hrupa«</w:t>
      </w:r>
    </w:p>
    <w:p w14:paraId="3D39A94D"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V okviru prednostne naložbe 7.1 (7iii) je treba kazalnik rezultata 7.2. »železniški potniški prevoz« prilagoditi. Na osnovi vpliva migrantske krize, epidemije Covid19 ter s tem povezanih dejavnikov in vpliva intenzivnega investicijskega cikla modernizacije javne železniške infrastrukture v Sloveniji, se predlaga znižanje ciljne vrednosti kazalnika rezultata za l. 2023 iz 16,74 mio potnikov na 14,60 mio potnikov v l. 2023, kot je znašala izhodiščna vrednost kazalnika v l. 2015.</w:t>
      </w:r>
    </w:p>
    <w:p w14:paraId="6820C7C3" w14:textId="77777777" w:rsidR="002A7E48" w:rsidRPr="002A7E48" w:rsidRDefault="002A7E48" w:rsidP="002A7E48">
      <w:pPr>
        <w:spacing w:after="0" w:line="240" w:lineRule="auto"/>
        <w:jc w:val="both"/>
        <w:rPr>
          <w:rFonts w:ascii="Arial" w:eastAsia="Calibri" w:hAnsi="Arial" w:cs="Arial"/>
          <w:sz w:val="20"/>
          <w:szCs w:val="20"/>
        </w:rPr>
      </w:pPr>
    </w:p>
    <w:p w14:paraId="4C9C670B"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 xml:space="preserve">Zaradi prenosa pravic porabe Kohezijskega sklada iz prednostne osi 4 in prednostne osi 5 na prednostno naložbo 7.1 (7iii) se povečajo pravice porabe na kodi razsežnosti 24 »železnice (osrednje omrežje TEN)« v višini </w:t>
      </w:r>
      <w:r w:rsidRPr="002A7E48">
        <w:rPr>
          <w:rFonts w:ascii="Arial" w:eastAsia="Times New Roman" w:hAnsi="Arial" w:cs="Arial"/>
          <w:sz w:val="20"/>
          <w:szCs w:val="20"/>
        </w:rPr>
        <w:t>20.104.032</w:t>
      </w:r>
      <w:r w:rsidRPr="002A7E48">
        <w:rPr>
          <w:rFonts w:ascii="Arial" w:eastAsia="Calibri" w:hAnsi="Arial" w:cs="Arial"/>
          <w:sz w:val="20"/>
          <w:szCs w:val="20"/>
        </w:rPr>
        <w:t xml:space="preserve"> EUR. Sredstva se bodo namenila za zagotavljanje pokrivanja podfinanciranosti projekta Nadgradnja železniške proge Maribor – Šentilj – d.m, ki zaradi omejenosti sredstev OP ni financiran v polnem obsegu.</w:t>
      </w:r>
    </w:p>
    <w:p w14:paraId="2729FDB8" w14:textId="77777777" w:rsidR="002A7E48" w:rsidRPr="002A7E48" w:rsidRDefault="002A7E48" w:rsidP="002A7E48">
      <w:pPr>
        <w:spacing w:after="0" w:line="240" w:lineRule="auto"/>
        <w:jc w:val="both"/>
        <w:rPr>
          <w:rFonts w:ascii="Arial" w:eastAsia="Calibri" w:hAnsi="Arial" w:cs="Arial"/>
          <w:sz w:val="20"/>
          <w:szCs w:val="20"/>
        </w:rPr>
      </w:pPr>
    </w:p>
    <w:p w14:paraId="10F744D4" w14:textId="77777777" w:rsidR="002A7E48" w:rsidRPr="002A7E48" w:rsidRDefault="002A7E48" w:rsidP="002A7E48">
      <w:pPr>
        <w:spacing w:after="0" w:line="240" w:lineRule="auto"/>
        <w:jc w:val="both"/>
        <w:rPr>
          <w:rFonts w:ascii="Arial" w:eastAsia="Calibri" w:hAnsi="Arial" w:cs="Arial"/>
          <w:b/>
          <w:i/>
          <w:sz w:val="20"/>
          <w:szCs w:val="20"/>
        </w:rPr>
      </w:pPr>
      <w:r w:rsidRPr="002A7E48">
        <w:rPr>
          <w:rFonts w:ascii="Arial" w:eastAsia="Calibri" w:hAnsi="Arial" w:cs="Arial"/>
          <w:b/>
          <w:i/>
          <w:sz w:val="20"/>
          <w:szCs w:val="20"/>
        </w:rPr>
        <w:t>PN 7.2 »Izboljšanje regionalne mobilnosti s povezovanjem sekundarnih in terciarnih prometnih vozlišč z infrastrukturo TEN-T, tudi prek multimodalnih vozlišč«</w:t>
      </w:r>
    </w:p>
    <w:p w14:paraId="79182957" w14:textId="77777777" w:rsidR="002A7E48" w:rsidRPr="002A7E48" w:rsidRDefault="002A7E48" w:rsidP="002A7E48">
      <w:pPr>
        <w:spacing w:after="0" w:line="240" w:lineRule="auto"/>
        <w:jc w:val="both"/>
        <w:rPr>
          <w:rFonts w:ascii="Arial" w:eastAsia="Calibri" w:hAnsi="Arial" w:cs="Arial"/>
          <w:b/>
          <w:i/>
          <w:sz w:val="20"/>
          <w:szCs w:val="20"/>
        </w:rPr>
      </w:pPr>
      <w:r w:rsidRPr="002A7E48">
        <w:rPr>
          <w:rFonts w:ascii="Arial" w:eastAsia="Calibri" w:hAnsi="Arial" w:cs="Arial"/>
          <w:sz w:val="20"/>
          <w:szCs w:val="20"/>
        </w:rPr>
        <w:t>V okviru prednostne naložbe 7.2 (7b) »Izboljšanje regionalne mobilnosti s povezovanjem sekundarnih in terciarnih prometnih vozlišč z infrastrukturo TEN-T, tudi prek multimodalnih vozlišč« je potrebno iz besedila izključiti projekt Izgradnja 3. razvojne osi jug, 1. in 2. etapa nove prometne povezave Novo mesto vzhod-priključek Maline. Gradbeno dovoljenje za omenjeni projekt namreč ne bo izdano in pravnomočno v roku, ki bi omogočal dokončanje projekta do konca finančne perspektive 2014 – 2020.</w:t>
      </w:r>
    </w:p>
    <w:p w14:paraId="2EF6F4E1"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 xml:space="preserve">Vsled temu je potrebno izvesti spremembo kazalnika rezultata in kazalnika učinka z upoštevanjem  projektov sofinanciranih preko mehanizma Dogovor za razvoj regij ter projekt izločiti iz seznama velikih projektov. </w:t>
      </w:r>
    </w:p>
    <w:p w14:paraId="531D2265"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Nedodeljena sredstva ESRR Vzhod na tej prednostni naložbi v višini 28,5 mio EUR (EU del) se prerazporedijo na prednostne naložbe 4.4. (4e)  »Spodbujanje nizkoogljičnih strategij za vse vrste območij, zlasti za urbana območja, vključno s spodbujanjem trajnostne multimodalne urbane mobilnosti in ustreznimi omilitvenimi prilagoditvenimi ukrepi« za ukrepe izgradnje regionalnih kolesarskih povezav, ki se izvajajo v okviru mehanizma dogovora za razvoj regij, kjer je trenutno znatno več dodeljenih sredstev glede na pravice porabe.</w:t>
      </w:r>
    </w:p>
    <w:p w14:paraId="1FBD618C" w14:textId="77777777" w:rsidR="002A7E48" w:rsidRPr="002A7E48" w:rsidRDefault="002A7E48" w:rsidP="002A7E48">
      <w:pPr>
        <w:keepNext/>
        <w:keepLines/>
        <w:spacing w:after="0" w:line="240" w:lineRule="auto"/>
        <w:outlineLvl w:val="1"/>
        <w:rPr>
          <w:rFonts w:ascii="Arial" w:eastAsia="Times New Roman" w:hAnsi="Arial" w:cs="Arial"/>
          <w:b/>
          <w:sz w:val="20"/>
          <w:szCs w:val="20"/>
        </w:rPr>
      </w:pPr>
    </w:p>
    <w:p w14:paraId="3F53FE11" w14:textId="77777777" w:rsidR="002A7E48" w:rsidRPr="002A7E48" w:rsidRDefault="002A7E48" w:rsidP="002A7E48">
      <w:pPr>
        <w:keepNext/>
        <w:keepLines/>
        <w:spacing w:after="0" w:line="240" w:lineRule="auto"/>
        <w:outlineLvl w:val="1"/>
        <w:rPr>
          <w:rFonts w:ascii="Arial" w:eastAsia="Times New Roman" w:hAnsi="Arial" w:cs="Times New Roman"/>
          <w:b/>
          <w:sz w:val="24"/>
          <w:szCs w:val="26"/>
        </w:rPr>
      </w:pPr>
      <w:r w:rsidRPr="002A7E48">
        <w:rPr>
          <w:rFonts w:ascii="Arial" w:eastAsia="Times New Roman" w:hAnsi="Arial" w:cs="Times New Roman"/>
          <w:b/>
          <w:sz w:val="24"/>
          <w:szCs w:val="26"/>
        </w:rPr>
        <w:t xml:space="preserve">PO 8 </w:t>
      </w:r>
    </w:p>
    <w:p w14:paraId="1446B396" w14:textId="77777777" w:rsidR="002A7E48" w:rsidRPr="002A7E48" w:rsidRDefault="002A7E48" w:rsidP="002A7E48">
      <w:pPr>
        <w:spacing w:after="0" w:line="240" w:lineRule="auto"/>
        <w:jc w:val="both"/>
        <w:rPr>
          <w:rFonts w:ascii="Arial" w:eastAsia="Calibri" w:hAnsi="Arial" w:cs="Arial"/>
          <w:b/>
          <w:i/>
          <w:sz w:val="20"/>
          <w:szCs w:val="20"/>
        </w:rPr>
      </w:pPr>
      <w:r w:rsidRPr="002A7E48">
        <w:rPr>
          <w:rFonts w:ascii="Arial" w:eastAsia="Calibri" w:hAnsi="Arial" w:cs="Arial"/>
          <w:b/>
          <w:i/>
          <w:sz w:val="20"/>
          <w:szCs w:val="20"/>
        </w:rPr>
        <w:t>PN 8.2 Trajnostna vključitev mladih na trg dela (ESS), zlasti tistih, ki niso niti zaposleni niti vključeni v izobraževanje ali usposabljanje, vključno z mladimi, ki jim grozi socialna izključenost, in mladimi iz marginaliziranih skupnosti, tudi prek izvajanja jamstva za mlade</w:t>
      </w:r>
    </w:p>
    <w:p w14:paraId="77643A0F" w14:textId="77777777" w:rsidR="002A7E48" w:rsidRPr="002A7E48" w:rsidRDefault="002A7E48" w:rsidP="002A7E48">
      <w:pPr>
        <w:autoSpaceDE w:val="0"/>
        <w:autoSpaceDN w:val="0"/>
        <w:adjustRightInd w:val="0"/>
        <w:spacing w:after="0" w:line="240" w:lineRule="auto"/>
        <w:jc w:val="both"/>
        <w:rPr>
          <w:rFonts w:ascii="Arial" w:eastAsia="Calibri" w:hAnsi="Arial" w:cs="Arial"/>
          <w:sz w:val="20"/>
          <w:szCs w:val="20"/>
        </w:rPr>
      </w:pPr>
      <w:r w:rsidRPr="002A7E48">
        <w:rPr>
          <w:rFonts w:ascii="Arial" w:eastAsia="Calibri" w:hAnsi="Arial" w:cs="Arial"/>
          <w:sz w:val="20"/>
          <w:szCs w:val="20"/>
        </w:rPr>
        <w:t xml:space="preserve">Zaradi spremljanja podatkov na ravni EK je potrebno na PN 8.2 pri poročanju o YEI (8ii YEI) v delu kazalnikov dodati navezavo na kazalnike učinka (CRO1 in CRO2 na kazalnik učinka CO1 ter CRO4 in CRO5 na kazalnik učinka CO2). </w:t>
      </w:r>
    </w:p>
    <w:p w14:paraId="5B1456F8" w14:textId="77777777" w:rsidR="002A7E48" w:rsidRPr="002A7E48" w:rsidRDefault="002A7E48" w:rsidP="002A7E48">
      <w:pPr>
        <w:spacing w:after="0" w:line="240" w:lineRule="auto"/>
        <w:jc w:val="both"/>
        <w:rPr>
          <w:rFonts w:ascii="Arial" w:eastAsia="Calibri" w:hAnsi="Arial" w:cs="Arial"/>
          <w:sz w:val="20"/>
          <w:szCs w:val="20"/>
        </w:rPr>
      </w:pPr>
    </w:p>
    <w:p w14:paraId="36595C4F" w14:textId="77777777" w:rsidR="002A7E48" w:rsidRPr="002A7E48" w:rsidRDefault="002A7E48" w:rsidP="002A7E48">
      <w:pPr>
        <w:keepNext/>
        <w:keepLines/>
        <w:spacing w:after="0" w:line="240" w:lineRule="auto"/>
        <w:jc w:val="both"/>
        <w:outlineLvl w:val="1"/>
        <w:rPr>
          <w:rFonts w:ascii="Arial" w:eastAsia="Times New Roman" w:hAnsi="Arial" w:cs="Times New Roman"/>
          <w:b/>
          <w:sz w:val="24"/>
          <w:szCs w:val="26"/>
        </w:rPr>
      </w:pPr>
      <w:r w:rsidRPr="002A7E48">
        <w:rPr>
          <w:rFonts w:ascii="Arial" w:eastAsia="Times New Roman" w:hAnsi="Arial" w:cs="Times New Roman"/>
          <w:b/>
          <w:sz w:val="24"/>
          <w:szCs w:val="26"/>
        </w:rPr>
        <w:t>PO 9</w:t>
      </w:r>
    </w:p>
    <w:p w14:paraId="1D3711FA" w14:textId="77777777" w:rsidR="002A7E48" w:rsidRPr="002A7E48" w:rsidRDefault="002A7E48" w:rsidP="002A7E48">
      <w:pPr>
        <w:spacing w:after="0" w:line="240" w:lineRule="auto"/>
        <w:rPr>
          <w:rFonts w:ascii="Arial" w:eastAsia="Calibri" w:hAnsi="Arial" w:cs="Arial"/>
          <w:b/>
          <w:i/>
          <w:sz w:val="20"/>
          <w:szCs w:val="20"/>
        </w:rPr>
      </w:pPr>
      <w:r w:rsidRPr="002A7E48">
        <w:rPr>
          <w:rFonts w:ascii="Arial" w:eastAsia="Calibri" w:hAnsi="Arial" w:cs="Arial"/>
          <w:b/>
          <w:i/>
          <w:sz w:val="20"/>
          <w:szCs w:val="20"/>
        </w:rPr>
        <w:t>PN 9.1 Aktivno vključevanje, tudi za spodbujanje enakih možnosti in aktivne udeležbe, ter povečanje zaposljivosti</w:t>
      </w:r>
    </w:p>
    <w:p w14:paraId="64B95E0A"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 xml:space="preserve">Na prednostni naložbi 9.1 (9i) je izkazana potreba po nižanju kazalnika okvira uspešnosti 9.8 »Število oseb iz ranljivih ciljnih skupin vključenih v program«, saj kaže, da v bolj razviti regiji ne bo dosežen. V času programiranja OP EKP 2014-2020 je bilo predvideno, da bo za izvedbo projektov socialne </w:t>
      </w:r>
      <w:r w:rsidRPr="002A7E48">
        <w:rPr>
          <w:rFonts w:ascii="Arial" w:eastAsia="Calibri" w:hAnsi="Arial" w:cs="Arial"/>
          <w:sz w:val="20"/>
          <w:szCs w:val="20"/>
        </w:rPr>
        <w:lastRenderedPageBreak/>
        <w:t>aktivacije v KRZS, namenjeno 35 mio EUR. V skladu s načrtovanimi sredstvi je bilo predvideno, da se bo v programe vključilo 8.550 oseb iz ranljivih ciljnih skupin v bolj razviti regiji. V okviru javnih razpisov za programe socialne aktivacije je bilo vključenih 3.536 oseb, 2.239 oseb iz ranljivih ciljnih skupin je bilo vključenih v različne ukrepe, ki spodbujajo enake možnosti in preprečujejo socialno izključenost. Del sredstev se je namenilo tudi drugim ukrepom, ki sicer pomembno vplivajo na večjo socialno vključenost, spodbujanje enakih možnosti in zmanjševanje tveganja revščine, a ne prispevajo k načrtovanim kazalnikom. K nižjemu številu vključenih v program je prispevalo tudi nepredvideno obdobje COVID-19 krize, zaradi česar so se določene aktivnosti v tem času zaustavile in tako niso bile izvedene v obsegu, kot je bilo predvideno. Prav tako se je del sredstev namenil ukrepom blaženju krize COVID – 19, ki niso prispevali k temu kazalniku.</w:t>
      </w:r>
    </w:p>
    <w:p w14:paraId="365984A5" w14:textId="77777777" w:rsidR="002A7E48" w:rsidRPr="002A7E48" w:rsidRDefault="002A7E48" w:rsidP="002A7E48">
      <w:pPr>
        <w:spacing w:after="0" w:line="240" w:lineRule="auto"/>
        <w:jc w:val="both"/>
        <w:rPr>
          <w:rFonts w:ascii="Arial" w:eastAsia="Calibri" w:hAnsi="Arial" w:cs="Arial"/>
          <w:sz w:val="20"/>
          <w:szCs w:val="20"/>
        </w:rPr>
      </w:pPr>
    </w:p>
    <w:p w14:paraId="23426DB5" w14:textId="77777777" w:rsidR="002A7E48" w:rsidRPr="002A7E48" w:rsidRDefault="002A7E48" w:rsidP="002A7E48">
      <w:pPr>
        <w:spacing w:after="0" w:line="240" w:lineRule="auto"/>
        <w:jc w:val="both"/>
        <w:rPr>
          <w:rFonts w:ascii="Arial" w:eastAsia="Calibri" w:hAnsi="Arial" w:cs="Arial"/>
          <w:b/>
          <w:i/>
          <w:sz w:val="20"/>
          <w:szCs w:val="20"/>
        </w:rPr>
      </w:pPr>
      <w:r w:rsidRPr="002A7E48">
        <w:rPr>
          <w:rFonts w:ascii="Arial" w:eastAsia="Calibri" w:hAnsi="Arial" w:cs="Arial"/>
          <w:b/>
          <w:i/>
          <w:sz w:val="20"/>
          <w:szCs w:val="20"/>
        </w:rPr>
        <w:t>PN 9.3 Vlaganje v zdravstveno in socialno infrastrukturo, ki prispeva k razvoju na nacionalni, regionalni in lokalni ravni, zmanjšanje neenakosti glede zdravstvenega stanja, spodbujanje socialnega vključevanja z lažjim dostopom do socialnih, kulturnih in rekreacijskih storitev in prehod z institucionalnih storitev na storitve v okviru lokalnih skupnosti</w:t>
      </w:r>
    </w:p>
    <w:p w14:paraId="46778255"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Na prednostni naložbi 9.3 (9a) se je v času priprave spremembe OP zaradi vključitve React EU sredstev predvidelo izvedbo ukrepa, ki bi vključeval kazalnik CV33 »Subjekti, ki so prejeli podporo za boj proti COVID – 19«. Prvotno je bilo predvideno več tovrstnih ukrepov, vendar se je na koncu izkazala nižja potreba. Ukrep, ki prispeva k temu kazalniku se je v manjšem obsegu  izvedel v okviru prednostne naložbe 9.1. (9i) z ESS sredstvi. Predlaga se, da se kazalnik CV33 spremlja le na PN 9.1. in se ciljna vrednost (za leto 2023) kazalnika CV33 na PN 9.3 zmanjša na 0.</w:t>
      </w:r>
    </w:p>
    <w:p w14:paraId="71CFDEF4"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Ukrep, ki se je izvedel je bil Mobilni timi za rehabilitacijo ranljive skupine ljudi, ki  zaradi težav v pomičnosti, odsotnosti socialne mreže ali drugih oviranosti težje dostopajo do storitev rehabilitacije v trenutni organiziranosti izvajalcev v javni mreži in so starejši od 65 let ter živijo doma. Podprta sta bila dva taka tima. Zato predlagamo, da se kazalnik CV33 zmanjša na 2.</w:t>
      </w:r>
    </w:p>
    <w:p w14:paraId="4EA91BF1" w14:textId="77777777" w:rsidR="002A7E48" w:rsidRPr="002A7E48" w:rsidRDefault="002A7E48" w:rsidP="002A7E48">
      <w:pPr>
        <w:spacing w:after="0" w:line="240" w:lineRule="auto"/>
        <w:jc w:val="both"/>
        <w:rPr>
          <w:rFonts w:ascii="Arial" w:eastAsia="Calibri" w:hAnsi="Arial" w:cs="Arial"/>
          <w:sz w:val="20"/>
          <w:szCs w:val="20"/>
        </w:rPr>
      </w:pPr>
    </w:p>
    <w:p w14:paraId="48A1DC92" w14:textId="77777777" w:rsidR="002A7E48" w:rsidRPr="002A7E48" w:rsidRDefault="002A7E48" w:rsidP="002A7E48">
      <w:pPr>
        <w:keepNext/>
        <w:keepLines/>
        <w:spacing w:after="0" w:line="240" w:lineRule="auto"/>
        <w:outlineLvl w:val="1"/>
        <w:rPr>
          <w:rFonts w:ascii="Arial" w:eastAsia="Times New Roman" w:hAnsi="Arial" w:cs="Times New Roman"/>
          <w:b/>
          <w:sz w:val="24"/>
          <w:szCs w:val="26"/>
        </w:rPr>
      </w:pPr>
      <w:r w:rsidRPr="002A7E48">
        <w:rPr>
          <w:rFonts w:ascii="Arial" w:eastAsia="Times New Roman" w:hAnsi="Arial" w:cs="Times New Roman"/>
          <w:b/>
          <w:sz w:val="24"/>
          <w:szCs w:val="26"/>
        </w:rPr>
        <w:t>PO15</w:t>
      </w:r>
    </w:p>
    <w:p w14:paraId="049795B9" w14:textId="77777777" w:rsidR="002A7E48" w:rsidRPr="002A7E48" w:rsidRDefault="002A7E48" w:rsidP="002A7E48">
      <w:pPr>
        <w:spacing w:after="0" w:line="240" w:lineRule="auto"/>
        <w:rPr>
          <w:rFonts w:ascii="Arial" w:eastAsia="Calibri" w:hAnsi="Arial" w:cs="Arial"/>
          <w:b/>
          <w:i/>
          <w:sz w:val="20"/>
          <w:szCs w:val="20"/>
        </w:rPr>
      </w:pPr>
      <w:r w:rsidRPr="002A7E48">
        <w:rPr>
          <w:rFonts w:ascii="Arial" w:eastAsia="Calibri" w:hAnsi="Arial" w:cs="Arial"/>
          <w:b/>
          <w:i/>
          <w:sz w:val="20"/>
          <w:szCs w:val="20"/>
        </w:rPr>
        <w:t>Področje krepitev odpornosti zdravstvenih sistemov</w:t>
      </w:r>
    </w:p>
    <w:p w14:paraId="46579507"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Na prednostni naložbi 15.1 (13i) se predlaga sprememba besedila v delu »Področje krepitev odpornosti zdravstvenih sistemov«. In sicer se je izkazalo, da projekt »Energetska sanacija stavbe UKC Hospital« ne bo izvedljiv do konca leta 2023 in se ga je zato umaknilo iz predlaganega sofinanciranja s React EU sredstvi. Posledično se predlaga vključitev projektov s področja zdravstva, ki so prav tako posledica epidemije COVID – 19, vendar v času priprave spremembe OP 6.0 oziroma 7.0 njihova izvedba še ni bila mogoča, saj so se potrebe po teh projektih izkazale naknadno. Predlagata se dva projekta in sicer:</w:t>
      </w:r>
    </w:p>
    <w:p w14:paraId="28FCF793"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1. COVID19 - NIJZ Logistični center: trenutna lokacija SPC in prostorov za sprejem, pripravo in distribucijo je lokacijsko, prostorsko, logistično ter glede zagotavljanja pogojev skladno s standardi farmacevtske stroke neprimerna, kar se je izkazalo tudi pri epidemiji COVID-19. NIJZ je bil primoran del distribucije cepiv proti COVID-19 prenesti na zunanjega izvajalca, kar prinaša dodatno delo (dve različni lokaciji, dva sistema kakovosti, povezava dveh IT sistemov) in dodatne stroške. V Sloveniji ni ustreznih dodatnih kapacitet, ki bi jih lahko najeli, zato je nujno potrebna izgradnja zamrzovalne komore za shranjevanje cepiv na temperaturi od -15°C do -25°C. Glavni cilj vzpostavitve logističnega centra NIJZ in prostorov SPC je zagotavljanje pogojev za optimalno delo in skladiščenje ter razvoz cepiv v vseh razmerah delovanja ter za daljše časovno obdobje (30 let). Investicija bo tako z organizacijskega vidika kot tudi z vidika standardov farmacevtske stroke omogočala optimalen in nemoten potek dela v varnem in stabilnem okolju tudi ob nenadnih izbruhih nalezljivih bolezni v prihodnje;</w:t>
      </w:r>
    </w:p>
    <w:p w14:paraId="0BB28791"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2. COVID19 – nakup drage medicinske opreme: Nabava medicinske opreme je nujna z vidika uspešnega zdravljenja in obvladovanja COVID-19 situacije. V času priprave projektov REACT EU je Ministrstvo za zdravje prepoznalo nabavo opreme kot ključno, vendar je prioritiziralo investicije v še bolj nujne stavbe javnih zdravstvenih zavodov (JZZ). V času epidemije COVID je prišlo do velikih zastojev pri načrtovanih diagnostičnih posegih. Še posebej velika je bila obremenitev aparatov za slikovno diagnostiko, saj je bilo treba na istih napravah izvajati ločeno diagnostiko za bolnike z ali brez okužbe COVID. Zaradi potrebe po razločevanju bolnikov, ki so bili okuženi ali zboleli za COVID pljučnico, so se pri dostopu do diagnostičnih in tudi terapevtskih posegov pojavile potrebe po podvajanju nekaterih naprav, ki so nujno potrebne v procesu diagnostike in zdravljenja. Z nabavo opreme se bo omogočilo nadoknaditi zamujeno ter hkrati v bodoče zagotoviti hitrejši dostop do diagnostičnih in terapevtskih storitev, kadar se bodo na eni strani pojavili bolniki okuženi ali akutno oboleli za COVID-om ter na drugi strani vsi ostali bolniki. Hkrati bo tudi omogočeno aktivno spremljanje bolnikov po prebolelem COVID-u, še posebej tistih, ki imajo posledice okužbe ali dolgo potekajoč COVID s prizadetostjo različnih organov in vitalnih življenjskih sistemov. Zaradi vključitve ukrepa s področja nakupa medicinske opreme se na PN15.1 vključi nov kazalnik CV2 - vrednost nakupljene medicinske opreme.</w:t>
      </w:r>
    </w:p>
    <w:p w14:paraId="5B076BE3" w14:textId="77777777" w:rsidR="002A7E48" w:rsidRPr="002A7E48" w:rsidRDefault="002A7E48" w:rsidP="002A7E48">
      <w:pPr>
        <w:spacing w:after="0" w:line="240" w:lineRule="auto"/>
        <w:jc w:val="both"/>
        <w:rPr>
          <w:rFonts w:ascii="Arial" w:eastAsia="Calibri" w:hAnsi="Arial" w:cs="Arial"/>
          <w:b/>
          <w:i/>
          <w:sz w:val="20"/>
          <w:szCs w:val="20"/>
        </w:rPr>
      </w:pPr>
    </w:p>
    <w:p w14:paraId="46C2D5BB" w14:textId="77777777" w:rsidR="002A7E48" w:rsidRPr="002A7E48" w:rsidRDefault="002A7E48" w:rsidP="002A7E48">
      <w:pPr>
        <w:spacing w:after="0" w:line="240" w:lineRule="auto"/>
        <w:jc w:val="both"/>
        <w:rPr>
          <w:rFonts w:ascii="Arial" w:eastAsia="Calibri" w:hAnsi="Arial" w:cs="Arial"/>
          <w:b/>
          <w:i/>
          <w:sz w:val="20"/>
          <w:szCs w:val="20"/>
        </w:rPr>
      </w:pPr>
      <w:r w:rsidRPr="002A7E48">
        <w:rPr>
          <w:rFonts w:ascii="Arial" w:eastAsia="Calibri" w:hAnsi="Arial" w:cs="Arial"/>
          <w:b/>
          <w:i/>
          <w:sz w:val="20"/>
          <w:szCs w:val="20"/>
        </w:rPr>
        <w:t>Celovite energetske prenove stavb zdravstvene infrastrukture posebnega pomena zaradi COVID – 19</w:t>
      </w:r>
    </w:p>
    <w:p w14:paraId="3B8E40D9"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V delu »Celovite energetske prenove stavb zdravstvene infrastrukture posebnega pomena zaradi COVID – 19« se izmed predlaganih projektov zaradi neizvedljivosti do konca leta 2023, briše:</w:t>
      </w:r>
    </w:p>
    <w:p w14:paraId="5B5A9D79"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  Glavna stavba »Hospital« UKC Ljubljana, Zaloška cesta 7, Ljubljana,</w:t>
      </w:r>
    </w:p>
    <w:p w14:paraId="3E58003A"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  Infekcijska in gastroenterološka klinika, Japljeva ulica 2, Ljubljana,</w:t>
      </w:r>
    </w:p>
    <w:p w14:paraId="510D7FAB"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  Bolnišnica za ginekologijo in porodništvo Kranj,  Kidričeva 38a, Kranj,</w:t>
      </w:r>
    </w:p>
    <w:p w14:paraId="0DE7B1B8"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 COVID19 - Energetska sanacija SB Nova Gorica,</w:t>
      </w:r>
    </w:p>
    <w:p w14:paraId="0C999738"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 COVID19 - Energetska sanacija stavbe MFT UKC Maribor.</w:t>
      </w:r>
    </w:p>
    <w:p w14:paraId="7B4AFBBC" w14:textId="77777777" w:rsidR="002A7E48" w:rsidRPr="002A7E48" w:rsidRDefault="002A7E48" w:rsidP="002A7E48">
      <w:pPr>
        <w:spacing w:after="0" w:line="240" w:lineRule="auto"/>
        <w:jc w:val="both"/>
        <w:rPr>
          <w:rFonts w:ascii="Arial" w:eastAsia="Calibri" w:hAnsi="Arial" w:cs="Arial"/>
          <w:sz w:val="20"/>
          <w:szCs w:val="20"/>
        </w:rPr>
      </w:pPr>
    </w:p>
    <w:p w14:paraId="06A84493" w14:textId="77777777" w:rsidR="002A7E48" w:rsidRPr="002A7E48" w:rsidRDefault="002A7E48" w:rsidP="002A7E48">
      <w:pPr>
        <w:spacing w:after="0" w:line="240" w:lineRule="auto"/>
        <w:jc w:val="both"/>
        <w:rPr>
          <w:rFonts w:ascii="Arial" w:eastAsia="Calibri" w:hAnsi="Arial" w:cs="Arial"/>
          <w:b/>
          <w:sz w:val="20"/>
          <w:szCs w:val="20"/>
        </w:rPr>
      </w:pPr>
      <w:r w:rsidRPr="002A7E48">
        <w:rPr>
          <w:rFonts w:ascii="Arial" w:eastAsia="Calibri" w:hAnsi="Arial" w:cs="Arial"/>
          <w:b/>
          <w:sz w:val="20"/>
          <w:szCs w:val="20"/>
        </w:rPr>
        <w:t>Tabela 9: Predlog spremembe kazalnikov:</w:t>
      </w:r>
    </w:p>
    <w:tbl>
      <w:tblPr>
        <w:tblW w:w="9000" w:type="dxa"/>
        <w:tblCellMar>
          <w:left w:w="70" w:type="dxa"/>
          <w:right w:w="70" w:type="dxa"/>
        </w:tblCellMar>
        <w:tblLook w:val="04A0" w:firstRow="1" w:lastRow="0" w:firstColumn="1" w:lastColumn="0" w:noHBand="0" w:noVBand="1"/>
      </w:tblPr>
      <w:tblGrid>
        <w:gridCol w:w="743"/>
        <w:gridCol w:w="4214"/>
        <w:gridCol w:w="1417"/>
        <w:gridCol w:w="1067"/>
        <w:gridCol w:w="1559"/>
      </w:tblGrid>
      <w:tr w:rsidR="002A7E48" w:rsidRPr="002A7E48" w14:paraId="0483F666" w14:textId="77777777" w:rsidTr="0042240D">
        <w:trPr>
          <w:trHeight w:val="300"/>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5B76D3" w14:textId="77777777" w:rsidR="002A7E48" w:rsidRPr="002A7E48" w:rsidRDefault="002A7E48" w:rsidP="002A7E48">
            <w:pPr>
              <w:spacing w:after="0" w:line="240" w:lineRule="auto"/>
              <w:rPr>
                <w:rFonts w:ascii="Arial" w:eastAsia="Times New Roman" w:hAnsi="Arial" w:cs="Arial"/>
                <w:sz w:val="16"/>
                <w:szCs w:val="16"/>
                <w:lang w:eastAsia="sl-SI"/>
              </w:rPr>
            </w:pPr>
            <w:r w:rsidRPr="002A7E48">
              <w:rPr>
                <w:rFonts w:ascii="Arial" w:eastAsia="Times New Roman" w:hAnsi="Arial" w:cs="Arial"/>
                <w:sz w:val="16"/>
                <w:szCs w:val="16"/>
                <w:lang w:eastAsia="sl-SI"/>
              </w:rPr>
              <w:t>IDENT.</w:t>
            </w:r>
          </w:p>
        </w:tc>
        <w:tc>
          <w:tcPr>
            <w:tcW w:w="4214" w:type="dxa"/>
            <w:tcBorders>
              <w:top w:val="single" w:sz="4" w:space="0" w:color="auto"/>
              <w:left w:val="nil"/>
              <w:bottom w:val="single" w:sz="4" w:space="0" w:color="auto"/>
              <w:right w:val="single" w:sz="4" w:space="0" w:color="auto"/>
            </w:tcBorders>
            <w:shd w:val="clear" w:color="auto" w:fill="auto"/>
            <w:noWrap/>
            <w:vAlign w:val="bottom"/>
            <w:hideMark/>
          </w:tcPr>
          <w:p w14:paraId="4FEA31B3" w14:textId="77777777" w:rsidR="002A7E48" w:rsidRPr="002A7E48" w:rsidRDefault="002A7E48" w:rsidP="002A7E48">
            <w:pPr>
              <w:spacing w:after="0" w:line="240" w:lineRule="auto"/>
              <w:rPr>
                <w:rFonts w:ascii="Arial" w:eastAsia="Times New Roman" w:hAnsi="Arial" w:cs="Arial"/>
                <w:sz w:val="16"/>
                <w:szCs w:val="16"/>
                <w:lang w:eastAsia="sl-SI"/>
              </w:rPr>
            </w:pPr>
            <w:r w:rsidRPr="002A7E48">
              <w:rPr>
                <w:rFonts w:ascii="Arial" w:eastAsia="Times New Roman" w:hAnsi="Arial" w:cs="Arial"/>
                <w:sz w:val="16"/>
                <w:szCs w:val="16"/>
                <w:lang w:eastAsia="sl-SI"/>
              </w:rPr>
              <w:t>KAZALNIK</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668190F2" w14:textId="77777777" w:rsidR="002A7E48" w:rsidRPr="002A7E48" w:rsidRDefault="002A7E48" w:rsidP="002A7E48">
            <w:pPr>
              <w:spacing w:after="0" w:line="240" w:lineRule="auto"/>
              <w:rPr>
                <w:rFonts w:ascii="Arial" w:eastAsia="Times New Roman" w:hAnsi="Arial" w:cs="Arial"/>
                <w:sz w:val="16"/>
                <w:szCs w:val="16"/>
                <w:lang w:eastAsia="sl-SI"/>
              </w:rPr>
            </w:pPr>
            <w:r w:rsidRPr="002A7E48">
              <w:rPr>
                <w:rFonts w:ascii="Arial" w:eastAsia="Times New Roman" w:hAnsi="Arial" w:cs="Arial"/>
                <w:sz w:val="16"/>
                <w:szCs w:val="16"/>
                <w:lang w:eastAsia="sl-SI"/>
              </w:rPr>
              <w:t>MERSKA ENOTA</w:t>
            </w:r>
          </w:p>
        </w:tc>
        <w:tc>
          <w:tcPr>
            <w:tcW w:w="1067" w:type="dxa"/>
            <w:tcBorders>
              <w:top w:val="single" w:sz="4" w:space="0" w:color="auto"/>
              <w:left w:val="nil"/>
              <w:bottom w:val="single" w:sz="4" w:space="0" w:color="auto"/>
              <w:right w:val="single" w:sz="4" w:space="0" w:color="auto"/>
            </w:tcBorders>
            <w:shd w:val="clear" w:color="auto" w:fill="auto"/>
            <w:noWrap/>
            <w:vAlign w:val="bottom"/>
            <w:hideMark/>
          </w:tcPr>
          <w:p w14:paraId="13A271E1" w14:textId="77777777" w:rsidR="002A7E48" w:rsidRPr="002A7E48" w:rsidRDefault="002A7E48" w:rsidP="002A7E48">
            <w:pPr>
              <w:spacing w:after="0" w:line="240" w:lineRule="auto"/>
              <w:rPr>
                <w:rFonts w:ascii="Arial" w:eastAsia="Times New Roman" w:hAnsi="Arial" w:cs="Arial"/>
                <w:sz w:val="16"/>
                <w:szCs w:val="16"/>
                <w:lang w:eastAsia="sl-SI"/>
              </w:rPr>
            </w:pPr>
            <w:r w:rsidRPr="002A7E48">
              <w:rPr>
                <w:rFonts w:ascii="Arial" w:eastAsia="Times New Roman" w:hAnsi="Arial" w:cs="Arial"/>
                <w:sz w:val="16"/>
                <w:szCs w:val="16"/>
                <w:lang w:eastAsia="sl-SI"/>
              </w:rPr>
              <w:t>SKLAD</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59F76FAC" w14:textId="77777777" w:rsidR="002A7E48" w:rsidRPr="002A7E48" w:rsidRDefault="002A7E48" w:rsidP="002A7E48">
            <w:pPr>
              <w:spacing w:after="0" w:line="240" w:lineRule="auto"/>
              <w:rPr>
                <w:rFonts w:ascii="Arial" w:eastAsia="Times New Roman" w:hAnsi="Arial" w:cs="Arial"/>
                <w:sz w:val="16"/>
                <w:szCs w:val="16"/>
                <w:lang w:eastAsia="sl-SI"/>
              </w:rPr>
            </w:pPr>
            <w:r w:rsidRPr="002A7E48">
              <w:rPr>
                <w:rFonts w:ascii="Arial" w:eastAsia="Times New Roman" w:hAnsi="Arial" w:cs="Arial"/>
                <w:sz w:val="16"/>
                <w:szCs w:val="16"/>
                <w:lang w:eastAsia="sl-SI"/>
              </w:rPr>
              <w:t>SKUPNA CILJNA VREDNOST (ZA LETO 2023)</w:t>
            </w:r>
          </w:p>
        </w:tc>
      </w:tr>
      <w:tr w:rsidR="002A7E48" w:rsidRPr="002A7E48" w14:paraId="16DB01B0" w14:textId="77777777" w:rsidTr="0042240D">
        <w:trPr>
          <w:trHeight w:val="30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14:paraId="55906385" w14:textId="77777777" w:rsidR="002A7E48" w:rsidRPr="002A7E48" w:rsidRDefault="002A7E48" w:rsidP="002A7E48">
            <w:pPr>
              <w:spacing w:after="0" w:line="240" w:lineRule="auto"/>
              <w:rPr>
                <w:rFonts w:ascii="Arial" w:eastAsia="Times New Roman" w:hAnsi="Arial" w:cs="Arial"/>
                <w:sz w:val="16"/>
                <w:szCs w:val="16"/>
                <w:lang w:eastAsia="sl-SI"/>
              </w:rPr>
            </w:pPr>
            <w:r w:rsidRPr="002A7E48">
              <w:rPr>
                <w:rFonts w:ascii="Arial" w:eastAsia="Times New Roman" w:hAnsi="Arial" w:cs="Arial"/>
                <w:sz w:val="16"/>
                <w:szCs w:val="16"/>
                <w:lang w:eastAsia="sl-SI"/>
              </w:rPr>
              <w:t>15.3.</w:t>
            </w:r>
          </w:p>
        </w:tc>
        <w:tc>
          <w:tcPr>
            <w:tcW w:w="4214" w:type="dxa"/>
            <w:tcBorders>
              <w:top w:val="nil"/>
              <w:left w:val="nil"/>
              <w:bottom w:val="single" w:sz="4" w:space="0" w:color="auto"/>
              <w:right w:val="single" w:sz="4" w:space="0" w:color="auto"/>
            </w:tcBorders>
            <w:shd w:val="clear" w:color="auto" w:fill="auto"/>
            <w:noWrap/>
            <w:vAlign w:val="bottom"/>
            <w:hideMark/>
          </w:tcPr>
          <w:p w14:paraId="1F46D590" w14:textId="77777777" w:rsidR="002A7E48" w:rsidRPr="002A7E48" w:rsidRDefault="002A7E48" w:rsidP="002A7E48">
            <w:pPr>
              <w:spacing w:after="0" w:line="240" w:lineRule="auto"/>
              <w:rPr>
                <w:rFonts w:ascii="Arial" w:eastAsia="Times New Roman" w:hAnsi="Arial" w:cs="Arial"/>
                <w:sz w:val="16"/>
                <w:szCs w:val="16"/>
                <w:lang w:eastAsia="sl-SI"/>
              </w:rPr>
            </w:pPr>
            <w:r w:rsidRPr="002A7E48">
              <w:rPr>
                <w:rFonts w:ascii="Arial" w:eastAsia="Times New Roman" w:hAnsi="Arial" w:cs="Arial"/>
                <w:sz w:val="16"/>
                <w:szCs w:val="16"/>
                <w:lang w:eastAsia="sl-SI"/>
              </w:rPr>
              <w:t>Skupna tlorisna površina energetsko prenovljenih stavb javnega sektorja</w:t>
            </w:r>
          </w:p>
        </w:tc>
        <w:tc>
          <w:tcPr>
            <w:tcW w:w="1417" w:type="dxa"/>
            <w:tcBorders>
              <w:top w:val="nil"/>
              <w:left w:val="nil"/>
              <w:bottom w:val="single" w:sz="4" w:space="0" w:color="auto"/>
              <w:right w:val="single" w:sz="4" w:space="0" w:color="auto"/>
            </w:tcBorders>
            <w:shd w:val="clear" w:color="auto" w:fill="auto"/>
            <w:noWrap/>
            <w:vAlign w:val="bottom"/>
            <w:hideMark/>
          </w:tcPr>
          <w:p w14:paraId="7B7BAC88" w14:textId="77777777" w:rsidR="002A7E48" w:rsidRPr="002A7E48" w:rsidRDefault="002A7E48" w:rsidP="002A7E48">
            <w:pPr>
              <w:spacing w:after="0" w:line="240" w:lineRule="auto"/>
              <w:rPr>
                <w:rFonts w:ascii="Arial" w:eastAsia="Times New Roman" w:hAnsi="Arial" w:cs="Arial"/>
                <w:sz w:val="16"/>
                <w:szCs w:val="16"/>
                <w:lang w:eastAsia="sl-SI"/>
              </w:rPr>
            </w:pPr>
            <w:r w:rsidRPr="002A7E48">
              <w:rPr>
                <w:rFonts w:ascii="Arial" w:eastAsia="Times New Roman" w:hAnsi="Arial" w:cs="Arial"/>
                <w:sz w:val="16"/>
                <w:szCs w:val="16"/>
                <w:lang w:eastAsia="sl-SI"/>
              </w:rPr>
              <w:t>m2</w:t>
            </w:r>
          </w:p>
        </w:tc>
        <w:tc>
          <w:tcPr>
            <w:tcW w:w="1067" w:type="dxa"/>
            <w:tcBorders>
              <w:top w:val="nil"/>
              <w:left w:val="nil"/>
              <w:bottom w:val="single" w:sz="4" w:space="0" w:color="auto"/>
              <w:right w:val="single" w:sz="4" w:space="0" w:color="auto"/>
            </w:tcBorders>
            <w:shd w:val="clear" w:color="auto" w:fill="auto"/>
            <w:noWrap/>
            <w:vAlign w:val="bottom"/>
            <w:hideMark/>
          </w:tcPr>
          <w:p w14:paraId="5296D896" w14:textId="77777777" w:rsidR="002A7E48" w:rsidRPr="002A7E48" w:rsidRDefault="002A7E48" w:rsidP="002A7E48">
            <w:pPr>
              <w:spacing w:after="0" w:line="240" w:lineRule="auto"/>
              <w:rPr>
                <w:rFonts w:ascii="Arial" w:eastAsia="Times New Roman" w:hAnsi="Arial" w:cs="Arial"/>
                <w:sz w:val="16"/>
                <w:szCs w:val="16"/>
                <w:lang w:eastAsia="sl-SI"/>
              </w:rPr>
            </w:pPr>
            <w:r w:rsidRPr="002A7E48">
              <w:rPr>
                <w:rFonts w:ascii="Arial" w:eastAsia="Times New Roman" w:hAnsi="Arial" w:cs="Arial"/>
                <w:sz w:val="16"/>
                <w:szCs w:val="16"/>
                <w:lang w:eastAsia="sl-SI"/>
              </w:rPr>
              <w:t>ESRR REACT-EU</w:t>
            </w:r>
          </w:p>
        </w:tc>
        <w:tc>
          <w:tcPr>
            <w:tcW w:w="1559" w:type="dxa"/>
            <w:tcBorders>
              <w:top w:val="nil"/>
              <w:left w:val="nil"/>
              <w:bottom w:val="single" w:sz="4" w:space="0" w:color="auto"/>
              <w:right w:val="single" w:sz="4" w:space="0" w:color="auto"/>
            </w:tcBorders>
            <w:shd w:val="clear" w:color="auto" w:fill="auto"/>
            <w:noWrap/>
            <w:vAlign w:val="bottom"/>
            <w:hideMark/>
          </w:tcPr>
          <w:p w14:paraId="7FFFE401" w14:textId="77777777" w:rsidR="002A7E48" w:rsidRPr="002A7E48" w:rsidRDefault="002A7E48" w:rsidP="002A7E48">
            <w:pPr>
              <w:spacing w:after="0" w:line="240" w:lineRule="auto"/>
              <w:jc w:val="right"/>
              <w:rPr>
                <w:rFonts w:ascii="Arial" w:eastAsia="Times New Roman" w:hAnsi="Arial" w:cs="Arial"/>
                <w:sz w:val="16"/>
                <w:szCs w:val="16"/>
                <w:lang w:eastAsia="sl-SI"/>
              </w:rPr>
            </w:pPr>
            <w:r w:rsidRPr="002A7E48">
              <w:rPr>
                <w:rFonts w:ascii="Arial" w:eastAsia="Times New Roman" w:hAnsi="Arial" w:cs="Arial"/>
                <w:sz w:val="16"/>
                <w:szCs w:val="16"/>
                <w:lang w:eastAsia="sl-SI"/>
              </w:rPr>
              <w:t>18.117,00</w:t>
            </w:r>
          </w:p>
        </w:tc>
      </w:tr>
      <w:tr w:rsidR="002A7E48" w:rsidRPr="002A7E48" w14:paraId="5038C54C" w14:textId="77777777" w:rsidTr="0042240D">
        <w:trPr>
          <w:trHeight w:val="30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14:paraId="6ADC7236" w14:textId="77777777" w:rsidR="002A7E48" w:rsidRPr="002A7E48" w:rsidRDefault="002A7E48" w:rsidP="002A7E48">
            <w:pPr>
              <w:spacing w:after="0" w:line="240" w:lineRule="auto"/>
              <w:rPr>
                <w:rFonts w:ascii="Arial" w:eastAsia="Times New Roman" w:hAnsi="Arial" w:cs="Arial"/>
                <w:sz w:val="16"/>
                <w:szCs w:val="16"/>
                <w:lang w:eastAsia="sl-SI"/>
              </w:rPr>
            </w:pPr>
            <w:r w:rsidRPr="002A7E48">
              <w:rPr>
                <w:rFonts w:ascii="Arial" w:eastAsia="Times New Roman" w:hAnsi="Arial" w:cs="Arial"/>
                <w:sz w:val="16"/>
                <w:szCs w:val="16"/>
                <w:lang w:eastAsia="sl-SI"/>
              </w:rPr>
              <w:t>CO32</w:t>
            </w:r>
          </w:p>
        </w:tc>
        <w:tc>
          <w:tcPr>
            <w:tcW w:w="4214" w:type="dxa"/>
            <w:tcBorders>
              <w:top w:val="nil"/>
              <w:left w:val="nil"/>
              <w:bottom w:val="single" w:sz="4" w:space="0" w:color="auto"/>
              <w:right w:val="single" w:sz="4" w:space="0" w:color="auto"/>
            </w:tcBorders>
            <w:shd w:val="clear" w:color="auto" w:fill="auto"/>
            <w:noWrap/>
            <w:vAlign w:val="bottom"/>
            <w:hideMark/>
          </w:tcPr>
          <w:p w14:paraId="26166114" w14:textId="77777777" w:rsidR="002A7E48" w:rsidRPr="002A7E48" w:rsidRDefault="002A7E48" w:rsidP="002A7E48">
            <w:pPr>
              <w:spacing w:after="0" w:line="240" w:lineRule="auto"/>
              <w:rPr>
                <w:rFonts w:ascii="Arial" w:eastAsia="Times New Roman" w:hAnsi="Arial" w:cs="Arial"/>
                <w:sz w:val="16"/>
                <w:szCs w:val="16"/>
                <w:lang w:eastAsia="sl-SI"/>
              </w:rPr>
            </w:pPr>
            <w:r w:rsidRPr="002A7E48">
              <w:rPr>
                <w:rFonts w:ascii="Arial" w:eastAsia="Times New Roman" w:hAnsi="Arial" w:cs="Arial"/>
                <w:sz w:val="16"/>
                <w:szCs w:val="16"/>
                <w:lang w:eastAsia="sl-SI"/>
              </w:rPr>
              <w:t>Energetska učinkovitost: Zmanjšanje letne porabe primarne energije v javnih stavbah</w:t>
            </w:r>
          </w:p>
        </w:tc>
        <w:tc>
          <w:tcPr>
            <w:tcW w:w="1417" w:type="dxa"/>
            <w:tcBorders>
              <w:top w:val="nil"/>
              <w:left w:val="nil"/>
              <w:bottom w:val="single" w:sz="4" w:space="0" w:color="auto"/>
              <w:right w:val="single" w:sz="4" w:space="0" w:color="auto"/>
            </w:tcBorders>
            <w:shd w:val="clear" w:color="auto" w:fill="auto"/>
            <w:noWrap/>
            <w:vAlign w:val="bottom"/>
            <w:hideMark/>
          </w:tcPr>
          <w:p w14:paraId="4396FFA0" w14:textId="77777777" w:rsidR="002A7E48" w:rsidRPr="002A7E48" w:rsidRDefault="002A7E48" w:rsidP="002A7E48">
            <w:pPr>
              <w:spacing w:after="0" w:line="240" w:lineRule="auto"/>
              <w:rPr>
                <w:rFonts w:ascii="Arial" w:eastAsia="Times New Roman" w:hAnsi="Arial" w:cs="Arial"/>
                <w:sz w:val="16"/>
                <w:szCs w:val="16"/>
                <w:lang w:eastAsia="sl-SI"/>
              </w:rPr>
            </w:pPr>
            <w:r w:rsidRPr="002A7E48">
              <w:rPr>
                <w:rFonts w:ascii="Arial" w:eastAsia="Times New Roman" w:hAnsi="Arial" w:cs="Arial"/>
                <w:sz w:val="16"/>
                <w:szCs w:val="16"/>
                <w:lang w:eastAsia="sl-SI"/>
              </w:rPr>
              <w:t>kWh/leto</w:t>
            </w:r>
          </w:p>
        </w:tc>
        <w:tc>
          <w:tcPr>
            <w:tcW w:w="1067" w:type="dxa"/>
            <w:tcBorders>
              <w:top w:val="nil"/>
              <w:left w:val="nil"/>
              <w:bottom w:val="single" w:sz="4" w:space="0" w:color="auto"/>
              <w:right w:val="single" w:sz="4" w:space="0" w:color="auto"/>
            </w:tcBorders>
            <w:shd w:val="clear" w:color="auto" w:fill="auto"/>
            <w:noWrap/>
            <w:vAlign w:val="bottom"/>
            <w:hideMark/>
          </w:tcPr>
          <w:p w14:paraId="12D98248" w14:textId="77777777" w:rsidR="002A7E48" w:rsidRPr="002A7E48" w:rsidRDefault="002A7E48" w:rsidP="002A7E48">
            <w:pPr>
              <w:spacing w:after="0" w:line="240" w:lineRule="auto"/>
              <w:rPr>
                <w:rFonts w:ascii="Arial" w:eastAsia="Times New Roman" w:hAnsi="Arial" w:cs="Arial"/>
                <w:sz w:val="16"/>
                <w:szCs w:val="16"/>
                <w:lang w:eastAsia="sl-SI"/>
              </w:rPr>
            </w:pPr>
            <w:r w:rsidRPr="002A7E48">
              <w:rPr>
                <w:rFonts w:ascii="Arial" w:eastAsia="Times New Roman" w:hAnsi="Arial" w:cs="Arial"/>
                <w:sz w:val="16"/>
                <w:szCs w:val="16"/>
                <w:lang w:eastAsia="sl-SI"/>
              </w:rPr>
              <w:t>ESRR REACT-EU</w:t>
            </w:r>
          </w:p>
        </w:tc>
        <w:tc>
          <w:tcPr>
            <w:tcW w:w="1559" w:type="dxa"/>
            <w:tcBorders>
              <w:top w:val="nil"/>
              <w:left w:val="nil"/>
              <w:bottom w:val="single" w:sz="4" w:space="0" w:color="auto"/>
              <w:right w:val="single" w:sz="4" w:space="0" w:color="auto"/>
            </w:tcBorders>
            <w:shd w:val="clear" w:color="auto" w:fill="auto"/>
            <w:noWrap/>
            <w:vAlign w:val="bottom"/>
            <w:hideMark/>
          </w:tcPr>
          <w:p w14:paraId="3D67BFE0" w14:textId="77777777" w:rsidR="002A7E48" w:rsidRPr="002A7E48" w:rsidRDefault="002A7E48" w:rsidP="002A7E48">
            <w:pPr>
              <w:spacing w:after="0" w:line="240" w:lineRule="auto"/>
              <w:jc w:val="right"/>
              <w:rPr>
                <w:rFonts w:ascii="Arial" w:eastAsia="Times New Roman" w:hAnsi="Arial" w:cs="Arial"/>
                <w:sz w:val="16"/>
                <w:szCs w:val="16"/>
                <w:lang w:eastAsia="sl-SI"/>
              </w:rPr>
            </w:pPr>
            <w:r w:rsidRPr="002A7E48">
              <w:rPr>
                <w:rFonts w:ascii="Arial" w:eastAsia="Times New Roman" w:hAnsi="Arial" w:cs="Arial"/>
                <w:sz w:val="16"/>
                <w:szCs w:val="16"/>
                <w:lang w:eastAsia="sl-SI"/>
              </w:rPr>
              <w:t>1.572.500,00</w:t>
            </w:r>
          </w:p>
        </w:tc>
      </w:tr>
      <w:tr w:rsidR="002A7E48" w:rsidRPr="002A7E48" w14:paraId="571FF320" w14:textId="77777777" w:rsidTr="0042240D">
        <w:trPr>
          <w:trHeight w:val="30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14:paraId="2CF5D50B" w14:textId="77777777" w:rsidR="002A7E48" w:rsidRPr="002A7E48" w:rsidRDefault="002A7E48" w:rsidP="002A7E48">
            <w:pPr>
              <w:spacing w:after="0" w:line="240" w:lineRule="auto"/>
              <w:rPr>
                <w:rFonts w:ascii="Arial" w:eastAsia="Times New Roman" w:hAnsi="Arial" w:cs="Arial"/>
                <w:sz w:val="16"/>
                <w:szCs w:val="16"/>
                <w:lang w:eastAsia="sl-SI"/>
              </w:rPr>
            </w:pPr>
            <w:r w:rsidRPr="002A7E48">
              <w:rPr>
                <w:rFonts w:ascii="Arial" w:eastAsia="Times New Roman" w:hAnsi="Arial" w:cs="Arial"/>
                <w:sz w:val="16"/>
                <w:szCs w:val="16"/>
                <w:lang w:eastAsia="sl-SI"/>
              </w:rPr>
              <w:t>CO34</w:t>
            </w:r>
          </w:p>
        </w:tc>
        <w:tc>
          <w:tcPr>
            <w:tcW w:w="4214" w:type="dxa"/>
            <w:tcBorders>
              <w:top w:val="nil"/>
              <w:left w:val="nil"/>
              <w:bottom w:val="single" w:sz="4" w:space="0" w:color="auto"/>
              <w:right w:val="single" w:sz="4" w:space="0" w:color="auto"/>
            </w:tcBorders>
            <w:shd w:val="clear" w:color="auto" w:fill="auto"/>
            <w:noWrap/>
            <w:vAlign w:val="bottom"/>
            <w:hideMark/>
          </w:tcPr>
          <w:p w14:paraId="6DFAD811" w14:textId="77777777" w:rsidR="002A7E48" w:rsidRPr="002A7E48" w:rsidRDefault="002A7E48" w:rsidP="002A7E48">
            <w:pPr>
              <w:spacing w:after="0" w:line="240" w:lineRule="auto"/>
              <w:rPr>
                <w:rFonts w:ascii="Arial" w:eastAsia="Times New Roman" w:hAnsi="Arial" w:cs="Arial"/>
                <w:sz w:val="16"/>
                <w:szCs w:val="16"/>
                <w:lang w:eastAsia="sl-SI"/>
              </w:rPr>
            </w:pPr>
            <w:r w:rsidRPr="002A7E48">
              <w:rPr>
                <w:rFonts w:ascii="Arial" w:eastAsia="Times New Roman" w:hAnsi="Arial" w:cs="Arial"/>
                <w:sz w:val="16"/>
                <w:szCs w:val="16"/>
                <w:lang w:eastAsia="sl-SI"/>
              </w:rPr>
              <w:t>Zmanjšanje emisij toplogrednih plinov: Ocenjeno letno zmanjšanje emisij toplogrednih plinov</w:t>
            </w:r>
          </w:p>
        </w:tc>
        <w:tc>
          <w:tcPr>
            <w:tcW w:w="1417" w:type="dxa"/>
            <w:tcBorders>
              <w:top w:val="nil"/>
              <w:left w:val="nil"/>
              <w:bottom w:val="single" w:sz="4" w:space="0" w:color="auto"/>
              <w:right w:val="single" w:sz="4" w:space="0" w:color="auto"/>
            </w:tcBorders>
            <w:shd w:val="clear" w:color="auto" w:fill="auto"/>
            <w:noWrap/>
            <w:vAlign w:val="bottom"/>
            <w:hideMark/>
          </w:tcPr>
          <w:p w14:paraId="4B3FF28B" w14:textId="77777777" w:rsidR="002A7E48" w:rsidRPr="002A7E48" w:rsidRDefault="002A7E48" w:rsidP="002A7E48">
            <w:pPr>
              <w:spacing w:after="0" w:line="240" w:lineRule="auto"/>
              <w:rPr>
                <w:rFonts w:ascii="Arial" w:eastAsia="Times New Roman" w:hAnsi="Arial" w:cs="Arial"/>
                <w:sz w:val="16"/>
                <w:szCs w:val="16"/>
                <w:lang w:eastAsia="sl-SI"/>
              </w:rPr>
            </w:pPr>
            <w:r w:rsidRPr="002A7E48">
              <w:rPr>
                <w:rFonts w:ascii="Arial" w:eastAsia="Times New Roman" w:hAnsi="Arial" w:cs="Arial"/>
                <w:sz w:val="16"/>
                <w:szCs w:val="16"/>
                <w:lang w:eastAsia="sl-SI"/>
              </w:rPr>
              <w:t>Tone ekvivalenta CO2</w:t>
            </w:r>
          </w:p>
        </w:tc>
        <w:tc>
          <w:tcPr>
            <w:tcW w:w="1067" w:type="dxa"/>
            <w:tcBorders>
              <w:top w:val="nil"/>
              <w:left w:val="nil"/>
              <w:bottom w:val="single" w:sz="4" w:space="0" w:color="auto"/>
              <w:right w:val="single" w:sz="4" w:space="0" w:color="auto"/>
            </w:tcBorders>
            <w:shd w:val="clear" w:color="auto" w:fill="auto"/>
            <w:noWrap/>
            <w:vAlign w:val="bottom"/>
            <w:hideMark/>
          </w:tcPr>
          <w:p w14:paraId="6F48ADC3" w14:textId="77777777" w:rsidR="002A7E48" w:rsidRPr="002A7E48" w:rsidRDefault="002A7E48" w:rsidP="002A7E48">
            <w:pPr>
              <w:spacing w:after="0" w:line="240" w:lineRule="auto"/>
              <w:rPr>
                <w:rFonts w:ascii="Arial" w:eastAsia="Times New Roman" w:hAnsi="Arial" w:cs="Arial"/>
                <w:sz w:val="16"/>
                <w:szCs w:val="16"/>
                <w:lang w:eastAsia="sl-SI"/>
              </w:rPr>
            </w:pPr>
            <w:r w:rsidRPr="002A7E48">
              <w:rPr>
                <w:rFonts w:ascii="Arial" w:eastAsia="Times New Roman" w:hAnsi="Arial" w:cs="Arial"/>
                <w:sz w:val="16"/>
                <w:szCs w:val="16"/>
                <w:lang w:eastAsia="sl-SI"/>
              </w:rPr>
              <w:t>ESRR REACT-EU</w:t>
            </w:r>
          </w:p>
        </w:tc>
        <w:tc>
          <w:tcPr>
            <w:tcW w:w="1559" w:type="dxa"/>
            <w:tcBorders>
              <w:top w:val="nil"/>
              <w:left w:val="nil"/>
              <w:bottom w:val="single" w:sz="4" w:space="0" w:color="auto"/>
              <w:right w:val="single" w:sz="4" w:space="0" w:color="auto"/>
            </w:tcBorders>
            <w:shd w:val="clear" w:color="auto" w:fill="auto"/>
            <w:noWrap/>
            <w:vAlign w:val="bottom"/>
            <w:hideMark/>
          </w:tcPr>
          <w:p w14:paraId="523F07ED" w14:textId="77777777" w:rsidR="002A7E48" w:rsidRPr="002A7E48" w:rsidRDefault="002A7E48" w:rsidP="002A7E48">
            <w:pPr>
              <w:spacing w:after="0" w:line="240" w:lineRule="auto"/>
              <w:jc w:val="right"/>
              <w:rPr>
                <w:rFonts w:ascii="Arial" w:eastAsia="Times New Roman" w:hAnsi="Arial" w:cs="Arial"/>
                <w:sz w:val="16"/>
                <w:szCs w:val="16"/>
                <w:lang w:eastAsia="sl-SI"/>
              </w:rPr>
            </w:pPr>
            <w:r w:rsidRPr="002A7E48">
              <w:rPr>
                <w:rFonts w:ascii="Arial" w:eastAsia="Times New Roman" w:hAnsi="Arial" w:cs="Arial"/>
                <w:sz w:val="16"/>
                <w:szCs w:val="16"/>
                <w:lang w:eastAsia="sl-SI"/>
              </w:rPr>
              <w:t>524,5</w:t>
            </w:r>
          </w:p>
        </w:tc>
      </w:tr>
    </w:tbl>
    <w:p w14:paraId="7FBEFF44" w14:textId="77777777" w:rsidR="002A7E48" w:rsidRPr="002A7E48" w:rsidRDefault="002A7E48" w:rsidP="002A7E48">
      <w:pPr>
        <w:spacing w:after="0" w:line="240" w:lineRule="auto"/>
        <w:jc w:val="both"/>
        <w:rPr>
          <w:rFonts w:ascii="Arial" w:eastAsia="Calibri" w:hAnsi="Arial" w:cs="Arial"/>
          <w:sz w:val="20"/>
          <w:szCs w:val="20"/>
        </w:rPr>
      </w:pPr>
    </w:p>
    <w:p w14:paraId="5D53E271" w14:textId="77777777" w:rsidR="002A7E48" w:rsidRPr="002A7E48" w:rsidRDefault="002A7E48" w:rsidP="002A7E48">
      <w:pPr>
        <w:spacing w:after="0" w:line="240" w:lineRule="auto"/>
        <w:jc w:val="both"/>
        <w:rPr>
          <w:rFonts w:ascii="Arial" w:eastAsia="Calibri" w:hAnsi="Arial" w:cs="Arial"/>
          <w:b/>
          <w:i/>
          <w:sz w:val="20"/>
          <w:szCs w:val="20"/>
        </w:rPr>
      </w:pPr>
      <w:r w:rsidRPr="002A7E48">
        <w:rPr>
          <w:rFonts w:ascii="Arial" w:eastAsia="Calibri" w:hAnsi="Arial" w:cs="Arial"/>
          <w:b/>
          <w:i/>
          <w:sz w:val="20"/>
          <w:szCs w:val="20"/>
        </w:rPr>
        <w:t>Krepitev DSO in drugih izvajalcev socialnega varstva ter zagotavljanje zaščite opreme za preprečevanje širjenja okužb</w:t>
      </w:r>
    </w:p>
    <w:p w14:paraId="7622E3F0"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 xml:space="preserve">Na področju doseganja kazalnikov se predlaga brisanje kazalnika CV8- Dodaten prostor za postelje, zagotovljen za paciente s COVID-19, in sicer zaradi novih priporočil Slovenije na tem področju (dosegljivo na: </w:t>
      </w:r>
      <w:hyperlink r:id="rId11" w:history="1">
        <w:r w:rsidRPr="002A7E48">
          <w:rPr>
            <w:rFonts w:ascii="Arial" w:eastAsia="Calibri" w:hAnsi="Arial" w:cs="Arial"/>
            <w:sz w:val="20"/>
            <w:szCs w:val="20"/>
            <w:u w:val="single"/>
          </w:rPr>
          <w:t>Priporočila za preprečevanje in zajezitev okužb z virusom SARS-CoV-2 v socialnovarstvenih zavodih z algoritmi testiranja na SARS-CoV-2 (gov.si)</w:t>
        </w:r>
      </w:hyperlink>
      <w:r w:rsidRPr="002A7E48">
        <w:rPr>
          <w:rFonts w:ascii="Arial" w:eastAsia="Calibri" w:hAnsi="Arial" w:cs="Arial"/>
          <w:sz w:val="20"/>
          <w:szCs w:val="20"/>
        </w:rPr>
        <w:t>. V predlogu spremembe OP, 6.0 se je s strani MDDSZ vključil ukrep »DSO in drugih izvajalcev socialnega varstva«. V okviru tega ukrepa se je predvidelo izvedbo vseh aktivnosti za preprečevanja prenosa morebitne virusne okužbe oz. njene zajezitve, izboljšanja pogojev dela za zaposlene ter tudi izboljšanje bivalnega standarda stanovalcev. Ocenilo se je, da bo investirano v 1.127 postelj v okviru navedenega ukrepa, pri čemer se je v kazalnik zajelo vse postelje, v katere se investira za zagotavljanje čistih in nečistih poti, vzpostavitev sivih in rdečih con (dodatne postelje, ki bodo namenjene bolnikom s COVID-19) in za preoblikovanje neustreznih sob iz 3 oz. 4 posteljnih v eno oz. dvoposteljne sobe. Na tak način se zagotavlja večjo varnost, kakovost bivanja in zmanjšanje možnosti prenosa okužb med stanovalci, svojci in zaposlenimi. Pri pripravi javnega razpisa, ki je podrobno določil vse pogoje in upravičene aktivnosti se je ugotovilo, da se je načrtovan kazalnik razumelo v širšem pomenu in se je zato v javnem razpisu za potencialne prijavitelje oblikoval specifičen kazalnik – Število postelj, v katere bo investirano. Javni razpis je bil v novembru 2021 zaključen, izbranih je bilo 18 projektov, od tega se za eno institucijo predvideva nadomestna gradnja (novogradnja). Dva upravičenca sta odstopila od izvedbe projekta</w:t>
      </w:r>
      <w:r w:rsidRPr="002A7E48">
        <w:rPr>
          <w:rFonts w:ascii="Calibri" w:eastAsia="Calibri" w:hAnsi="Calibri" w:cs="Times New Roman"/>
          <w:i/>
          <w:iCs/>
        </w:rPr>
        <w:t xml:space="preserve">. </w:t>
      </w:r>
      <w:r w:rsidRPr="002A7E48">
        <w:rPr>
          <w:rFonts w:ascii="Arial" w:eastAsia="Calibri" w:hAnsi="Arial" w:cs="Arial"/>
          <w:sz w:val="20"/>
          <w:szCs w:val="20"/>
        </w:rPr>
        <w:t>Neto število stalnih postelj se ne povečuje. V število neto stalnih mest za institucionalno varstvo se po javnem razpisu ne všteva število postelj v rdečih in sivih conah. Prijavitelji so v projektih opredelili število dodatnih postelj, ki niso stalno zasedene, in sicer za bolnike s COVID-19, skladno z Navodilom za delo – Vzpostavitev izolacijskih enot glede na tveganja za okužbo s COVID-19 (št. dokumenta UČE ND 11 z dne 21. 5. 2020). Ministrstvo za zdravje je v maju 2022 sprejelo nova Priporočila za preprečevanje in zajezitev okužb z virusom SARS-CoV-2 v socialnovarstvenih zavodih z algoritmi testiranja na SARS-CoV-2, na podlagi katerih dodatne postelje za paciente s COVID-19 v prostorih prijaviteljev niso zahtevane, zato se predlaga brisanje</w:t>
      </w:r>
      <w:r w:rsidRPr="002A7E48">
        <w:rPr>
          <w:rFonts w:ascii="Calibri" w:eastAsia="Calibri" w:hAnsi="Calibri" w:cs="Times New Roman"/>
        </w:rPr>
        <w:t xml:space="preserve"> </w:t>
      </w:r>
      <w:r w:rsidRPr="002A7E48">
        <w:rPr>
          <w:rFonts w:ascii="Arial" w:eastAsia="Calibri" w:hAnsi="Arial" w:cs="Arial"/>
          <w:sz w:val="20"/>
          <w:szCs w:val="20"/>
        </w:rPr>
        <w:t>kazalnika CV8- Dodaten prostor za postelje, zagotovljen za paciente s COVID-19. V okviru specifičnega kazalnika – Število postelj, v katere bo investirano, bodo izbrani prijavitelji investirali v 1.872 postelj (s posteljami COVD-19) oziroma 1.794 (brez COVID-19 postelj).</w:t>
      </w:r>
    </w:p>
    <w:p w14:paraId="338F54B1"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Spremljanje kazalnika CV8 se bo nadaljevalo samo v okviru ukrepov »Področje krepitev odpornosti zdravstvenih sistemov«, kjer je bilo izvedenih 5 investicij. Načrtuje se, da bo 186 postelj, namenjenih samo bolnikom COVID-19.</w:t>
      </w:r>
    </w:p>
    <w:p w14:paraId="1CB0D05C" w14:textId="77777777" w:rsidR="002A7E48" w:rsidRPr="002A7E48" w:rsidRDefault="002A7E48" w:rsidP="002A7E48">
      <w:pPr>
        <w:spacing w:after="0" w:line="240" w:lineRule="auto"/>
        <w:jc w:val="both"/>
        <w:rPr>
          <w:rFonts w:ascii="Arial" w:eastAsia="Calibri" w:hAnsi="Arial" w:cs="Arial"/>
          <w:sz w:val="20"/>
          <w:szCs w:val="20"/>
        </w:rPr>
      </w:pPr>
    </w:p>
    <w:p w14:paraId="46362CE4" w14:textId="77777777" w:rsidR="002A7E48" w:rsidRPr="002A7E48" w:rsidRDefault="002A7E48" w:rsidP="002A7E48">
      <w:pPr>
        <w:spacing w:after="0" w:line="240" w:lineRule="auto"/>
        <w:jc w:val="both"/>
        <w:rPr>
          <w:rFonts w:ascii="Arial" w:eastAsia="Calibri" w:hAnsi="Arial" w:cs="Arial"/>
          <w:b/>
          <w:i/>
          <w:sz w:val="20"/>
          <w:szCs w:val="20"/>
        </w:rPr>
      </w:pPr>
      <w:r w:rsidRPr="002A7E48">
        <w:rPr>
          <w:rFonts w:ascii="Arial" w:eastAsia="Calibri" w:hAnsi="Arial" w:cs="Arial"/>
          <w:b/>
          <w:i/>
          <w:sz w:val="20"/>
          <w:szCs w:val="20"/>
        </w:rPr>
        <w:t>Naložbene podpore malim in srednje velikim podjetjem in zagotavljanje obratnega kapitala</w:t>
      </w:r>
    </w:p>
    <w:p w14:paraId="27650E02"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 xml:space="preserve">Med predvidene ukrepe na področju naložbenih podpor malim in srednje velikih podjetjem in zagotavljanjem obratnega kapitala se doda ukrep zagotavljanja obratnega kapirala v najbolj prizadetih panogah. Turizem je panoga, ki je bila zaradi COVID-19 krize med najbolj prizadetimi. Zaradi ukrepov za zamejitev posledic COVID-19 krize so morala številna podjetja s področja turizma in gostinstva omejiti ali celo prekiniti poslovanje. Še posebej ranljiva so mala in srednje velika podjetja. Zato je bila </w:t>
      </w:r>
      <w:r w:rsidRPr="002A7E48">
        <w:rPr>
          <w:rFonts w:ascii="Arial" w:eastAsia="Calibri" w:hAnsi="Arial" w:cs="Arial"/>
          <w:sz w:val="20"/>
          <w:szCs w:val="20"/>
        </w:rPr>
        <w:lastRenderedPageBreak/>
        <w:t xml:space="preserve">potrebna implementacija ukrepov, ki so turističnim podjetjem pomagali preživeti nastalo situacijo, v nasprotnem primeru bi se številni turistični ponudniki v Sloveniji soočili z gospodarskim zlomom. Zato sta se v okviru prednostne osi 3 - Dinamično in konkurenčno podjetništvo za zeleno gospodarsko rast izvedla dva ukrepa, ki sta prizadetim podjetjem omogočila sofinanciranje obratovalnih stroškov zaradi izpada v prihodkih zaradi posledic epidemije COVID-19. </w:t>
      </w:r>
    </w:p>
    <w:p w14:paraId="6AD71AC5" w14:textId="77777777" w:rsidR="002A7E48" w:rsidRPr="002A7E48" w:rsidRDefault="002A7E48" w:rsidP="002A7E48">
      <w:pPr>
        <w:spacing w:after="0" w:line="240" w:lineRule="auto"/>
        <w:jc w:val="both"/>
        <w:rPr>
          <w:rFonts w:ascii="Arial" w:eastAsia="Calibri" w:hAnsi="Arial" w:cs="Arial"/>
          <w:sz w:val="20"/>
          <w:szCs w:val="20"/>
        </w:rPr>
      </w:pPr>
    </w:p>
    <w:p w14:paraId="592AF2AC"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V okviru prednostne osi 15 se med predvidene ukrepe doda tudi ukrep za nakup zaščitne opreme za zagotavljanje varnega poslovanja v MSP. V času COVID-19 krize se je na prednostni osi 3 izvedel ukrep, ki je MSP omogočal nakup zaščitne opreme za zagotavljanje zdravja in ustrezne zaščite na delovnem mestu. Ker je realizacija na 3. prednostni osi že v tem trenutku večja od pravic porabe, želimo s predlagano spremembo operativnega programa omogočiti, da se za navedene ukrepe, uporabi React EU sredstva v okviru 15. prednostne osi.</w:t>
      </w:r>
    </w:p>
    <w:p w14:paraId="5FAC9B1B" w14:textId="77777777" w:rsidR="002A7E48" w:rsidRPr="002A7E48" w:rsidRDefault="002A7E48" w:rsidP="002A7E48">
      <w:pPr>
        <w:spacing w:after="0" w:line="240" w:lineRule="auto"/>
        <w:jc w:val="both"/>
        <w:rPr>
          <w:rFonts w:ascii="Arial" w:eastAsia="Calibri" w:hAnsi="Arial" w:cs="Arial"/>
          <w:sz w:val="20"/>
          <w:szCs w:val="20"/>
        </w:rPr>
      </w:pPr>
    </w:p>
    <w:p w14:paraId="7BC746DA"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 xml:space="preserve">V besedilo (SFC) se za prednostno os 15 v poglavje »Ukrepi, ki jim je namenjena podpora« pod naslovom »Naložbene podpore malim in srednje velikim podjetjem in zagotavljanje obratnega kapitala« doda tretji odstavek, ki se glasi: </w:t>
      </w:r>
    </w:p>
    <w:p w14:paraId="26F6168D" w14:textId="77777777" w:rsidR="002A7E48" w:rsidRPr="002A7E48" w:rsidRDefault="002A7E48" w:rsidP="002A7E48">
      <w:pPr>
        <w:spacing w:after="0" w:line="240" w:lineRule="auto"/>
        <w:jc w:val="both"/>
        <w:rPr>
          <w:rFonts w:ascii="Arial" w:eastAsia="Calibri" w:hAnsi="Arial" w:cs="Arial"/>
          <w:i/>
          <w:sz w:val="20"/>
          <w:szCs w:val="20"/>
        </w:rPr>
      </w:pPr>
      <w:r w:rsidRPr="002A7E48">
        <w:rPr>
          <w:rFonts w:ascii="Arial" w:eastAsia="Calibri" w:hAnsi="Arial" w:cs="Arial"/>
          <w:i/>
          <w:sz w:val="20"/>
          <w:szCs w:val="20"/>
        </w:rPr>
        <w:t>Za hitrejše okrevanje gospodarstva zaradi COVID-19 krize bomo z React-EU sredstvi podprli mala in srednje velika podjetja v najbolj prizadetih panogah s financiranjem obratnega kapitala. Prav tako bomo podprli mala in srednje velika podjetja s sofinanciranjem nakupa zaščitne opreme za zagotavljanje zdravja in ustrezne zaščite na delovnem mestu.</w:t>
      </w:r>
    </w:p>
    <w:p w14:paraId="49CBF4B7" w14:textId="77777777" w:rsidR="002A7E48" w:rsidRPr="002A7E48" w:rsidRDefault="002A7E48" w:rsidP="002A7E48">
      <w:pPr>
        <w:spacing w:after="0" w:line="240" w:lineRule="auto"/>
        <w:jc w:val="both"/>
        <w:rPr>
          <w:rFonts w:ascii="Arial" w:eastAsia="Calibri" w:hAnsi="Arial" w:cs="Arial"/>
          <w:i/>
          <w:sz w:val="20"/>
          <w:szCs w:val="20"/>
        </w:rPr>
      </w:pPr>
    </w:p>
    <w:p w14:paraId="3077F3FD" w14:textId="77777777" w:rsidR="002A7E48" w:rsidRPr="002A7E48" w:rsidRDefault="002A7E48" w:rsidP="002A7E48">
      <w:pPr>
        <w:spacing w:after="0" w:line="240" w:lineRule="auto"/>
        <w:jc w:val="both"/>
        <w:rPr>
          <w:rFonts w:ascii="Arial" w:eastAsia="Calibri" w:hAnsi="Arial" w:cs="Arial"/>
          <w:b/>
          <w:sz w:val="20"/>
          <w:szCs w:val="20"/>
        </w:rPr>
      </w:pPr>
      <w:r w:rsidRPr="002A7E48">
        <w:rPr>
          <w:rFonts w:ascii="Arial" w:eastAsia="Calibri" w:hAnsi="Arial" w:cs="Arial"/>
          <w:b/>
          <w:sz w:val="20"/>
          <w:szCs w:val="20"/>
        </w:rPr>
        <w:t>Tabela 10: Predlog spremembe kazalnikov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2"/>
        <w:gridCol w:w="1812"/>
        <w:gridCol w:w="2325"/>
      </w:tblGrid>
      <w:tr w:rsidR="002A7E48" w:rsidRPr="002A7E48" w14:paraId="6BCE203E" w14:textId="77777777" w:rsidTr="0042240D">
        <w:tc>
          <w:tcPr>
            <w:tcW w:w="1812" w:type="dxa"/>
            <w:shd w:val="clear" w:color="auto" w:fill="auto"/>
          </w:tcPr>
          <w:p w14:paraId="04D7ECC8" w14:textId="77777777" w:rsidR="002A7E48" w:rsidRPr="002A7E48" w:rsidRDefault="002A7E48" w:rsidP="002A7E48">
            <w:pPr>
              <w:spacing w:after="0" w:line="240" w:lineRule="auto"/>
              <w:jc w:val="both"/>
              <w:rPr>
                <w:rFonts w:ascii="Arial" w:eastAsia="Calibri" w:hAnsi="Arial" w:cs="Arial"/>
                <w:szCs w:val="20"/>
              </w:rPr>
            </w:pPr>
            <w:r w:rsidRPr="002A7E48">
              <w:rPr>
                <w:rFonts w:ascii="Arial" w:eastAsia="Calibri" w:hAnsi="Arial" w:cs="Arial"/>
                <w:szCs w:val="20"/>
              </w:rPr>
              <w:t>Kazalnik</w:t>
            </w:r>
          </w:p>
        </w:tc>
        <w:tc>
          <w:tcPr>
            <w:tcW w:w="1812" w:type="dxa"/>
            <w:shd w:val="clear" w:color="auto" w:fill="auto"/>
          </w:tcPr>
          <w:p w14:paraId="6AA36D26" w14:textId="77777777" w:rsidR="002A7E48" w:rsidRPr="002A7E48" w:rsidRDefault="002A7E48" w:rsidP="002A7E48">
            <w:pPr>
              <w:spacing w:after="0" w:line="240" w:lineRule="auto"/>
              <w:jc w:val="both"/>
              <w:rPr>
                <w:rFonts w:ascii="Arial" w:eastAsia="Calibri" w:hAnsi="Arial" w:cs="Arial"/>
                <w:szCs w:val="20"/>
              </w:rPr>
            </w:pPr>
            <w:r w:rsidRPr="002A7E48">
              <w:rPr>
                <w:rFonts w:ascii="Arial" w:eastAsia="Calibri" w:hAnsi="Arial" w:cs="Arial"/>
                <w:szCs w:val="20"/>
              </w:rPr>
              <w:t>Potrjen OP</w:t>
            </w:r>
          </w:p>
        </w:tc>
        <w:tc>
          <w:tcPr>
            <w:tcW w:w="2325" w:type="dxa"/>
            <w:shd w:val="clear" w:color="auto" w:fill="auto"/>
          </w:tcPr>
          <w:p w14:paraId="1A9F495C" w14:textId="77777777" w:rsidR="002A7E48" w:rsidRPr="002A7E48" w:rsidRDefault="002A7E48" w:rsidP="002A7E48">
            <w:pPr>
              <w:spacing w:after="0" w:line="240" w:lineRule="auto"/>
              <w:jc w:val="both"/>
              <w:rPr>
                <w:rFonts w:ascii="Arial" w:eastAsia="Calibri" w:hAnsi="Arial" w:cs="Arial"/>
                <w:szCs w:val="20"/>
              </w:rPr>
            </w:pPr>
            <w:r w:rsidRPr="002A7E48">
              <w:rPr>
                <w:rFonts w:ascii="Arial" w:eastAsia="Calibri" w:hAnsi="Arial" w:cs="Arial"/>
                <w:szCs w:val="20"/>
              </w:rPr>
              <w:t>Predlog spremembe</w:t>
            </w:r>
          </w:p>
        </w:tc>
      </w:tr>
      <w:tr w:rsidR="002A7E48" w:rsidRPr="002A7E48" w14:paraId="30C287F5" w14:textId="77777777" w:rsidTr="0042240D">
        <w:tc>
          <w:tcPr>
            <w:tcW w:w="1812" w:type="dxa"/>
            <w:shd w:val="clear" w:color="auto" w:fill="auto"/>
          </w:tcPr>
          <w:p w14:paraId="5DB7D1D9" w14:textId="77777777" w:rsidR="002A7E48" w:rsidRPr="002A7E48" w:rsidRDefault="002A7E48" w:rsidP="002A7E48">
            <w:pPr>
              <w:spacing w:after="0" w:line="240" w:lineRule="auto"/>
              <w:jc w:val="both"/>
              <w:rPr>
                <w:rFonts w:ascii="Arial" w:eastAsia="Calibri" w:hAnsi="Arial" w:cs="Arial"/>
                <w:szCs w:val="20"/>
              </w:rPr>
            </w:pPr>
            <w:r w:rsidRPr="002A7E48">
              <w:rPr>
                <w:rFonts w:ascii="Arial" w:eastAsia="Calibri" w:hAnsi="Arial" w:cs="Arial"/>
                <w:szCs w:val="20"/>
              </w:rPr>
              <w:t>CO01</w:t>
            </w:r>
          </w:p>
        </w:tc>
        <w:tc>
          <w:tcPr>
            <w:tcW w:w="1812" w:type="dxa"/>
            <w:shd w:val="clear" w:color="auto" w:fill="auto"/>
          </w:tcPr>
          <w:p w14:paraId="6FFA5E40" w14:textId="77777777" w:rsidR="002A7E48" w:rsidRPr="002A7E48" w:rsidRDefault="002A7E48" w:rsidP="002A7E48">
            <w:pPr>
              <w:spacing w:after="0" w:line="240" w:lineRule="auto"/>
              <w:jc w:val="both"/>
              <w:rPr>
                <w:rFonts w:ascii="Arial" w:eastAsia="Calibri" w:hAnsi="Arial" w:cs="Arial"/>
                <w:szCs w:val="20"/>
              </w:rPr>
            </w:pPr>
            <w:r w:rsidRPr="002A7E48">
              <w:rPr>
                <w:rFonts w:ascii="Arial" w:eastAsia="Calibri" w:hAnsi="Arial" w:cs="Arial"/>
                <w:szCs w:val="20"/>
              </w:rPr>
              <w:t>2.896</w:t>
            </w:r>
          </w:p>
        </w:tc>
        <w:tc>
          <w:tcPr>
            <w:tcW w:w="2325" w:type="dxa"/>
            <w:shd w:val="clear" w:color="auto" w:fill="auto"/>
          </w:tcPr>
          <w:p w14:paraId="72FEB715" w14:textId="77777777" w:rsidR="002A7E48" w:rsidRPr="002A7E48" w:rsidRDefault="002A7E48" w:rsidP="002A7E48">
            <w:pPr>
              <w:spacing w:after="0" w:line="240" w:lineRule="auto"/>
              <w:jc w:val="both"/>
              <w:rPr>
                <w:rFonts w:ascii="Arial" w:eastAsia="Calibri" w:hAnsi="Arial" w:cs="Arial"/>
                <w:szCs w:val="20"/>
              </w:rPr>
            </w:pPr>
            <w:r w:rsidRPr="002A7E48">
              <w:rPr>
                <w:rFonts w:ascii="Arial" w:eastAsia="Calibri" w:hAnsi="Arial" w:cs="Arial"/>
                <w:szCs w:val="20"/>
              </w:rPr>
              <w:t>7.136</w:t>
            </w:r>
          </w:p>
        </w:tc>
      </w:tr>
      <w:tr w:rsidR="002A7E48" w:rsidRPr="002A7E48" w14:paraId="25C4515E" w14:textId="77777777" w:rsidTr="0042240D">
        <w:tc>
          <w:tcPr>
            <w:tcW w:w="1812" w:type="dxa"/>
            <w:shd w:val="clear" w:color="auto" w:fill="auto"/>
          </w:tcPr>
          <w:p w14:paraId="31E68810" w14:textId="77777777" w:rsidR="002A7E48" w:rsidRPr="002A7E48" w:rsidRDefault="002A7E48" w:rsidP="002A7E48">
            <w:pPr>
              <w:spacing w:after="0" w:line="240" w:lineRule="auto"/>
              <w:jc w:val="both"/>
              <w:rPr>
                <w:rFonts w:ascii="Arial" w:eastAsia="Calibri" w:hAnsi="Arial" w:cs="Arial"/>
                <w:szCs w:val="20"/>
              </w:rPr>
            </w:pPr>
            <w:r w:rsidRPr="002A7E48">
              <w:rPr>
                <w:rFonts w:ascii="Arial" w:eastAsia="Calibri" w:hAnsi="Arial" w:cs="Arial"/>
                <w:szCs w:val="20"/>
              </w:rPr>
              <w:t>CO02</w:t>
            </w:r>
          </w:p>
        </w:tc>
        <w:tc>
          <w:tcPr>
            <w:tcW w:w="1812" w:type="dxa"/>
            <w:shd w:val="clear" w:color="auto" w:fill="auto"/>
          </w:tcPr>
          <w:p w14:paraId="73FEA148" w14:textId="77777777" w:rsidR="002A7E48" w:rsidRPr="002A7E48" w:rsidRDefault="002A7E48" w:rsidP="002A7E48">
            <w:pPr>
              <w:spacing w:after="0" w:line="240" w:lineRule="auto"/>
              <w:jc w:val="both"/>
              <w:rPr>
                <w:rFonts w:ascii="Arial" w:eastAsia="Calibri" w:hAnsi="Arial" w:cs="Arial"/>
                <w:szCs w:val="20"/>
              </w:rPr>
            </w:pPr>
            <w:r w:rsidRPr="002A7E48">
              <w:rPr>
                <w:rFonts w:ascii="Arial" w:eastAsia="Calibri" w:hAnsi="Arial" w:cs="Arial"/>
                <w:szCs w:val="20"/>
              </w:rPr>
              <w:t>2.896</w:t>
            </w:r>
          </w:p>
        </w:tc>
        <w:tc>
          <w:tcPr>
            <w:tcW w:w="2325" w:type="dxa"/>
            <w:shd w:val="clear" w:color="auto" w:fill="auto"/>
          </w:tcPr>
          <w:p w14:paraId="0A7E2E56" w14:textId="77777777" w:rsidR="002A7E48" w:rsidRPr="002A7E48" w:rsidRDefault="002A7E48" w:rsidP="002A7E48">
            <w:pPr>
              <w:spacing w:after="0" w:line="240" w:lineRule="auto"/>
              <w:jc w:val="both"/>
              <w:rPr>
                <w:rFonts w:ascii="Arial" w:eastAsia="Calibri" w:hAnsi="Arial" w:cs="Arial"/>
                <w:szCs w:val="20"/>
              </w:rPr>
            </w:pPr>
            <w:r w:rsidRPr="002A7E48">
              <w:rPr>
                <w:rFonts w:ascii="Arial" w:eastAsia="Calibri" w:hAnsi="Arial" w:cs="Arial"/>
                <w:szCs w:val="20"/>
              </w:rPr>
              <w:t>7.136</w:t>
            </w:r>
          </w:p>
        </w:tc>
      </w:tr>
      <w:tr w:rsidR="002A7E48" w:rsidRPr="002A7E48" w14:paraId="3E6C01BE" w14:textId="77777777" w:rsidTr="0042240D">
        <w:tc>
          <w:tcPr>
            <w:tcW w:w="1812" w:type="dxa"/>
            <w:shd w:val="clear" w:color="auto" w:fill="auto"/>
          </w:tcPr>
          <w:p w14:paraId="7772387F" w14:textId="77777777" w:rsidR="002A7E48" w:rsidRPr="002A7E48" w:rsidRDefault="002A7E48" w:rsidP="002A7E48">
            <w:pPr>
              <w:spacing w:after="0" w:line="240" w:lineRule="auto"/>
              <w:jc w:val="both"/>
              <w:rPr>
                <w:rFonts w:ascii="Arial" w:eastAsia="Calibri" w:hAnsi="Arial" w:cs="Arial"/>
                <w:szCs w:val="20"/>
              </w:rPr>
            </w:pPr>
            <w:r w:rsidRPr="002A7E48">
              <w:rPr>
                <w:rFonts w:ascii="Arial" w:eastAsia="Calibri" w:hAnsi="Arial" w:cs="Arial"/>
                <w:szCs w:val="20"/>
              </w:rPr>
              <w:t>CV20</w:t>
            </w:r>
          </w:p>
        </w:tc>
        <w:tc>
          <w:tcPr>
            <w:tcW w:w="1812" w:type="dxa"/>
            <w:shd w:val="clear" w:color="auto" w:fill="auto"/>
          </w:tcPr>
          <w:p w14:paraId="73EE4690" w14:textId="77777777" w:rsidR="002A7E48" w:rsidRPr="002A7E48" w:rsidRDefault="002A7E48" w:rsidP="002A7E48">
            <w:pPr>
              <w:spacing w:after="0" w:line="240" w:lineRule="auto"/>
              <w:jc w:val="both"/>
              <w:rPr>
                <w:rFonts w:ascii="Arial" w:eastAsia="Calibri" w:hAnsi="Arial" w:cs="Arial"/>
                <w:szCs w:val="20"/>
              </w:rPr>
            </w:pPr>
            <w:r w:rsidRPr="002A7E48">
              <w:rPr>
                <w:rFonts w:ascii="Arial" w:eastAsia="Calibri" w:hAnsi="Arial" w:cs="Arial"/>
                <w:szCs w:val="20"/>
              </w:rPr>
              <w:t>17.649.000</w:t>
            </w:r>
          </w:p>
        </w:tc>
        <w:tc>
          <w:tcPr>
            <w:tcW w:w="2325" w:type="dxa"/>
            <w:shd w:val="clear" w:color="auto" w:fill="auto"/>
          </w:tcPr>
          <w:p w14:paraId="1715E7D8" w14:textId="77777777" w:rsidR="002A7E48" w:rsidRPr="002A7E48" w:rsidRDefault="002A7E48" w:rsidP="002A7E48">
            <w:pPr>
              <w:spacing w:after="0" w:line="240" w:lineRule="auto"/>
              <w:jc w:val="both"/>
              <w:rPr>
                <w:rFonts w:ascii="Arial" w:eastAsia="Calibri" w:hAnsi="Arial" w:cs="Arial"/>
                <w:szCs w:val="20"/>
              </w:rPr>
            </w:pPr>
            <w:r w:rsidRPr="002A7E48">
              <w:rPr>
                <w:rFonts w:ascii="Arial" w:eastAsia="Calibri" w:hAnsi="Arial" w:cs="Arial"/>
                <w:szCs w:val="20"/>
              </w:rPr>
              <w:t>51.899.000</w:t>
            </w:r>
          </w:p>
        </w:tc>
      </w:tr>
      <w:tr w:rsidR="002A7E48" w:rsidRPr="002A7E48" w14:paraId="78B905E1" w14:textId="77777777" w:rsidTr="0042240D">
        <w:tc>
          <w:tcPr>
            <w:tcW w:w="1812" w:type="dxa"/>
            <w:shd w:val="clear" w:color="auto" w:fill="auto"/>
          </w:tcPr>
          <w:p w14:paraId="508B994F" w14:textId="77777777" w:rsidR="002A7E48" w:rsidRPr="002A7E48" w:rsidRDefault="002A7E48" w:rsidP="002A7E48">
            <w:pPr>
              <w:spacing w:after="0" w:line="240" w:lineRule="auto"/>
              <w:jc w:val="both"/>
              <w:rPr>
                <w:rFonts w:ascii="Arial" w:eastAsia="Calibri" w:hAnsi="Arial" w:cs="Arial"/>
                <w:szCs w:val="20"/>
              </w:rPr>
            </w:pPr>
            <w:r w:rsidRPr="002A7E48">
              <w:rPr>
                <w:rFonts w:ascii="Arial" w:eastAsia="Calibri" w:hAnsi="Arial" w:cs="Arial"/>
                <w:szCs w:val="20"/>
              </w:rPr>
              <w:t>CV22</w:t>
            </w:r>
          </w:p>
        </w:tc>
        <w:tc>
          <w:tcPr>
            <w:tcW w:w="1812" w:type="dxa"/>
            <w:shd w:val="clear" w:color="auto" w:fill="auto"/>
          </w:tcPr>
          <w:p w14:paraId="168549E3" w14:textId="77777777" w:rsidR="002A7E48" w:rsidRPr="002A7E48" w:rsidRDefault="002A7E48" w:rsidP="002A7E48">
            <w:pPr>
              <w:spacing w:after="0" w:line="240" w:lineRule="auto"/>
              <w:jc w:val="both"/>
              <w:rPr>
                <w:rFonts w:ascii="Arial" w:eastAsia="Calibri" w:hAnsi="Arial" w:cs="Arial"/>
                <w:szCs w:val="20"/>
              </w:rPr>
            </w:pPr>
            <w:r w:rsidRPr="002A7E48">
              <w:rPr>
                <w:rFonts w:ascii="Arial" w:eastAsia="Calibri" w:hAnsi="Arial" w:cs="Arial"/>
                <w:szCs w:val="20"/>
              </w:rPr>
              <w:t>2.564</w:t>
            </w:r>
          </w:p>
        </w:tc>
        <w:tc>
          <w:tcPr>
            <w:tcW w:w="2325" w:type="dxa"/>
            <w:shd w:val="clear" w:color="auto" w:fill="auto"/>
          </w:tcPr>
          <w:p w14:paraId="1270494F" w14:textId="77777777" w:rsidR="002A7E48" w:rsidRPr="002A7E48" w:rsidRDefault="002A7E48" w:rsidP="002A7E48">
            <w:pPr>
              <w:spacing w:after="0" w:line="240" w:lineRule="auto"/>
              <w:jc w:val="both"/>
              <w:rPr>
                <w:rFonts w:ascii="Arial" w:eastAsia="Calibri" w:hAnsi="Arial" w:cs="Arial"/>
                <w:szCs w:val="20"/>
              </w:rPr>
            </w:pPr>
            <w:r w:rsidRPr="002A7E48">
              <w:rPr>
                <w:rFonts w:ascii="Arial" w:eastAsia="Calibri" w:hAnsi="Arial" w:cs="Arial"/>
                <w:szCs w:val="20"/>
              </w:rPr>
              <w:t>6.804</w:t>
            </w:r>
          </w:p>
        </w:tc>
      </w:tr>
    </w:tbl>
    <w:p w14:paraId="6D23930E" w14:textId="77777777" w:rsidR="002A7E48" w:rsidRPr="002A7E48" w:rsidRDefault="002A7E48" w:rsidP="002A7E48">
      <w:pPr>
        <w:spacing w:after="0" w:line="240" w:lineRule="auto"/>
        <w:jc w:val="both"/>
        <w:rPr>
          <w:rFonts w:ascii="Arial" w:eastAsia="Calibri" w:hAnsi="Arial" w:cs="Arial"/>
          <w:sz w:val="20"/>
          <w:szCs w:val="20"/>
        </w:rPr>
      </w:pPr>
    </w:p>
    <w:p w14:paraId="08CD65EB" w14:textId="77777777" w:rsidR="002A7E48" w:rsidRPr="002A7E48" w:rsidRDefault="002A7E48" w:rsidP="002A7E48">
      <w:pPr>
        <w:keepNext/>
        <w:keepLines/>
        <w:spacing w:after="0" w:line="240" w:lineRule="auto"/>
        <w:outlineLvl w:val="1"/>
        <w:rPr>
          <w:rFonts w:ascii="Arial" w:eastAsia="Times New Roman" w:hAnsi="Arial" w:cs="Times New Roman"/>
          <w:b/>
          <w:sz w:val="24"/>
          <w:szCs w:val="26"/>
        </w:rPr>
      </w:pPr>
      <w:r w:rsidRPr="002A7E48">
        <w:rPr>
          <w:rFonts w:ascii="Arial" w:eastAsia="Times New Roman" w:hAnsi="Arial" w:cs="Times New Roman"/>
          <w:b/>
          <w:sz w:val="24"/>
          <w:szCs w:val="26"/>
        </w:rPr>
        <w:t>PO 16</w:t>
      </w:r>
    </w:p>
    <w:p w14:paraId="4ACB9627"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Na prednostni naložbi 16.1 se predlaga vključitev treh novih ukrepov in sicer:</w:t>
      </w:r>
    </w:p>
    <w:p w14:paraId="7F4C2F54"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1. Nadgradnje CRPP/IH infrastrukture, ki je informacijsko komunikacijska infrastruktura, omogoča povezovanje registriranih izvajalcev zdravstvenih dejavnosti v RS s sodobnimi orodji, v sodobno okolje repozitorijev podatkov. Sistem se bo nadgradil tako, da bo omogočal izmenjavo podatkov s pomočjo odprtih programskih vmesnikov in zagotovil ustrezne nadgradnje repozitorijev. Zaradi potreb po varnejših dostopih do podatkov je nujno nadgraditi sistem avtentikacije/avtorizacije. Omogočen bo tudi dostop oblačnim aplikacijam in rešitvam na mobilnih napravah, saj se je ta pristop med COVID-19 izkazal kot zelo uspešen (primer: Zvem). Gre za nujne ukrepe na področju digitalizacije zdravstvenega sistema. Pomanjkljivosti povezljivosti sistemov so se v času epidemije COVID-19 še bolj izrazito pokazale in nakazale prednostne rešitve, ki jih je potrebno izvesti v najkrajšem možnem času. Operacija bo kompatibilna z aktivnostmi, ki se izvajajo v okviru Načrta za okrevanje in odpornost.;</w:t>
      </w:r>
    </w:p>
    <w:p w14:paraId="28C0AF90"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2. Z naložbami v nabavo sistemske IKT opreme v okviru projekta »Nakup IKT strežniške in sistemske opreme« želimo zagotoviti stabilno sistemsko delovanje, ki bo še dodatno prispevalo k obvladovanju posledic epidemije Covid-19 ter pripomoglo k zadovoljstvu uporabnikov in spodbudilo nadaljnjo rast uporabe rešitev eZdravja. Rast uporabe zaradi epidemioloških groženj v kombinaciji z intenzivnimi razvojnimi aktivnostmi na področju eZdravja je razkrila določene težave in pomanjkljivosti obstoječega sistema v smislu zastarelih in nezadostnih sistemskih oz. infrastrukturnih virov. Z nadgradnjo želimo povečati pripravljenost IKT infrastrukture na nepričakovane in izredne dogodke, kot so izpad komunikacijskih povezav in električnega napajanja, programske napake, človeške napake, napake na strojni opremi, nesreče, katastrofe in morebitne ponovne širše epidemije Covid-19 ali pojavitve epidemije katere druge nalezljive bolezni;</w:t>
      </w:r>
    </w:p>
    <w:p w14:paraId="031BFF82"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 xml:space="preserve">3. Digitalizacija skoraj ni več izbira, temveč je pričakovanje, ki postaja nujnost. Še posebno se je potreba po digitalnih kompetencah pri posameznikih pokazala v času epidemije COVID-19, ko so prišle vrzeli, pri uporabi digitalnih orodij za delo in učenje od doma ter komunikacijo na daljavo, še posebej do izraza. </w:t>
      </w:r>
    </w:p>
    <w:p w14:paraId="6425C9AF"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 xml:space="preserve">Široko zasnovane digitalne spretnosti in znanja bi morale biti temelj družbe, v kateri posamezniki lahko zaupajo digitalnim proizvodom in storitvam, se naučijo uporabljati informacije, ki so jim na voljo na svetovnem spletu, prepoznajo dezinformacije in poskuse goljufij in se, nenazadnje, tudi zaščitijo pred spletnimi prevarami in goljufijami. Glede na podatke SURS, je v Sloveniji majhen delež (50%) tistih, ki imajo manj kot osnovne digitalne kompetence; dokaj nizek je tudi delež tistih, ki imajo razvite vsaj osnovne digitalne kompetence (30 %). S pomanjkanjem digitalnih kompetenc se srečuje približno </w:t>
      </w:r>
      <w:r w:rsidRPr="002A7E48">
        <w:rPr>
          <w:rFonts w:ascii="Arial" w:eastAsia="Calibri" w:hAnsi="Arial" w:cs="Arial"/>
          <w:sz w:val="20"/>
          <w:szCs w:val="20"/>
        </w:rPr>
        <w:lastRenderedPageBreak/>
        <w:t>polovica delovno aktivnega prebivalstva. Tudi po podatkih DESI indeksa je Slovenija, glede na delež prebivalstva z vsaj osnovnimi digitalnimi kompetencami, pod povprečjem EU (v Sloveniji ima vsaj osnovna znanja 50% prebivalcev, v EU je povprečje 54%). Slovenija je, glede na podatke DESI, pod povprečjem EU, tudi pri tistih, ki imajo razvite nad-osnovne digitalne kompetence. Javni razpis bo prispeval k dvigu digitalnih kompetenc pri polnoletnih državljanih. En del usposabljanj bo prispeval k dvigu osnovnih digitalnih kompetenc, drugi k dvigu naprednih digitalnih kompetenc, pri državljanih, ki osnovne digitalne kompetence že imajo.</w:t>
      </w:r>
    </w:p>
    <w:p w14:paraId="18B725E8" w14:textId="77777777" w:rsidR="002A7E48" w:rsidRPr="002A7E48" w:rsidRDefault="002A7E48" w:rsidP="002A7E48">
      <w:pPr>
        <w:spacing w:after="0" w:line="240" w:lineRule="auto"/>
        <w:jc w:val="both"/>
        <w:rPr>
          <w:rFonts w:ascii="Arial" w:eastAsia="Calibri" w:hAnsi="Arial" w:cs="Arial"/>
          <w:color w:val="000000"/>
          <w:sz w:val="20"/>
          <w:szCs w:val="20"/>
        </w:rPr>
      </w:pPr>
    </w:p>
    <w:p w14:paraId="4535EBE7" w14:textId="77777777" w:rsidR="002A7E48" w:rsidRPr="002A7E48" w:rsidRDefault="002A7E48" w:rsidP="002A7E48">
      <w:pPr>
        <w:spacing w:after="0" w:line="240" w:lineRule="auto"/>
        <w:jc w:val="both"/>
        <w:rPr>
          <w:rFonts w:ascii="Arial" w:eastAsia="Calibri" w:hAnsi="Arial" w:cs="Arial"/>
          <w:color w:val="000000"/>
          <w:sz w:val="20"/>
          <w:szCs w:val="20"/>
        </w:rPr>
      </w:pPr>
      <w:r w:rsidRPr="002A7E48">
        <w:rPr>
          <w:rFonts w:ascii="Arial" w:eastAsia="Calibri" w:hAnsi="Arial" w:cs="Arial"/>
          <w:color w:val="000000"/>
          <w:sz w:val="20"/>
          <w:szCs w:val="20"/>
        </w:rPr>
        <w:t>Ukrepi s sredstvi pobude React EU ESS kot so bili sprva predvideni se niso v celoti izvedli oz. so se izvedli na PN 9.1., saj so bile izkazane potrebe za izvedbo že pred samo potrditvijo spremembe OP v kateri se je vključilo sredstva React EU, zato se sedaj predlaga, da se za nekatere ukrepe omogoči uporaba sredstev React EU ESS. Zaradi tega je potrebno spremeniti načrtovana kazalnika CV30 in CV31. Predlaga se, da se ciljna vrednost (za leto 2023) za kazalnik CV31 poviša na 6.500. Ciljna vrednost (za leto 2023) za kazalnik CV30 se zviša na 10.000.000.</w:t>
      </w:r>
    </w:p>
    <w:p w14:paraId="40A7E6B8" w14:textId="77777777" w:rsidR="002A7E48" w:rsidRPr="002A7E48" w:rsidRDefault="002A7E48" w:rsidP="002A7E48">
      <w:pPr>
        <w:spacing w:after="0" w:line="240" w:lineRule="auto"/>
        <w:jc w:val="both"/>
        <w:rPr>
          <w:rFonts w:ascii="Arial" w:eastAsia="Calibri" w:hAnsi="Arial" w:cs="Arial"/>
          <w:color w:val="000000"/>
          <w:sz w:val="20"/>
          <w:szCs w:val="20"/>
        </w:rPr>
      </w:pPr>
    </w:p>
    <w:p w14:paraId="044AE69B" w14:textId="77777777" w:rsidR="002A7E48" w:rsidRPr="002A7E48" w:rsidRDefault="002A7E48" w:rsidP="002A7E48">
      <w:pPr>
        <w:spacing w:after="0" w:line="240" w:lineRule="auto"/>
        <w:jc w:val="both"/>
        <w:rPr>
          <w:rFonts w:ascii="Arial" w:eastAsia="Calibri" w:hAnsi="Arial" w:cs="Arial"/>
          <w:b/>
          <w:color w:val="000000"/>
          <w:sz w:val="20"/>
          <w:szCs w:val="20"/>
        </w:rPr>
      </w:pPr>
      <w:r w:rsidRPr="002A7E48">
        <w:rPr>
          <w:rFonts w:ascii="Arial" w:eastAsia="Calibri" w:hAnsi="Arial" w:cs="Arial"/>
          <w:b/>
          <w:color w:val="000000"/>
          <w:sz w:val="20"/>
          <w:szCs w:val="20"/>
        </w:rPr>
        <w:t>Tabela 11: Predlog sprememb kazalnikov</w:t>
      </w:r>
    </w:p>
    <w:tbl>
      <w:tblPr>
        <w:tblW w:w="488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7"/>
        <w:gridCol w:w="3485"/>
        <w:gridCol w:w="895"/>
        <w:gridCol w:w="1158"/>
        <w:gridCol w:w="366"/>
        <w:gridCol w:w="326"/>
        <w:gridCol w:w="1368"/>
      </w:tblGrid>
      <w:tr w:rsidR="002A7E48" w:rsidRPr="002A7E48" w14:paraId="5A058A17" w14:textId="77777777" w:rsidTr="0042240D">
        <w:trPr>
          <w:cantSplit/>
          <w:trHeight w:val="288"/>
          <w:tblHeader/>
        </w:trPr>
        <w:tc>
          <w:tcPr>
            <w:tcW w:w="0" w:type="auto"/>
            <w:vMerge w:val="restart"/>
            <w:shd w:val="clear" w:color="auto" w:fill="auto"/>
          </w:tcPr>
          <w:p w14:paraId="487D7FE8" w14:textId="77777777" w:rsidR="002A7E48" w:rsidRPr="002A7E48" w:rsidRDefault="002A7E48" w:rsidP="002A7E48">
            <w:pPr>
              <w:spacing w:after="0" w:line="240" w:lineRule="auto"/>
              <w:jc w:val="center"/>
              <w:rPr>
                <w:rFonts w:ascii="Arial" w:eastAsia="Times New Roman" w:hAnsi="Arial" w:cs="Arial"/>
                <w:b/>
                <w:sz w:val="18"/>
                <w:szCs w:val="18"/>
              </w:rPr>
            </w:pPr>
            <w:r w:rsidRPr="002A7E48">
              <w:rPr>
                <w:rFonts w:ascii="Arial" w:eastAsia="Times New Roman" w:hAnsi="Arial" w:cs="Arial"/>
                <w:b/>
                <w:noProof/>
                <w:sz w:val="18"/>
                <w:szCs w:val="18"/>
              </w:rPr>
              <w:t>Identifikator</w:t>
            </w:r>
          </w:p>
        </w:tc>
        <w:tc>
          <w:tcPr>
            <w:tcW w:w="1986" w:type="pct"/>
            <w:vMerge w:val="restart"/>
            <w:shd w:val="clear" w:color="auto" w:fill="auto"/>
          </w:tcPr>
          <w:p w14:paraId="11A0B895" w14:textId="77777777" w:rsidR="002A7E48" w:rsidRPr="002A7E48" w:rsidRDefault="002A7E48" w:rsidP="002A7E48">
            <w:pPr>
              <w:spacing w:after="0" w:line="240" w:lineRule="auto"/>
              <w:jc w:val="center"/>
              <w:rPr>
                <w:rFonts w:ascii="Arial" w:eastAsia="Times New Roman" w:hAnsi="Arial" w:cs="Arial"/>
                <w:b/>
                <w:sz w:val="18"/>
                <w:szCs w:val="18"/>
              </w:rPr>
            </w:pPr>
            <w:r w:rsidRPr="002A7E48">
              <w:rPr>
                <w:rFonts w:ascii="Arial" w:eastAsia="Times New Roman" w:hAnsi="Arial" w:cs="Arial"/>
                <w:b/>
                <w:noProof/>
                <w:sz w:val="18"/>
                <w:szCs w:val="18"/>
              </w:rPr>
              <w:t>Kazalnik</w:t>
            </w:r>
          </w:p>
        </w:tc>
        <w:tc>
          <w:tcPr>
            <w:tcW w:w="0" w:type="auto"/>
            <w:vMerge w:val="restart"/>
            <w:shd w:val="clear" w:color="auto" w:fill="auto"/>
          </w:tcPr>
          <w:p w14:paraId="5DD5E2AD" w14:textId="77777777" w:rsidR="002A7E48" w:rsidRPr="002A7E48" w:rsidRDefault="002A7E48" w:rsidP="002A7E48">
            <w:pPr>
              <w:spacing w:after="0" w:line="240" w:lineRule="auto"/>
              <w:jc w:val="center"/>
              <w:rPr>
                <w:rFonts w:ascii="Arial" w:eastAsia="Times New Roman" w:hAnsi="Arial" w:cs="Arial"/>
                <w:b/>
                <w:sz w:val="18"/>
                <w:szCs w:val="18"/>
              </w:rPr>
            </w:pPr>
            <w:r w:rsidRPr="002A7E48">
              <w:rPr>
                <w:rFonts w:ascii="Arial" w:eastAsia="Times New Roman" w:hAnsi="Arial" w:cs="Arial"/>
                <w:b/>
                <w:noProof/>
                <w:sz w:val="18"/>
                <w:szCs w:val="18"/>
              </w:rPr>
              <w:t>Merska enota</w:t>
            </w:r>
          </w:p>
        </w:tc>
        <w:tc>
          <w:tcPr>
            <w:tcW w:w="670" w:type="pct"/>
            <w:vMerge w:val="restart"/>
            <w:shd w:val="clear" w:color="auto" w:fill="auto"/>
          </w:tcPr>
          <w:p w14:paraId="7165E9AD" w14:textId="77777777" w:rsidR="002A7E48" w:rsidRPr="002A7E48" w:rsidRDefault="002A7E48" w:rsidP="002A7E48">
            <w:pPr>
              <w:spacing w:after="0" w:line="240" w:lineRule="auto"/>
              <w:jc w:val="center"/>
              <w:rPr>
                <w:rFonts w:ascii="Arial" w:eastAsia="Times New Roman" w:hAnsi="Arial" w:cs="Arial"/>
                <w:b/>
                <w:sz w:val="18"/>
                <w:szCs w:val="18"/>
              </w:rPr>
            </w:pPr>
            <w:r w:rsidRPr="002A7E48">
              <w:rPr>
                <w:rFonts w:ascii="Arial" w:eastAsia="Times New Roman" w:hAnsi="Arial" w:cs="Arial"/>
                <w:b/>
                <w:noProof/>
                <w:sz w:val="18"/>
                <w:szCs w:val="18"/>
              </w:rPr>
              <w:t>Sklad</w:t>
            </w:r>
          </w:p>
        </w:tc>
        <w:tc>
          <w:tcPr>
            <w:tcW w:w="1119" w:type="pct"/>
            <w:gridSpan w:val="3"/>
            <w:shd w:val="clear" w:color="auto" w:fill="auto"/>
          </w:tcPr>
          <w:p w14:paraId="6DC28216" w14:textId="77777777" w:rsidR="002A7E48" w:rsidRPr="002A7E48" w:rsidRDefault="002A7E48" w:rsidP="002A7E48">
            <w:pPr>
              <w:spacing w:after="0" w:line="240" w:lineRule="auto"/>
              <w:jc w:val="center"/>
              <w:rPr>
                <w:rFonts w:ascii="Arial" w:eastAsia="Times New Roman" w:hAnsi="Arial" w:cs="Arial"/>
                <w:b/>
                <w:sz w:val="18"/>
                <w:szCs w:val="18"/>
              </w:rPr>
            </w:pPr>
            <w:r w:rsidRPr="002A7E48">
              <w:rPr>
                <w:rFonts w:ascii="Arial" w:eastAsia="Times New Roman" w:hAnsi="Arial" w:cs="Arial"/>
                <w:b/>
                <w:noProof/>
                <w:sz w:val="18"/>
                <w:szCs w:val="18"/>
              </w:rPr>
              <w:t>Ciljna vrednost (za leto 2023)</w:t>
            </w:r>
          </w:p>
        </w:tc>
      </w:tr>
      <w:tr w:rsidR="002A7E48" w:rsidRPr="002A7E48" w14:paraId="280EB448" w14:textId="77777777" w:rsidTr="0042240D">
        <w:trPr>
          <w:cantSplit/>
          <w:trHeight w:val="288"/>
          <w:tblHeader/>
        </w:trPr>
        <w:tc>
          <w:tcPr>
            <w:tcW w:w="0" w:type="auto"/>
            <w:vMerge/>
            <w:shd w:val="clear" w:color="auto" w:fill="auto"/>
          </w:tcPr>
          <w:p w14:paraId="218F7730" w14:textId="77777777" w:rsidR="002A7E48" w:rsidRPr="002A7E48" w:rsidRDefault="002A7E48" w:rsidP="002A7E48">
            <w:pPr>
              <w:spacing w:after="0" w:line="240" w:lineRule="auto"/>
              <w:jc w:val="center"/>
              <w:rPr>
                <w:rFonts w:ascii="Arial" w:eastAsia="Times New Roman" w:hAnsi="Arial" w:cs="Arial"/>
                <w:b/>
                <w:sz w:val="18"/>
                <w:szCs w:val="18"/>
              </w:rPr>
            </w:pPr>
          </w:p>
        </w:tc>
        <w:tc>
          <w:tcPr>
            <w:tcW w:w="1986" w:type="pct"/>
            <w:vMerge/>
            <w:shd w:val="clear" w:color="auto" w:fill="auto"/>
          </w:tcPr>
          <w:p w14:paraId="17DC3652" w14:textId="77777777" w:rsidR="002A7E48" w:rsidRPr="002A7E48" w:rsidRDefault="002A7E48" w:rsidP="002A7E48">
            <w:pPr>
              <w:spacing w:after="0" w:line="240" w:lineRule="auto"/>
              <w:jc w:val="center"/>
              <w:rPr>
                <w:rFonts w:ascii="Arial" w:eastAsia="Times New Roman" w:hAnsi="Arial" w:cs="Arial"/>
                <w:b/>
                <w:sz w:val="18"/>
                <w:szCs w:val="18"/>
              </w:rPr>
            </w:pPr>
          </w:p>
        </w:tc>
        <w:tc>
          <w:tcPr>
            <w:tcW w:w="0" w:type="auto"/>
            <w:vMerge/>
            <w:shd w:val="clear" w:color="auto" w:fill="auto"/>
          </w:tcPr>
          <w:p w14:paraId="761C9F02" w14:textId="77777777" w:rsidR="002A7E48" w:rsidRPr="002A7E48" w:rsidRDefault="002A7E48" w:rsidP="002A7E48">
            <w:pPr>
              <w:spacing w:after="0" w:line="240" w:lineRule="auto"/>
              <w:jc w:val="center"/>
              <w:rPr>
                <w:rFonts w:ascii="Arial" w:eastAsia="Times New Roman" w:hAnsi="Arial" w:cs="Arial"/>
                <w:b/>
                <w:sz w:val="18"/>
                <w:szCs w:val="18"/>
              </w:rPr>
            </w:pPr>
          </w:p>
        </w:tc>
        <w:tc>
          <w:tcPr>
            <w:tcW w:w="670" w:type="pct"/>
            <w:vMerge/>
            <w:shd w:val="clear" w:color="auto" w:fill="auto"/>
          </w:tcPr>
          <w:p w14:paraId="430D0AE9" w14:textId="77777777" w:rsidR="002A7E48" w:rsidRPr="002A7E48" w:rsidRDefault="002A7E48" w:rsidP="002A7E48">
            <w:pPr>
              <w:spacing w:after="0" w:line="240" w:lineRule="auto"/>
              <w:jc w:val="center"/>
              <w:rPr>
                <w:rFonts w:ascii="Arial" w:eastAsia="Times New Roman" w:hAnsi="Arial" w:cs="Arial"/>
                <w:b/>
                <w:sz w:val="18"/>
                <w:szCs w:val="18"/>
              </w:rPr>
            </w:pPr>
          </w:p>
        </w:tc>
        <w:tc>
          <w:tcPr>
            <w:tcW w:w="0" w:type="auto"/>
            <w:shd w:val="clear" w:color="auto" w:fill="auto"/>
          </w:tcPr>
          <w:p w14:paraId="666857CC" w14:textId="77777777" w:rsidR="002A7E48" w:rsidRPr="002A7E48" w:rsidRDefault="002A7E48" w:rsidP="002A7E48">
            <w:pPr>
              <w:spacing w:after="0" w:line="240" w:lineRule="auto"/>
              <w:jc w:val="center"/>
              <w:rPr>
                <w:rFonts w:ascii="Arial" w:eastAsia="Times New Roman" w:hAnsi="Arial" w:cs="Arial"/>
                <w:b/>
                <w:sz w:val="18"/>
                <w:szCs w:val="18"/>
              </w:rPr>
            </w:pPr>
            <w:r w:rsidRPr="002A7E48">
              <w:rPr>
                <w:rFonts w:ascii="Arial" w:eastAsia="Times New Roman" w:hAnsi="Arial" w:cs="Arial"/>
                <w:b/>
                <w:noProof/>
                <w:sz w:val="18"/>
                <w:szCs w:val="18"/>
              </w:rPr>
              <w:t>M</w:t>
            </w:r>
          </w:p>
        </w:tc>
        <w:tc>
          <w:tcPr>
            <w:tcW w:w="0" w:type="auto"/>
            <w:shd w:val="clear" w:color="auto" w:fill="auto"/>
          </w:tcPr>
          <w:p w14:paraId="4BFD0E11" w14:textId="77777777" w:rsidR="002A7E48" w:rsidRPr="002A7E48" w:rsidRDefault="002A7E48" w:rsidP="002A7E48">
            <w:pPr>
              <w:spacing w:after="0" w:line="240" w:lineRule="auto"/>
              <w:jc w:val="center"/>
              <w:rPr>
                <w:rFonts w:ascii="Arial" w:eastAsia="Times New Roman" w:hAnsi="Arial" w:cs="Arial"/>
                <w:b/>
                <w:sz w:val="18"/>
                <w:szCs w:val="18"/>
              </w:rPr>
            </w:pPr>
            <w:r w:rsidRPr="002A7E48">
              <w:rPr>
                <w:rFonts w:ascii="Arial" w:eastAsia="Times New Roman" w:hAnsi="Arial" w:cs="Arial"/>
                <w:b/>
                <w:noProof/>
                <w:sz w:val="18"/>
                <w:szCs w:val="18"/>
              </w:rPr>
              <w:t>Ž</w:t>
            </w:r>
          </w:p>
        </w:tc>
        <w:tc>
          <w:tcPr>
            <w:tcW w:w="712" w:type="pct"/>
            <w:shd w:val="clear" w:color="auto" w:fill="auto"/>
          </w:tcPr>
          <w:p w14:paraId="46117DAA" w14:textId="77777777" w:rsidR="002A7E48" w:rsidRPr="002A7E48" w:rsidRDefault="002A7E48" w:rsidP="002A7E48">
            <w:pPr>
              <w:spacing w:after="0" w:line="240" w:lineRule="auto"/>
              <w:jc w:val="center"/>
              <w:rPr>
                <w:rFonts w:ascii="Arial" w:eastAsia="Times New Roman" w:hAnsi="Arial" w:cs="Arial"/>
                <w:b/>
                <w:sz w:val="18"/>
                <w:szCs w:val="18"/>
              </w:rPr>
            </w:pPr>
            <w:r w:rsidRPr="002A7E48">
              <w:rPr>
                <w:rFonts w:ascii="Arial" w:eastAsia="Times New Roman" w:hAnsi="Arial" w:cs="Arial"/>
                <w:b/>
                <w:noProof/>
                <w:sz w:val="18"/>
                <w:szCs w:val="18"/>
              </w:rPr>
              <w:t>Skupaj</w:t>
            </w:r>
          </w:p>
        </w:tc>
      </w:tr>
      <w:tr w:rsidR="002A7E48" w:rsidRPr="002A7E48" w14:paraId="1659D517" w14:textId="77777777" w:rsidTr="0042240D">
        <w:trPr>
          <w:trHeight w:val="288"/>
        </w:trPr>
        <w:tc>
          <w:tcPr>
            <w:tcW w:w="0" w:type="auto"/>
            <w:shd w:val="clear" w:color="auto" w:fill="auto"/>
          </w:tcPr>
          <w:p w14:paraId="5726F99C" w14:textId="77777777" w:rsidR="002A7E48" w:rsidRPr="002A7E48" w:rsidRDefault="002A7E48" w:rsidP="002A7E48">
            <w:pPr>
              <w:spacing w:after="0" w:line="240" w:lineRule="auto"/>
              <w:jc w:val="both"/>
              <w:rPr>
                <w:rFonts w:ascii="Arial" w:eastAsia="Times New Roman" w:hAnsi="Arial" w:cs="Arial"/>
                <w:sz w:val="18"/>
                <w:szCs w:val="18"/>
              </w:rPr>
            </w:pPr>
            <w:r w:rsidRPr="002A7E48">
              <w:rPr>
                <w:rFonts w:ascii="Arial" w:eastAsia="Times New Roman" w:hAnsi="Arial" w:cs="Arial"/>
                <w:noProof/>
                <w:sz w:val="18"/>
                <w:szCs w:val="18"/>
              </w:rPr>
              <w:t>CV30</w:t>
            </w:r>
          </w:p>
        </w:tc>
        <w:tc>
          <w:tcPr>
            <w:tcW w:w="1986" w:type="pct"/>
            <w:shd w:val="clear" w:color="auto" w:fill="auto"/>
          </w:tcPr>
          <w:p w14:paraId="0D42AC24" w14:textId="77777777" w:rsidR="002A7E48" w:rsidRPr="002A7E48" w:rsidRDefault="002A7E48" w:rsidP="002A7E48">
            <w:pPr>
              <w:spacing w:after="0" w:line="240" w:lineRule="auto"/>
              <w:jc w:val="both"/>
              <w:rPr>
                <w:rFonts w:ascii="Arial" w:eastAsia="Times New Roman" w:hAnsi="Arial" w:cs="Arial"/>
                <w:sz w:val="18"/>
                <w:szCs w:val="18"/>
              </w:rPr>
            </w:pPr>
            <w:r w:rsidRPr="002A7E48">
              <w:rPr>
                <w:rFonts w:ascii="Arial" w:eastAsia="Times New Roman" w:hAnsi="Arial" w:cs="Arial"/>
                <w:noProof/>
                <w:sz w:val="18"/>
                <w:szCs w:val="18"/>
              </w:rPr>
              <w:t>Vrednost ukrepov ESS za boj proti COVID-19 ali njegovo preprečevanje</w:t>
            </w:r>
          </w:p>
        </w:tc>
        <w:tc>
          <w:tcPr>
            <w:tcW w:w="0" w:type="auto"/>
            <w:shd w:val="clear" w:color="auto" w:fill="auto"/>
          </w:tcPr>
          <w:p w14:paraId="51D2AC15" w14:textId="77777777" w:rsidR="002A7E48" w:rsidRPr="002A7E48" w:rsidRDefault="002A7E48" w:rsidP="002A7E48">
            <w:pPr>
              <w:spacing w:after="0" w:line="240" w:lineRule="auto"/>
              <w:rPr>
                <w:rFonts w:ascii="Arial" w:eastAsia="Times New Roman" w:hAnsi="Arial" w:cs="Arial"/>
                <w:sz w:val="18"/>
                <w:szCs w:val="18"/>
              </w:rPr>
            </w:pPr>
            <w:r w:rsidRPr="002A7E48">
              <w:rPr>
                <w:rFonts w:ascii="Arial" w:eastAsia="Times New Roman" w:hAnsi="Arial" w:cs="Arial"/>
                <w:noProof/>
                <w:sz w:val="18"/>
                <w:szCs w:val="18"/>
              </w:rPr>
              <w:t>EUR</w:t>
            </w:r>
          </w:p>
        </w:tc>
        <w:tc>
          <w:tcPr>
            <w:tcW w:w="670" w:type="pct"/>
            <w:shd w:val="clear" w:color="auto" w:fill="auto"/>
          </w:tcPr>
          <w:p w14:paraId="1A2074A7" w14:textId="77777777" w:rsidR="002A7E48" w:rsidRPr="002A7E48" w:rsidRDefault="002A7E48" w:rsidP="002A7E48">
            <w:pPr>
              <w:spacing w:after="0" w:line="240" w:lineRule="auto"/>
              <w:rPr>
                <w:rFonts w:ascii="Arial" w:eastAsia="Times New Roman" w:hAnsi="Arial" w:cs="Arial"/>
                <w:sz w:val="18"/>
                <w:szCs w:val="18"/>
              </w:rPr>
            </w:pPr>
            <w:r w:rsidRPr="002A7E48">
              <w:rPr>
                <w:rFonts w:ascii="Arial" w:eastAsia="Times New Roman" w:hAnsi="Arial" w:cs="Arial"/>
                <w:noProof/>
                <w:sz w:val="18"/>
                <w:szCs w:val="18"/>
              </w:rPr>
              <w:t>ESS</w:t>
            </w:r>
            <w:r w:rsidRPr="002A7E48">
              <w:rPr>
                <w:rFonts w:ascii="Arial" w:eastAsia="Times New Roman" w:hAnsi="Arial" w:cs="Arial"/>
                <w:sz w:val="18"/>
                <w:szCs w:val="18"/>
              </w:rPr>
              <w:t xml:space="preserve"> </w:t>
            </w:r>
            <w:r w:rsidRPr="002A7E48">
              <w:rPr>
                <w:rFonts w:ascii="Arial" w:eastAsia="Times New Roman" w:hAnsi="Arial" w:cs="Arial"/>
                <w:noProof/>
                <w:sz w:val="18"/>
                <w:szCs w:val="18"/>
              </w:rPr>
              <w:t>REACT-EU</w:t>
            </w:r>
          </w:p>
        </w:tc>
        <w:tc>
          <w:tcPr>
            <w:tcW w:w="0" w:type="auto"/>
            <w:shd w:val="clear" w:color="auto" w:fill="auto"/>
          </w:tcPr>
          <w:p w14:paraId="6A27E808" w14:textId="77777777" w:rsidR="002A7E48" w:rsidRPr="002A7E48" w:rsidRDefault="002A7E48" w:rsidP="002A7E48">
            <w:pPr>
              <w:spacing w:after="0" w:line="240" w:lineRule="auto"/>
              <w:jc w:val="right"/>
              <w:rPr>
                <w:rFonts w:ascii="Arial" w:eastAsia="Times New Roman" w:hAnsi="Arial" w:cs="Arial"/>
                <w:sz w:val="18"/>
                <w:szCs w:val="18"/>
              </w:rPr>
            </w:pPr>
          </w:p>
        </w:tc>
        <w:tc>
          <w:tcPr>
            <w:tcW w:w="0" w:type="auto"/>
            <w:shd w:val="clear" w:color="auto" w:fill="auto"/>
          </w:tcPr>
          <w:p w14:paraId="17FD720C" w14:textId="77777777" w:rsidR="002A7E48" w:rsidRPr="002A7E48" w:rsidRDefault="002A7E48" w:rsidP="002A7E48">
            <w:pPr>
              <w:spacing w:after="0" w:line="240" w:lineRule="auto"/>
              <w:jc w:val="right"/>
              <w:rPr>
                <w:rFonts w:ascii="Arial" w:eastAsia="Times New Roman" w:hAnsi="Arial" w:cs="Arial"/>
                <w:sz w:val="18"/>
                <w:szCs w:val="18"/>
              </w:rPr>
            </w:pPr>
          </w:p>
        </w:tc>
        <w:tc>
          <w:tcPr>
            <w:tcW w:w="712" w:type="pct"/>
            <w:shd w:val="clear" w:color="auto" w:fill="auto"/>
          </w:tcPr>
          <w:p w14:paraId="710CE27D" w14:textId="77777777" w:rsidR="002A7E48" w:rsidRPr="002A7E48" w:rsidRDefault="002A7E48" w:rsidP="002A7E48">
            <w:pPr>
              <w:spacing w:after="0" w:line="240" w:lineRule="auto"/>
              <w:jc w:val="right"/>
              <w:rPr>
                <w:rFonts w:ascii="Arial" w:eastAsia="Times New Roman" w:hAnsi="Arial" w:cs="Arial"/>
                <w:sz w:val="18"/>
                <w:szCs w:val="18"/>
              </w:rPr>
            </w:pPr>
            <w:r w:rsidRPr="002A7E48">
              <w:rPr>
                <w:rFonts w:ascii="Arial" w:eastAsia="Times New Roman" w:hAnsi="Arial" w:cs="Arial"/>
                <w:noProof/>
                <w:sz w:val="18"/>
                <w:szCs w:val="18"/>
              </w:rPr>
              <w:t>10.000.000,00</w:t>
            </w:r>
          </w:p>
        </w:tc>
      </w:tr>
      <w:tr w:rsidR="002A7E48" w:rsidRPr="002A7E48" w14:paraId="64D14B93" w14:textId="77777777" w:rsidTr="0042240D">
        <w:trPr>
          <w:trHeight w:val="288"/>
        </w:trPr>
        <w:tc>
          <w:tcPr>
            <w:tcW w:w="0" w:type="auto"/>
            <w:shd w:val="clear" w:color="auto" w:fill="auto"/>
          </w:tcPr>
          <w:p w14:paraId="0F509A9E" w14:textId="77777777" w:rsidR="002A7E48" w:rsidRPr="002A7E48" w:rsidRDefault="002A7E48" w:rsidP="002A7E48">
            <w:pPr>
              <w:spacing w:after="0" w:line="240" w:lineRule="auto"/>
              <w:jc w:val="both"/>
              <w:rPr>
                <w:rFonts w:ascii="Arial" w:eastAsia="Times New Roman" w:hAnsi="Arial" w:cs="Arial"/>
                <w:sz w:val="18"/>
                <w:szCs w:val="18"/>
              </w:rPr>
            </w:pPr>
            <w:r w:rsidRPr="002A7E48">
              <w:rPr>
                <w:rFonts w:ascii="Arial" w:eastAsia="Times New Roman" w:hAnsi="Arial" w:cs="Arial"/>
                <w:noProof/>
                <w:sz w:val="18"/>
                <w:szCs w:val="18"/>
              </w:rPr>
              <w:t>CV31</w:t>
            </w:r>
          </w:p>
        </w:tc>
        <w:tc>
          <w:tcPr>
            <w:tcW w:w="1986" w:type="pct"/>
            <w:shd w:val="clear" w:color="auto" w:fill="auto"/>
          </w:tcPr>
          <w:p w14:paraId="224848E9" w14:textId="77777777" w:rsidR="002A7E48" w:rsidRPr="002A7E48" w:rsidRDefault="002A7E48" w:rsidP="002A7E48">
            <w:pPr>
              <w:spacing w:after="0" w:line="240" w:lineRule="auto"/>
              <w:jc w:val="both"/>
              <w:rPr>
                <w:rFonts w:ascii="Arial" w:eastAsia="Times New Roman" w:hAnsi="Arial" w:cs="Arial"/>
                <w:sz w:val="18"/>
                <w:szCs w:val="18"/>
              </w:rPr>
            </w:pPr>
            <w:r w:rsidRPr="002A7E48">
              <w:rPr>
                <w:rFonts w:ascii="Arial" w:eastAsia="Times New Roman" w:hAnsi="Arial" w:cs="Arial"/>
                <w:noProof/>
                <w:sz w:val="18"/>
                <w:szCs w:val="18"/>
              </w:rPr>
              <w:t>Udeleženci, ki so prejeli podporo za boj proti COVID-19 ali za njegovo preprečevanje</w:t>
            </w:r>
          </w:p>
        </w:tc>
        <w:tc>
          <w:tcPr>
            <w:tcW w:w="0" w:type="auto"/>
            <w:shd w:val="clear" w:color="auto" w:fill="auto"/>
          </w:tcPr>
          <w:p w14:paraId="4A21DE3F" w14:textId="77777777" w:rsidR="002A7E48" w:rsidRPr="002A7E48" w:rsidRDefault="002A7E48" w:rsidP="002A7E48">
            <w:pPr>
              <w:spacing w:after="0" w:line="240" w:lineRule="auto"/>
              <w:rPr>
                <w:rFonts w:ascii="Arial" w:eastAsia="Times New Roman" w:hAnsi="Arial" w:cs="Arial"/>
                <w:sz w:val="18"/>
                <w:szCs w:val="18"/>
              </w:rPr>
            </w:pPr>
            <w:r w:rsidRPr="002A7E48">
              <w:rPr>
                <w:rFonts w:ascii="Arial" w:eastAsia="Times New Roman" w:hAnsi="Arial" w:cs="Arial"/>
                <w:noProof/>
                <w:sz w:val="18"/>
                <w:szCs w:val="18"/>
              </w:rPr>
              <w:t>Osebe</w:t>
            </w:r>
          </w:p>
        </w:tc>
        <w:tc>
          <w:tcPr>
            <w:tcW w:w="670" w:type="pct"/>
            <w:shd w:val="clear" w:color="auto" w:fill="auto"/>
          </w:tcPr>
          <w:p w14:paraId="1057FB4B" w14:textId="77777777" w:rsidR="002A7E48" w:rsidRPr="002A7E48" w:rsidRDefault="002A7E48" w:rsidP="002A7E48">
            <w:pPr>
              <w:spacing w:after="0" w:line="240" w:lineRule="auto"/>
              <w:rPr>
                <w:rFonts w:ascii="Arial" w:eastAsia="Times New Roman" w:hAnsi="Arial" w:cs="Arial"/>
                <w:sz w:val="18"/>
                <w:szCs w:val="18"/>
              </w:rPr>
            </w:pPr>
            <w:r w:rsidRPr="002A7E48">
              <w:rPr>
                <w:rFonts w:ascii="Arial" w:eastAsia="Times New Roman" w:hAnsi="Arial" w:cs="Arial"/>
                <w:noProof/>
                <w:sz w:val="18"/>
                <w:szCs w:val="18"/>
              </w:rPr>
              <w:t>ESS</w:t>
            </w:r>
            <w:r w:rsidRPr="002A7E48">
              <w:rPr>
                <w:rFonts w:ascii="Arial" w:eastAsia="Times New Roman" w:hAnsi="Arial" w:cs="Arial"/>
                <w:sz w:val="18"/>
                <w:szCs w:val="18"/>
              </w:rPr>
              <w:t xml:space="preserve"> </w:t>
            </w:r>
            <w:r w:rsidRPr="002A7E48">
              <w:rPr>
                <w:rFonts w:ascii="Arial" w:eastAsia="Times New Roman" w:hAnsi="Arial" w:cs="Arial"/>
                <w:noProof/>
                <w:sz w:val="18"/>
                <w:szCs w:val="18"/>
              </w:rPr>
              <w:t>REACT-EU</w:t>
            </w:r>
          </w:p>
        </w:tc>
        <w:tc>
          <w:tcPr>
            <w:tcW w:w="0" w:type="auto"/>
            <w:shd w:val="clear" w:color="auto" w:fill="auto"/>
          </w:tcPr>
          <w:p w14:paraId="1A502F03" w14:textId="77777777" w:rsidR="002A7E48" w:rsidRPr="002A7E48" w:rsidRDefault="002A7E48" w:rsidP="002A7E48">
            <w:pPr>
              <w:spacing w:after="0" w:line="240" w:lineRule="auto"/>
              <w:jc w:val="right"/>
              <w:rPr>
                <w:rFonts w:ascii="Arial" w:eastAsia="Times New Roman" w:hAnsi="Arial" w:cs="Arial"/>
                <w:sz w:val="18"/>
                <w:szCs w:val="18"/>
              </w:rPr>
            </w:pPr>
          </w:p>
        </w:tc>
        <w:tc>
          <w:tcPr>
            <w:tcW w:w="0" w:type="auto"/>
            <w:shd w:val="clear" w:color="auto" w:fill="auto"/>
          </w:tcPr>
          <w:p w14:paraId="11283380" w14:textId="77777777" w:rsidR="002A7E48" w:rsidRPr="002A7E48" w:rsidRDefault="002A7E48" w:rsidP="002A7E48">
            <w:pPr>
              <w:spacing w:after="0" w:line="240" w:lineRule="auto"/>
              <w:jc w:val="right"/>
              <w:rPr>
                <w:rFonts w:ascii="Arial" w:eastAsia="Times New Roman" w:hAnsi="Arial" w:cs="Arial"/>
                <w:sz w:val="18"/>
                <w:szCs w:val="18"/>
              </w:rPr>
            </w:pPr>
          </w:p>
        </w:tc>
        <w:tc>
          <w:tcPr>
            <w:tcW w:w="712" w:type="pct"/>
            <w:shd w:val="clear" w:color="auto" w:fill="auto"/>
          </w:tcPr>
          <w:p w14:paraId="4E4C6BD3" w14:textId="77777777" w:rsidR="002A7E48" w:rsidRPr="002A7E48" w:rsidRDefault="002A7E48" w:rsidP="002A7E48">
            <w:pPr>
              <w:spacing w:after="0" w:line="240" w:lineRule="auto"/>
              <w:jc w:val="right"/>
              <w:rPr>
                <w:rFonts w:ascii="Arial" w:eastAsia="Times New Roman" w:hAnsi="Arial" w:cs="Arial"/>
                <w:sz w:val="18"/>
                <w:szCs w:val="18"/>
              </w:rPr>
            </w:pPr>
            <w:r w:rsidRPr="002A7E48">
              <w:rPr>
                <w:rFonts w:ascii="Arial" w:eastAsia="Times New Roman" w:hAnsi="Arial" w:cs="Arial"/>
                <w:noProof/>
                <w:sz w:val="18"/>
                <w:szCs w:val="18"/>
              </w:rPr>
              <w:t>6.500</w:t>
            </w:r>
          </w:p>
        </w:tc>
      </w:tr>
    </w:tbl>
    <w:p w14:paraId="4C4D4302" w14:textId="77777777" w:rsidR="002A7E48" w:rsidRPr="002A7E48" w:rsidRDefault="002A7E48" w:rsidP="002A7E48">
      <w:pPr>
        <w:spacing w:after="0" w:line="240" w:lineRule="auto"/>
        <w:jc w:val="both"/>
        <w:rPr>
          <w:rFonts w:ascii="Arial" w:eastAsia="Calibri" w:hAnsi="Arial" w:cs="Arial"/>
          <w:sz w:val="20"/>
          <w:szCs w:val="20"/>
        </w:rPr>
      </w:pPr>
    </w:p>
    <w:p w14:paraId="4B108030"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Na prednostni osi 16 se predlaga prenos 1 ukrepa iz PO 9, ESS. Ukrepe s področja zdravstva je bilo potrebno, zaradi nujnega odziva na epidemijo COVID – 19, implementirati čim prej, z namenom pomoči najbolj prizadetim. Glede na to, da realizacija na PO 9, ESS že sedaj dosega skoraj 100 % pravic porabe (zahod) oziroma presega 100 % pravic porabe (vzhod) se želi s predlagano spremembo operativnega programa omogočiti, da se za ukrepa s področja zdravstva uporabi React EU sredstva v okviru 16. prednostne osi.</w:t>
      </w:r>
    </w:p>
    <w:p w14:paraId="531290D2"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 xml:space="preserve">Projekt "Ukrepi na področju obvladovanja širitve COVID-19 s poudarkom na ranljivih skupinah prebivalstva" s pomočjo različnih intervencij predstavlja pomemben doprinos k obvladovanju širjenja bolezni COVID-19 in s tem povezano čim manjšo potrebo po obsežnejših ukrepih na državni ravni; blaženju posledic epidemije virusa SARS-CoV-2 na duševno zdravje prebivalstva; izboljšanju delovanja zdravstvenega sistema v času kriznih razmer in ažurnosti zbranih podatkov; promociji zdravega življenjskega sloga ter preprečevanju vseh elementov krhkosti. </w:t>
      </w:r>
    </w:p>
    <w:p w14:paraId="0A4AAAE6"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Ciljna skupina projekta je splošna in tudi strokovna javnost, zato je predviden kazalnik vključenih skozi izvajanje precej narasel v primerjavi s prvotno načrtovanim. Predvidevamo, da bomo do zaključka projekta v okviru projekta vključili okoli 6.500 udeležencev, ki so prejeli podporo za boj proti COVID-19 ali za njegovo preprečevanje (CV31).</w:t>
      </w:r>
    </w:p>
    <w:p w14:paraId="6D8AEE87" w14:textId="77777777" w:rsidR="002A7E48" w:rsidRPr="002A7E48" w:rsidRDefault="002A7E48" w:rsidP="002A7E48">
      <w:pPr>
        <w:keepNext/>
        <w:keepLines/>
        <w:spacing w:after="0" w:line="240" w:lineRule="auto"/>
        <w:outlineLvl w:val="1"/>
        <w:rPr>
          <w:rFonts w:ascii="Arial" w:eastAsia="Times New Roman" w:hAnsi="Arial" w:cs="Times New Roman"/>
          <w:b/>
          <w:sz w:val="20"/>
          <w:szCs w:val="20"/>
        </w:rPr>
      </w:pPr>
      <w:r w:rsidRPr="002A7E48">
        <w:rPr>
          <w:rFonts w:ascii="Arial" w:eastAsia="Times New Roman" w:hAnsi="Arial" w:cs="Times New Roman"/>
          <w:b/>
          <w:sz w:val="20"/>
          <w:szCs w:val="20"/>
        </w:rPr>
        <w:t xml:space="preserve"> </w:t>
      </w:r>
    </w:p>
    <w:p w14:paraId="50F83C0C" w14:textId="77777777" w:rsidR="002A7E48" w:rsidRDefault="002A7E48" w:rsidP="002A7E48">
      <w:pPr>
        <w:keepNext/>
        <w:keepLines/>
        <w:spacing w:after="0" w:line="240" w:lineRule="auto"/>
        <w:outlineLvl w:val="1"/>
        <w:rPr>
          <w:rFonts w:ascii="Arial" w:eastAsia="Times New Roman" w:hAnsi="Arial" w:cs="Times New Roman"/>
          <w:b/>
          <w:sz w:val="24"/>
          <w:szCs w:val="26"/>
        </w:rPr>
      </w:pPr>
    </w:p>
    <w:p w14:paraId="05ED9AFF" w14:textId="06BAC77C" w:rsidR="002A7E48" w:rsidRPr="002A7E48" w:rsidRDefault="002A7E48" w:rsidP="002A7E48">
      <w:pPr>
        <w:keepNext/>
        <w:keepLines/>
        <w:spacing w:after="0" w:line="240" w:lineRule="auto"/>
        <w:outlineLvl w:val="1"/>
        <w:rPr>
          <w:rFonts w:ascii="Arial" w:eastAsia="Times New Roman" w:hAnsi="Arial" w:cs="Times New Roman"/>
          <w:b/>
          <w:sz w:val="24"/>
          <w:szCs w:val="26"/>
        </w:rPr>
      </w:pPr>
      <w:bookmarkStart w:id="0" w:name="_GoBack"/>
      <w:bookmarkEnd w:id="0"/>
      <w:r w:rsidRPr="002A7E48">
        <w:rPr>
          <w:rFonts w:ascii="Arial" w:eastAsia="Times New Roman" w:hAnsi="Arial" w:cs="Times New Roman"/>
          <w:b/>
          <w:sz w:val="24"/>
          <w:szCs w:val="26"/>
        </w:rPr>
        <w:t>100 % sofinanciranje React EU ESRR ukrepov</w:t>
      </w:r>
    </w:p>
    <w:p w14:paraId="075FD61F"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 xml:space="preserve">Iz Uredbe EU št. 2020/2221 o spremembi Uredbe EU št. 1303/2013, ki zadeva dodatne vire in ureditev izvrševanja, da se zagotovi pomoč za spodbujanje odprave posledic krize v okviru pandemije COVID-19 in njenih socialnih posledic ter za pripravo zelenega, digitalnega in odpornega okrevanja družbe in gospodarstva (REACT-EU) izhaja, da je z namenom zmanjšanja obremenitve javnih proračunov v zvezi z odpravo posledic krize v okviru pandemije COVID-19 in njenih socialnih posledic ter pripravo zelenega, digitalnega in odpornega okrevanja gospodarstva, možno, da država članica, zaprosi za 100-odstotno stopnjo sofinanciranja, ki bi se lahko uporabila za ločene prednostne osi operativnih programov, ki zagotavljajo podporo iz virov REACT-EU. </w:t>
      </w:r>
    </w:p>
    <w:p w14:paraId="02A6208F"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 xml:space="preserve">Slovenija je v začetni fazi spremembe OP 14 – 20, 6.0 načrtovala uporabo 100-odstotne stopnje sofinanciranja. Eden izmed načrtovanih ukrepov je bil tudi celovita energetska prenova stavb zdravstvene infrastrukture posebnega pomena zaradi COVID – 19, za katerega je bilo predvidenih 68 mio EUR, kar je predstavljalo 27 % vseh sredstev React EU ESRR. Zaradi vključitve ukrepov energetske sanacije, je Evropska komisija odločila, da je maksimalna možna stopnja sofinanciranja 85 %, saj projekti energetske sanacije ustvarjajo prihodke in posledično za celotno prednostno os, namenjeno sredstvo React EU, 100 % stopnja sofinanciranja ni možna. V fazi izvajanja predvidenih ukrepov energetske sanacije se je izkazalo, da najobsežnejši projekt »Energetska sanacija stavbe UKC </w:t>
      </w:r>
      <w:r w:rsidRPr="002A7E48">
        <w:rPr>
          <w:rFonts w:ascii="Arial" w:eastAsia="Calibri" w:hAnsi="Arial" w:cs="Arial"/>
          <w:sz w:val="20"/>
          <w:szCs w:val="20"/>
        </w:rPr>
        <w:lastRenderedPageBreak/>
        <w:t>Hospital«, za katerega je bila izdana odločitev o podpori v višini 49,8 mio EUR (ESRR sredstev) ne bo izvedljiv do konca leta 2023. Po temeljitem pregledu vseh predlaganih projektov se je izkazalo, da bo izveden le projekt »URI Soča (Objekt Orhideja, Linhartova 51, Ljubljana, Objekt Vrtnica, Linhartova 51, Ljubljana«. Posledično se je delež ukrepov energetske sanacije, glede na celotno alokacijo React EU ESRR sredstev zelo zmanjšal  in predstavlja le 3 % React EU ESRR sredstev. Glede na navedeno predlagamo, da se dogovorjena stopnja sofinanciranja (85 % na ESRR) poviša na najvišjo možno stopnjo in sicer 100 %. Tako se omogoči čim bolj uspešno črpanje sredstev v okviru prednostne osi 15 React EU ESRR.</w:t>
      </w:r>
    </w:p>
    <w:p w14:paraId="3A3BB164" w14:textId="77777777" w:rsidR="002A7E48" w:rsidRPr="002A7E48" w:rsidRDefault="002A7E48" w:rsidP="002A7E48">
      <w:pPr>
        <w:spacing w:after="0" w:line="240" w:lineRule="auto"/>
        <w:jc w:val="both"/>
        <w:rPr>
          <w:rFonts w:ascii="Arial" w:eastAsia="Calibri" w:hAnsi="Arial" w:cs="Arial"/>
          <w:sz w:val="20"/>
          <w:szCs w:val="20"/>
        </w:rPr>
      </w:pPr>
    </w:p>
    <w:p w14:paraId="1F111FF3" w14:textId="77777777" w:rsidR="002A7E48" w:rsidRPr="002A7E48" w:rsidRDefault="002A7E48" w:rsidP="002A7E48">
      <w:pPr>
        <w:spacing w:after="0" w:line="240" w:lineRule="auto"/>
        <w:jc w:val="both"/>
        <w:rPr>
          <w:rFonts w:ascii="Arial" w:eastAsia="Calibri" w:hAnsi="Arial" w:cs="Arial"/>
          <w:b/>
          <w:sz w:val="20"/>
          <w:szCs w:val="20"/>
        </w:rPr>
      </w:pPr>
      <w:r w:rsidRPr="002A7E48">
        <w:rPr>
          <w:rFonts w:ascii="Arial" w:eastAsia="Calibri" w:hAnsi="Arial" w:cs="Arial"/>
          <w:b/>
          <w:sz w:val="20"/>
          <w:szCs w:val="20"/>
        </w:rPr>
        <w:t>Tabela 12: Predlog spremembe sofinanciranja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4"/>
        <w:gridCol w:w="2129"/>
        <w:gridCol w:w="2129"/>
      </w:tblGrid>
      <w:tr w:rsidR="002A7E48" w:rsidRPr="002A7E48" w14:paraId="3CDB3322" w14:textId="77777777" w:rsidTr="0042240D">
        <w:trPr>
          <w:trHeight w:val="300"/>
        </w:trPr>
        <w:tc>
          <w:tcPr>
            <w:tcW w:w="4804" w:type="dxa"/>
            <w:shd w:val="clear" w:color="auto" w:fill="auto"/>
            <w:noWrap/>
            <w:hideMark/>
          </w:tcPr>
          <w:p w14:paraId="6F0376DB" w14:textId="77777777" w:rsidR="002A7E48" w:rsidRPr="002A7E48" w:rsidRDefault="002A7E48" w:rsidP="002A7E48">
            <w:pPr>
              <w:spacing w:after="0" w:line="240" w:lineRule="auto"/>
              <w:jc w:val="both"/>
              <w:rPr>
                <w:rFonts w:ascii="Arial" w:eastAsia="Calibri" w:hAnsi="Arial" w:cs="Arial"/>
                <w:szCs w:val="20"/>
              </w:rPr>
            </w:pPr>
            <w:r w:rsidRPr="002A7E48">
              <w:rPr>
                <w:rFonts w:ascii="Arial" w:eastAsia="Calibri" w:hAnsi="Arial" w:cs="Arial"/>
                <w:szCs w:val="20"/>
              </w:rPr>
              <w:t> </w:t>
            </w:r>
          </w:p>
        </w:tc>
        <w:tc>
          <w:tcPr>
            <w:tcW w:w="2129" w:type="dxa"/>
            <w:shd w:val="clear" w:color="auto" w:fill="auto"/>
            <w:noWrap/>
            <w:hideMark/>
          </w:tcPr>
          <w:p w14:paraId="72F397A2" w14:textId="77777777" w:rsidR="002A7E48" w:rsidRPr="002A7E48" w:rsidRDefault="002A7E48" w:rsidP="002A7E48">
            <w:pPr>
              <w:spacing w:after="0" w:line="240" w:lineRule="auto"/>
              <w:jc w:val="both"/>
              <w:rPr>
                <w:rFonts w:ascii="Arial" w:eastAsia="Calibri" w:hAnsi="Arial" w:cs="Arial"/>
                <w:bCs/>
                <w:szCs w:val="20"/>
              </w:rPr>
            </w:pPr>
            <w:r w:rsidRPr="002A7E48">
              <w:rPr>
                <w:rFonts w:ascii="Arial" w:eastAsia="Calibri" w:hAnsi="Arial" w:cs="Arial"/>
                <w:bCs/>
                <w:szCs w:val="20"/>
              </w:rPr>
              <w:t>85% sof.</w:t>
            </w:r>
          </w:p>
        </w:tc>
        <w:tc>
          <w:tcPr>
            <w:tcW w:w="2129" w:type="dxa"/>
            <w:shd w:val="clear" w:color="auto" w:fill="auto"/>
            <w:noWrap/>
            <w:hideMark/>
          </w:tcPr>
          <w:p w14:paraId="060D073C" w14:textId="77777777" w:rsidR="002A7E48" w:rsidRPr="002A7E48" w:rsidRDefault="002A7E48" w:rsidP="002A7E48">
            <w:pPr>
              <w:spacing w:after="0" w:line="240" w:lineRule="auto"/>
              <w:jc w:val="both"/>
              <w:rPr>
                <w:rFonts w:ascii="Arial" w:eastAsia="Calibri" w:hAnsi="Arial" w:cs="Arial"/>
                <w:bCs/>
                <w:szCs w:val="20"/>
              </w:rPr>
            </w:pPr>
            <w:r w:rsidRPr="002A7E48">
              <w:rPr>
                <w:rFonts w:ascii="Arial" w:eastAsia="Calibri" w:hAnsi="Arial" w:cs="Arial"/>
                <w:bCs/>
                <w:szCs w:val="20"/>
              </w:rPr>
              <w:t>100 % sof.</w:t>
            </w:r>
          </w:p>
        </w:tc>
      </w:tr>
      <w:tr w:rsidR="002A7E48" w:rsidRPr="002A7E48" w14:paraId="17AA0AD5" w14:textId="77777777" w:rsidTr="0042240D">
        <w:trPr>
          <w:trHeight w:val="300"/>
        </w:trPr>
        <w:tc>
          <w:tcPr>
            <w:tcW w:w="4804" w:type="dxa"/>
            <w:shd w:val="clear" w:color="auto" w:fill="auto"/>
            <w:noWrap/>
            <w:hideMark/>
          </w:tcPr>
          <w:p w14:paraId="40456AE1" w14:textId="77777777" w:rsidR="002A7E48" w:rsidRPr="002A7E48" w:rsidRDefault="002A7E48" w:rsidP="002A7E48">
            <w:pPr>
              <w:spacing w:after="0" w:line="240" w:lineRule="auto"/>
              <w:jc w:val="both"/>
              <w:rPr>
                <w:rFonts w:ascii="Arial" w:eastAsia="Calibri" w:hAnsi="Arial" w:cs="Arial"/>
                <w:bCs/>
                <w:szCs w:val="20"/>
              </w:rPr>
            </w:pPr>
            <w:r w:rsidRPr="002A7E48">
              <w:rPr>
                <w:rFonts w:ascii="Arial" w:eastAsia="Calibri" w:hAnsi="Arial" w:cs="Arial"/>
                <w:bCs/>
                <w:szCs w:val="20"/>
              </w:rPr>
              <w:t>Potrjene vloge React EU ESRR</w:t>
            </w:r>
          </w:p>
        </w:tc>
        <w:tc>
          <w:tcPr>
            <w:tcW w:w="2129" w:type="dxa"/>
            <w:shd w:val="clear" w:color="auto" w:fill="auto"/>
            <w:noWrap/>
            <w:hideMark/>
          </w:tcPr>
          <w:p w14:paraId="4222172D" w14:textId="77777777" w:rsidR="002A7E48" w:rsidRPr="002A7E48" w:rsidRDefault="002A7E48" w:rsidP="002A7E48">
            <w:pPr>
              <w:spacing w:after="0" w:line="240" w:lineRule="auto"/>
              <w:jc w:val="both"/>
              <w:rPr>
                <w:rFonts w:ascii="Arial" w:eastAsia="Calibri" w:hAnsi="Arial" w:cs="Arial"/>
                <w:szCs w:val="20"/>
              </w:rPr>
            </w:pPr>
            <w:r w:rsidRPr="002A7E48">
              <w:rPr>
                <w:rFonts w:ascii="Arial" w:eastAsia="Calibri" w:hAnsi="Arial" w:cs="Arial"/>
                <w:szCs w:val="20"/>
              </w:rPr>
              <w:t>251.897.077</w:t>
            </w:r>
          </w:p>
        </w:tc>
        <w:tc>
          <w:tcPr>
            <w:tcW w:w="2129" w:type="dxa"/>
            <w:shd w:val="clear" w:color="auto" w:fill="auto"/>
            <w:noWrap/>
            <w:hideMark/>
          </w:tcPr>
          <w:p w14:paraId="30DFE03B" w14:textId="77777777" w:rsidR="002A7E48" w:rsidRPr="002A7E48" w:rsidRDefault="002A7E48" w:rsidP="002A7E48">
            <w:pPr>
              <w:spacing w:after="0" w:line="240" w:lineRule="auto"/>
              <w:jc w:val="both"/>
              <w:rPr>
                <w:rFonts w:ascii="Arial" w:eastAsia="Calibri" w:hAnsi="Arial" w:cs="Arial"/>
                <w:szCs w:val="20"/>
              </w:rPr>
            </w:pPr>
            <w:r w:rsidRPr="002A7E48">
              <w:rPr>
                <w:rFonts w:ascii="Arial" w:eastAsia="Calibri" w:hAnsi="Arial" w:cs="Arial"/>
                <w:szCs w:val="20"/>
              </w:rPr>
              <w:t>296.349.502,09</w:t>
            </w:r>
          </w:p>
        </w:tc>
      </w:tr>
      <w:tr w:rsidR="002A7E48" w:rsidRPr="002A7E48" w14:paraId="130D509B" w14:textId="77777777" w:rsidTr="0042240D">
        <w:trPr>
          <w:trHeight w:val="300"/>
        </w:trPr>
        <w:tc>
          <w:tcPr>
            <w:tcW w:w="4804" w:type="dxa"/>
            <w:shd w:val="clear" w:color="auto" w:fill="auto"/>
            <w:noWrap/>
            <w:hideMark/>
          </w:tcPr>
          <w:p w14:paraId="716E4739" w14:textId="77777777" w:rsidR="002A7E48" w:rsidRPr="002A7E48" w:rsidRDefault="002A7E48" w:rsidP="002A7E48">
            <w:pPr>
              <w:spacing w:after="0" w:line="240" w:lineRule="auto"/>
              <w:jc w:val="both"/>
              <w:rPr>
                <w:rFonts w:ascii="Arial" w:eastAsia="Calibri" w:hAnsi="Arial" w:cs="Arial"/>
                <w:bCs/>
                <w:szCs w:val="20"/>
              </w:rPr>
            </w:pPr>
            <w:r w:rsidRPr="002A7E48">
              <w:rPr>
                <w:rFonts w:ascii="Arial" w:eastAsia="Calibri" w:hAnsi="Arial" w:cs="Arial"/>
                <w:bCs/>
                <w:szCs w:val="20"/>
              </w:rPr>
              <w:t>Pravice porabe React EU ESRR</w:t>
            </w:r>
          </w:p>
        </w:tc>
        <w:tc>
          <w:tcPr>
            <w:tcW w:w="4258" w:type="dxa"/>
            <w:gridSpan w:val="2"/>
            <w:shd w:val="clear" w:color="auto" w:fill="auto"/>
            <w:noWrap/>
            <w:hideMark/>
          </w:tcPr>
          <w:p w14:paraId="2EAF383D" w14:textId="77777777" w:rsidR="002A7E48" w:rsidRPr="002A7E48" w:rsidRDefault="002A7E48" w:rsidP="002A7E48">
            <w:pPr>
              <w:spacing w:after="0" w:line="240" w:lineRule="auto"/>
              <w:jc w:val="both"/>
              <w:rPr>
                <w:rFonts w:ascii="Arial" w:eastAsia="Calibri" w:hAnsi="Arial" w:cs="Arial"/>
                <w:bCs/>
                <w:szCs w:val="20"/>
              </w:rPr>
            </w:pPr>
            <w:r w:rsidRPr="002A7E48">
              <w:rPr>
                <w:rFonts w:ascii="Arial" w:eastAsia="Calibri" w:hAnsi="Arial" w:cs="Arial"/>
                <w:bCs/>
                <w:szCs w:val="20"/>
              </w:rPr>
              <w:t>255.741.210,00</w:t>
            </w:r>
          </w:p>
        </w:tc>
      </w:tr>
    </w:tbl>
    <w:p w14:paraId="00DA18FD" w14:textId="77777777" w:rsidR="002A7E48" w:rsidRPr="002A7E48" w:rsidRDefault="002A7E48" w:rsidP="002A7E48">
      <w:pPr>
        <w:spacing w:after="0" w:line="240" w:lineRule="auto"/>
        <w:jc w:val="both"/>
        <w:rPr>
          <w:rFonts w:ascii="Arial" w:eastAsia="Calibri" w:hAnsi="Arial" w:cs="Arial"/>
          <w:sz w:val="20"/>
          <w:szCs w:val="20"/>
        </w:rPr>
      </w:pPr>
    </w:p>
    <w:p w14:paraId="49FD4ABF" w14:textId="77777777" w:rsidR="002A7E48" w:rsidRPr="002A7E48" w:rsidRDefault="002A7E48" w:rsidP="002A7E48">
      <w:pPr>
        <w:spacing w:after="0" w:line="240" w:lineRule="auto"/>
        <w:rPr>
          <w:rFonts w:ascii="Arial" w:eastAsia="Times New Roman" w:hAnsi="Arial" w:cs="Times New Roman"/>
          <w:b/>
          <w:sz w:val="24"/>
          <w:szCs w:val="26"/>
        </w:rPr>
      </w:pPr>
    </w:p>
    <w:p w14:paraId="15295B01" w14:textId="77777777" w:rsidR="002A7E48" w:rsidRPr="002A7E48" w:rsidRDefault="002A7E48" w:rsidP="002A7E48">
      <w:pPr>
        <w:spacing w:after="0" w:line="240" w:lineRule="auto"/>
        <w:rPr>
          <w:rFonts w:ascii="Calibri" w:eastAsia="Calibri" w:hAnsi="Calibri" w:cs="Times New Roman"/>
        </w:rPr>
      </w:pPr>
      <w:r w:rsidRPr="002A7E48">
        <w:rPr>
          <w:rFonts w:ascii="Arial" w:eastAsia="Times New Roman" w:hAnsi="Arial" w:cs="Times New Roman"/>
          <w:b/>
          <w:sz w:val="24"/>
          <w:szCs w:val="26"/>
        </w:rPr>
        <w:t>Dodano pojasnilo glede skupnih upravičenih stroškov/izdatkov finančnih instrumentov</w:t>
      </w:r>
    </w:p>
    <w:p w14:paraId="6E94FD97" w14:textId="77777777" w:rsidR="002A7E48" w:rsidRPr="002A7E48" w:rsidRDefault="002A7E48" w:rsidP="002A7E48">
      <w:pPr>
        <w:spacing w:after="0" w:line="240" w:lineRule="auto"/>
        <w:jc w:val="both"/>
        <w:rPr>
          <w:rFonts w:ascii="Arial" w:eastAsia="Calibri" w:hAnsi="Arial" w:cs="Arial"/>
          <w:sz w:val="20"/>
          <w:szCs w:val="20"/>
        </w:rPr>
      </w:pPr>
      <w:r w:rsidRPr="002A7E48">
        <w:rPr>
          <w:rFonts w:ascii="Arial" w:eastAsia="Calibri" w:hAnsi="Arial" w:cs="Arial"/>
          <w:sz w:val="20"/>
          <w:szCs w:val="20"/>
        </w:rPr>
        <w:t>V SFC, Splošno, Pripombe se doda pojasnilo: »</w:t>
      </w:r>
      <w:r w:rsidRPr="002A7E48">
        <w:rPr>
          <w:rFonts w:ascii="Arial" w:eastAsia="Calibri" w:hAnsi="Arial" w:cs="Arial"/>
          <w:i/>
          <w:sz w:val="20"/>
          <w:szCs w:val="20"/>
        </w:rPr>
        <w:t>Za finančne instrumente velja, da je celoten nacionalni prispevek enak pričakovanemu finančnemu vzvodu. Tako v sporazumu o financiranju opredeljeni pričakovani finančni vzvod predstavlja del skupnih upravičenih stroškov/izdatkov operacije finančnih instrumentov</w:t>
      </w:r>
      <w:r w:rsidRPr="002A7E48">
        <w:rPr>
          <w:rFonts w:ascii="Arial" w:eastAsia="Calibri" w:hAnsi="Arial" w:cs="Arial"/>
          <w:sz w:val="20"/>
          <w:szCs w:val="20"/>
        </w:rPr>
        <w:t>.« Pojasnilo se navezuje na Oddelek 3 Finančni načrt, Preglednico 18a po prednostnih oseh.</w:t>
      </w:r>
    </w:p>
    <w:p w14:paraId="64D18DF4" w14:textId="77777777" w:rsidR="002A7E48" w:rsidRPr="002A7E48" w:rsidRDefault="002A7E48" w:rsidP="002A7E48">
      <w:pPr>
        <w:keepNext/>
        <w:keepLines/>
        <w:spacing w:after="0" w:line="240" w:lineRule="auto"/>
        <w:jc w:val="both"/>
        <w:outlineLvl w:val="1"/>
        <w:rPr>
          <w:rFonts w:ascii="Arial" w:eastAsia="Times New Roman" w:hAnsi="Arial" w:cs="Arial"/>
          <w:b/>
          <w:sz w:val="20"/>
          <w:szCs w:val="20"/>
        </w:rPr>
      </w:pPr>
    </w:p>
    <w:p w14:paraId="563FAC78" w14:textId="77777777" w:rsidR="002A7E48" w:rsidRPr="002A7E48" w:rsidRDefault="002A7E48" w:rsidP="002A7E48">
      <w:pPr>
        <w:tabs>
          <w:tab w:val="left" w:pos="6237"/>
        </w:tabs>
        <w:spacing w:after="0" w:line="240" w:lineRule="auto"/>
        <w:ind w:left="843" w:firstLine="6237"/>
        <w:rPr>
          <w:rFonts w:ascii="Arial" w:eastAsia="Times New Roman" w:hAnsi="Arial" w:cs="Times New Roman"/>
          <w:sz w:val="20"/>
          <w:szCs w:val="20"/>
        </w:rPr>
      </w:pPr>
    </w:p>
    <w:p w14:paraId="1DE527F0" w14:textId="77777777" w:rsidR="006F5A71" w:rsidRPr="009174EB" w:rsidRDefault="006F5A71" w:rsidP="002A7E48">
      <w:pPr>
        <w:spacing w:after="0" w:line="240" w:lineRule="auto"/>
        <w:jc w:val="both"/>
        <w:rPr>
          <w:rFonts w:cs="Arial"/>
          <w:sz w:val="20"/>
          <w:szCs w:val="20"/>
        </w:rPr>
      </w:pPr>
    </w:p>
    <w:sectPr w:rsidR="006F5A71" w:rsidRPr="009174EB" w:rsidSect="00E96D3B">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D74ED4" w14:textId="77777777" w:rsidR="00B634AA" w:rsidRDefault="00B634AA" w:rsidP="0078138D">
      <w:pPr>
        <w:spacing w:after="0" w:line="240" w:lineRule="auto"/>
      </w:pPr>
      <w:r>
        <w:separator/>
      </w:r>
    </w:p>
  </w:endnote>
  <w:endnote w:type="continuationSeparator" w:id="0">
    <w:p w14:paraId="730980F0" w14:textId="77777777" w:rsidR="00B634AA" w:rsidRDefault="00B634AA" w:rsidP="007813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867D6" w14:textId="2CB4B354" w:rsidR="002A7E48" w:rsidRDefault="002A7E48">
    <w:pPr>
      <w:pStyle w:val="Noga"/>
      <w:jc w:val="center"/>
    </w:pPr>
    <w:r>
      <w:fldChar w:fldCharType="begin"/>
    </w:r>
    <w:r>
      <w:instrText>PAGE   \* MERGEFORMAT</w:instrText>
    </w:r>
    <w:r>
      <w:fldChar w:fldCharType="separate"/>
    </w:r>
    <w:r>
      <w:rPr>
        <w:noProof/>
      </w:rPr>
      <w:t>6</w:t>
    </w:r>
    <w:r>
      <w:fldChar w:fldCharType="end"/>
    </w:r>
  </w:p>
  <w:p w14:paraId="1A445A55" w14:textId="77777777" w:rsidR="002A7E48" w:rsidRDefault="002A7E48">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7286374"/>
      <w:docPartObj>
        <w:docPartGallery w:val="Page Numbers (Bottom of Page)"/>
        <w:docPartUnique/>
      </w:docPartObj>
    </w:sdtPr>
    <w:sdtEndPr/>
    <w:sdtContent>
      <w:p w14:paraId="5C578DC9" w14:textId="4D8F95D0" w:rsidR="00B634AA" w:rsidRDefault="00B634AA">
        <w:pPr>
          <w:pStyle w:val="Noga"/>
          <w:jc w:val="center"/>
        </w:pPr>
        <w:r>
          <w:fldChar w:fldCharType="begin"/>
        </w:r>
        <w:r>
          <w:instrText>PAGE   \* MERGEFORMAT</w:instrText>
        </w:r>
        <w:r>
          <w:fldChar w:fldCharType="separate"/>
        </w:r>
        <w:r w:rsidR="002A7E48">
          <w:rPr>
            <w:noProof/>
          </w:rPr>
          <w:t>17</w:t>
        </w:r>
        <w:r>
          <w:fldChar w:fldCharType="end"/>
        </w:r>
      </w:p>
    </w:sdtContent>
  </w:sdt>
  <w:p w14:paraId="6ACCB1D4" w14:textId="77777777" w:rsidR="00B634AA" w:rsidRDefault="00B634AA">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6C9663" w14:textId="77777777" w:rsidR="00B634AA" w:rsidRDefault="00B634AA" w:rsidP="0078138D">
      <w:pPr>
        <w:spacing w:after="0" w:line="240" w:lineRule="auto"/>
      </w:pPr>
      <w:r>
        <w:separator/>
      </w:r>
    </w:p>
  </w:footnote>
  <w:footnote w:type="continuationSeparator" w:id="0">
    <w:p w14:paraId="4FA20867" w14:textId="77777777" w:rsidR="00B634AA" w:rsidRDefault="00B634AA" w:rsidP="007813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8789B"/>
    <w:multiLevelType w:val="hybridMultilevel"/>
    <w:tmpl w:val="ACA83CD8"/>
    <w:lvl w:ilvl="0" w:tplc="B7DAC066">
      <w:start w:val="1"/>
      <w:numFmt w:val="bullet"/>
      <w:lvlText w:val="-"/>
      <w:lvlJc w:val="left"/>
      <w:pPr>
        <w:ind w:left="720" w:hanging="360"/>
      </w:pPr>
      <w:rPr>
        <w:rFonts w:ascii="Arial" w:eastAsia="SimSu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20F6A48"/>
    <w:multiLevelType w:val="hybridMultilevel"/>
    <w:tmpl w:val="3C9C8BE0"/>
    <w:lvl w:ilvl="0" w:tplc="7D964380">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C3C5682"/>
    <w:multiLevelType w:val="hybridMultilevel"/>
    <w:tmpl w:val="760C1568"/>
    <w:lvl w:ilvl="0" w:tplc="52DA0AB0">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5F27C1E"/>
    <w:multiLevelType w:val="hybridMultilevel"/>
    <w:tmpl w:val="13FCFE44"/>
    <w:lvl w:ilvl="0" w:tplc="58D2FE5E">
      <w:start w:val="2"/>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3C95598C"/>
    <w:multiLevelType w:val="hybridMultilevel"/>
    <w:tmpl w:val="E5FECF6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407E58D4"/>
    <w:multiLevelType w:val="hybridMultilevel"/>
    <w:tmpl w:val="F2BA527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45BC0A03"/>
    <w:multiLevelType w:val="hybridMultilevel"/>
    <w:tmpl w:val="87A06B0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48EF3B3B"/>
    <w:multiLevelType w:val="hybridMultilevel"/>
    <w:tmpl w:val="1FCC5AA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523D2343"/>
    <w:multiLevelType w:val="hybridMultilevel"/>
    <w:tmpl w:val="284A18DC"/>
    <w:lvl w:ilvl="0" w:tplc="ECDEC43E">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5B050C0A"/>
    <w:multiLevelType w:val="hybridMultilevel"/>
    <w:tmpl w:val="26D072E0"/>
    <w:lvl w:ilvl="0" w:tplc="76AC1A70">
      <w:start w:val="49"/>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67C300D9"/>
    <w:multiLevelType w:val="hybridMultilevel"/>
    <w:tmpl w:val="26D404DC"/>
    <w:lvl w:ilvl="0" w:tplc="76AC1A70">
      <w:start w:val="49"/>
      <w:numFmt w:val="bullet"/>
      <w:lvlText w:val=""/>
      <w:lvlJc w:val="left"/>
      <w:pPr>
        <w:ind w:left="720" w:hanging="360"/>
      </w:pPr>
      <w:rPr>
        <w:rFonts w:ascii="Symbol" w:eastAsia="Times New Roman" w:hAnsi="Symbol" w:cs="Times New Roman" w:hint="default"/>
      </w:rPr>
    </w:lvl>
    <w:lvl w:ilvl="1" w:tplc="E33AA7CE">
      <w:numFmt w:val="bullet"/>
      <w:lvlText w:val="-"/>
      <w:lvlJc w:val="left"/>
      <w:pPr>
        <w:ind w:left="1440" w:hanging="360"/>
      </w:pPr>
      <w:rPr>
        <w:rFonts w:ascii="Arial" w:eastAsia="Times New Roman" w:hAnsi="Arial" w:cs="Arial"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6B032939"/>
    <w:multiLevelType w:val="hybridMultilevel"/>
    <w:tmpl w:val="D9A4122C"/>
    <w:lvl w:ilvl="0" w:tplc="41802F4C">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715D5F52"/>
    <w:multiLevelType w:val="hybridMultilevel"/>
    <w:tmpl w:val="9710E1FC"/>
    <w:lvl w:ilvl="0" w:tplc="1B86263E">
      <w:start w:val="1"/>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7E1E2B2A"/>
    <w:multiLevelType w:val="hybridMultilevel"/>
    <w:tmpl w:val="0B1EBBC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7E28247B"/>
    <w:multiLevelType w:val="hybridMultilevel"/>
    <w:tmpl w:val="61E278F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7F390DA8"/>
    <w:multiLevelType w:val="hybridMultilevel"/>
    <w:tmpl w:val="13A622EE"/>
    <w:lvl w:ilvl="0" w:tplc="76AC1A70">
      <w:start w:val="49"/>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12"/>
  </w:num>
  <w:num w:numId="4">
    <w:abstractNumId w:val="14"/>
  </w:num>
  <w:num w:numId="5">
    <w:abstractNumId w:val="2"/>
  </w:num>
  <w:num w:numId="6">
    <w:abstractNumId w:val="9"/>
  </w:num>
  <w:num w:numId="7">
    <w:abstractNumId w:val="10"/>
  </w:num>
  <w:num w:numId="8">
    <w:abstractNumId w:val="15"/>
  </w:num>
  <w:num w:numId="9">
    <w:abstractNumId w:val="0"/>
  </w:num>
  <w:num w:numId="10">
    <w:abstractNumId w:val="1"/>
  </w:num>
  <w:num w:numId="11">
    <w:abstractNumId w:val="13"/>
  </w:num>
  <w:num w:numId="12">
    <w:abstractNumId w:val="6"/>
  </w:num>
  <w:num w:numId="13">
    <w:abstractNumId w:val="7"/>
  </w:num>
  <w:num w:numId="14">
    <w:abstractNumId w:val="4"/>
  </w:num>
  <w:num w:numId="15">
    <w:abstractNumId w:val="5"/>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644"/>
    <w:rsid w:val="00013A50"/>
    <w:rsid w:val="000158F0"/>
    <w:rsid w:val="00021A42"/>
    <w:rsid w:val="0004205C"/>
    <w:rsid w:val="000452DF"/>
    <w:rsid w:val="00053BA4"/>
    <w:rsid w:val="000620CA"/>
    <w:rsid w:val="00093062"/>
    <w:rsid w:val="000A1BF2"/>
    <w:rsid w:val="000A4AEC"/>
    <w:rsid w:val="000A6EFA"/>
    <w:rsid w:val="000A6F0E"/>
    <w:rsid w:val="000B41F0"/>
    <w:rsid w:val="000B635D"/>
    <w:rsid w:val="000C5D6F"/>
    <w:rsid w:val="000E3CA4"/>
    <w:rsid w:val="000F13C6"/>
    <w:rsid w:val="000F1ECB"/>
    <w:rsid w:val="0014121E"/>
    <w:rsid w:val="001518E8"/>
    <w:rsid w:val="001534AA"/>
    <w:rsid w:val="00167E2E"/>
    <w:rsid w:val="00181385"/>
    <w:rsid w:val="00193268"/>
    <w:rsid w:val="00196C69"/>
    <w:rsid w:val="001B4B85"/>
    <w:rsid w:val="001B4F7A"/>
    <w:rsid w:val="001C6AE8"/>
    <w:rsid w:val="001D317D"/>
    <w:rsid w:val="001D61D3"/>
    <w:rsid w:val="001F005F"/>
    <w:rsid w:val="001F26D2"/>
    <w:rsid w:val="001F5556"/>
    <w:rsid w:val="002124C2"/>
    <w:rsid w:val="00214D24"/>
    <w:rsid w:val="00243E6D"/>
    <w:rsid w:val="00244895"/>
    <w:rsid w:val="00245C92"/>
    <w:rsid w:val="002475CD"/>
    <w:rsid w:val="00255E43"/>
    <w:rsid w:val="002739C8"/>
    <w:rsid w:val="00277460"/>
    <w:rsid w:val="00282B9B"/>
    <w:rsid w:val="00284836"/>
    <w:rsid w:val="0029294C"/>
    <w:rsid w:val="002954B6"/>
    <w:rsid w:val="00297D0E"/>
    <w:rsid w:val="002A327C"/>
    <w:rsid w:val="002A3D50"/>
    <w:rsid w:val="002A7E48"/>
    <w:rsid w:val="002B3535"/>
    <w:rsid w:val="002B7075"/>
    <w:rsid w:val="002C646B"/>
    <w:rsid w:val="002C7921"/>
    <w:rsid w:val="002D0186"/>
    <w:rsid w:val="002D27ED"/>
    <w:rsid w:val="002D50A1"/>
    <w:rsid w:val="002D5492"/>
    <w:rsid w:val="002E27CD"/>
    <w:rsid w:val="002F0D21"/>
    <w:rsid w:val="0031054E"/>
    <w:rsid w:val="003232BA"/>
    <w:rsid w:val="003241FB"/>
    <w:rsid w:val="00325117"/>
    <w:rsid w:val="00327BDD"/>
    <w:rsid w:val="0033557B"/>
    <w:rsid w:val="00335B0C"/>
    <w:rsid w:val="00335DF8"/>
    <w:rsid w:val="00336F18"/>
    <w:rsid w:val="00337260"/>
    <w:rsid w:val="003462F9"/>
    <w:rsid w:val="00365B49"/>
    <w:rsid w:val="00365D38"/>
    <w:rsid w:val="00370864"/>
    <w:rsid w:val="00384FE5"/>
    <w:rsid w:val="003A155D"/>
    <w:rsid w:val="003B2F29"/>
    <w:rsid w:val="003C2AF9"/>
    <w:rsid w:val="003D39A7"/>
    <w:rsid w:val="003E1564"/>
    <w:rsid w:val="003E1FFC"/>
    <w:rsid w:val="003F19F3"/>
    <w:rsid w:val="00414AE3"/>
    <w:rsid w:val="004361AE"/>
    <w:rsid w:val="004411A5"/>
    <w:rsid w:val="004437A4"/>
    <w:rsid w:val="004445F0"/>
    <w:rsid w:val="00446B98"/>
    <w:rsid w:val="0045120D"/>
    <w:rsid w:val="004635E7"/>
    <w:rsid w:val="00463644"/>
    <w:rsid w:val="004815FD"/>
    <w:rsid w:val="0048230E"/>
    <w:rsid w:val="00482A10"/>
    <w:rsid w:val="0048430F"/>
    <w:rsid w:val="00484BBE"/>
    <w:rsid w:val="004929DF"/>
    <w:rsid w:val="004957B1"/>
    <w:rsid w:val="004B070F"/>
    <w:rsid w:val="004B21FE"/>
    <w:rsid w:val="004B3733"/>
    <w:rsid w:val="004C02C8"/>
    <w:rsid w:val="004C0B11"/>
    <w:rsid w:val="004C2279"/>
    <w:rsid w:val="004C341F"/>
    <w:rsid w:val="004C3889"/>
    <w:rsid w:val="004C4A60"/>
    <w:rsid w:val="004C76C6"/>
    <w:rsid w:val="004D1A3B"/>
    <w:rsid w:val="004F7E58"/>
    <w:rsid w:val="00515A6C"/>
    <w:rsid w:val="00524D4B"/>
    <w:rsid w:val="00526F12"/>
    <w:rsid w:val="00533630"/>
    <w:rsid w:val="005369CB"/>
    <w:rsid w:val="005414FF"/>
    <w:rsid w:val="0054745D"/>
    <w:rsid w:val="0055217B"/>
    <w:rsid w:val="00556FAF"/>
    <w:rsid w:val="00562F83"/>
    <w:rsid w:val="0056382F"/>
    <w:rsid w:val="00571FE3"/>
    <w:rsid w:val="00581A99"/>
    <w:rsid w:val="00583CF3"/>
    <w:rsid w:val="00584155"/>
    <w:rsid w:val="005966FF"/>
    <w:rsid w:val="005B5140"/>
    <w:rsid w:val="005C28C1"/>
    <w:rsid w:val="005F3795"/>
    <w:rsid w:val="005F61A5"/>
    <w:rsid w:val="006054EF"/>
    <w:rsid w:val="00606A7B"/>
    <w:rsid w:val="00621F31"/>
    <w:rsid w:val="00646E85"/>
    <w:rsid w:val="00653191"/>
    <w:rsid w:val="006534A2"/>
    <w:rsid w:val="00666E20"/>
    <w:rsid w:val="00683F46"/>
    <w:rsid w:val="00686056"/>
    <w:rsid w:val="006870AD"/>
    <w:rsid w:val="00691FE4"/>
    <w:rsid w:val="006937B2"/>
    <w:rsid w:val="00694137"/>
    <w:rsid w:val="006952B2"/>
    <w:rsid w:val="006A6364"/>
    <w:rsid w:val="006A7666"/>
    <w:rsid w:val="006A7672"/>
    <w:rsid w:val="006B01AB"/>
    <w:rsid w:val="006B0483"/>
    <w:rsid w:val="006B387A"/>
    <w:rsid w:val="006D1504"/>
    <w:rsid w:val="006D2505"/>
    <w:rsid w:val="006D6658"/>
    <w:rsid w:val="006D677C"/>
    <w:rsid w:val="006E2CF1"/>
    <w:rsid w:val="006F2CBE"/>
    <w:rsid w:val="006F5A71"/>
    <w:rsid w:val="007018E4"/>
    <w:rsid w:val="00711FE0"/>
    <w:rsid w:val="007139AA"/>
    <w:rsid w:val="007178E5"/>
    <w:rsid w:val="00722300"/>
    <w:rsid w:val="00743BDE"/>
    <w:rsid w:val="007477CE"/>
    <w:rsid w:val="00747E92"/>
    <w:rsid w:val="00775043"/>
    <w:rsid w:val="00775236"/>
    <w:rsid w:val="00777023"/>
    <w:rsid w:val="0078138D"/>
    <w:rsid w:val="00794073"/>
    <w:rsid w:val="00794508"/>
    <w:rsid w:val="00794B07"/>
    <w:rsid w:val="00795D11"/>
    <w:rsid w:val="007A6ECD"/>
    <w:rsid w:val="007C0F24"/>
    <w:rsid w:val="00812BFE"/>
    <w:rsid w:val="0081360E"/>
    <w:rsid w:val="008259C1"/>
    <w:rsid w:val="0083514F"/>
    <w:rsid w:val="00875163"/>
    <w:rsid w:val="00876218"/>
    <w:rsid w:val="00881939"/>
    <w:rsid w:val="008848DE"/>
    <w:rsid w:val="00885488"/>
    <w:rsid w:val="0088678D"/>
    <w:rsid w:val="00886F94"/>
    <w:rsid w:val="00887200"/>
    <w:rsid w:val="00890F82"/>
    <w:rsid w:val="008C03B5"/>
    <w:rsid w:val="008C6BBD"/>
    <w:rsid w:val="008D0055"/>
    <w:rsid w:val="008D1DA7"/>
    <w:rsid w:val="008E1325"/>
    <w:rsid w:val="008F0E5A"/>
    <w:rsid w:val="008F7B25"/>
    <w:rsid w:val="009018EC"/>
    <w:rsid w:val="009174EB"/>
    <w:rsid w:val="00917960"/>
    <w:rsid w:val="0092014F"/>
    <w:rsid w:val="009248CA"/>
    <w:rsid w:val="00927C98"/>
    <w:rsid w:val="00931577"/>
    <w:rsid w:val="00933F6C"/>
    <w:rsid w:val="00940ED6"/>
    <w:rsid w:val="00947952"/>
    <w:rsid w:val="00953CB0"/>
    <w:rsid w:val="00962EEC"/>
    <w:rsid w:val="00963E22"/>
    <w:rsid w:val="00970D19"/>
    <w:rsid w:val="00974CC3"/>
    <w:rsid w:val="00976B48"/>
    <w:rsid w:val="00977908"/>
    <w:rsid w:val="009801C6"/>
    <w:rsid w:val="00980B1E"/>
    <w:rsid w:val="009B2267"/>
    <w:rsid w:val="009C1C53"/>
    <w:rsid w:val="009C43A2"/>
    <w:rsid w:val="009E7941"/>
    <w:rsid w:val="009F7DDB"/>
    <w:rsid w:val="00A0148A"/>
    <w:rsid w:val="00A07C79"/>
    <w:rsid w:val="00A10BDE"/>
    <w:rsid w:val="00A17178"/>
    <w:rsid w:val="00A231DC"/>
    <w:rsid w:val="00A27E62"/>
    <w:rsid w:val="00A7354E"/>
    <w:rsid w:val="00A7477D"/>
    <w:rsid w:val="00A779F6"/>
    <w:rsid w:val="00A97D0A"/>
    <w:rsid w:val="00AA01A6"/>
    <w:rsid w:val="00AA4987"/>
    <w:rsid w:val="00AC1980"/>
    <w:rsid w:val="00AC5B33"/>
    <w:rsid w:val="00AC74B9"/>
    <w:rsid w:val="00AC7709"/>
    <w:rsid w:val="00AE0A92"/>
    <w:rsid w:val="00AF0BC3"/>
    <w:rsid w:val="00AF56E4"/>
    <w:rsid w:val="00AF5780"/>
    <w:rsid w:val="00AF58E1"/>
    <w:rsid w:val="00AF6F3F"/>
    <w:rsid w:val="00B16D36"/>
    <w:rsid w:val="00B3688A"/>
    <w:rsid w:val="00B42FED"/>
    <w:rsid w:val="00B51700"/>
    <w:rsid w:val="00B634AA"/>
    <w:rsid w:val="00B65110"/>
    <w:rsid w:val="00B750FF"/>
    <w:rsid w:val="00B75D61"/>
    <w:rsid w:val="00B85BA6"/>
    <w:rsid w:val="00B91827"/>
    <w:rsid w:val="00BA65D0"/>
    <w:rsid w:val="00BB017B"/>
    <w:rsid w:val="00BB3B9B"/>
    <w:rsid w:val="00BB648F"/>
    <w:rsid w:val="00BC1E1A"/>
    <w:rsid w:val="00BC524F"/>
    <w:rsid w:val="00BC735B"/>
    <w:rsid w:val="00BD79BD"/>
    <w:rsid w:val="00BF1160"/>
    <w:rsid w:val="00BF41BE"/>
    <w:rsid w:val="00BF7FD6"/>
    <w:rsid w:val="00C05F09"/>
    <w:rsid w:val="00C10428"/>
    <w:rsid w:val="00C16A4F"/>
    <w:rsid w:val="00C221D0"/>
    <w:rsid w:val="00C30F34"/>
    <w:rsid w:val="00C31422"/>
    <w:rsid w:val="00C43560"/>
    <w:rsid w:val="00C456FE"/>
    <w:rsid w:val="00C50A4C"/>
    <w:rsid w:val="00C5190E"/>
    <w:rsid w:val="00C536B9"/>
    <w:rsid w:val="00C56A4E"/>
    <w:rsid w:val="00C579B7"/>
    <w:rsid w:val="00C64445"/>
    <w:rsid w:val="00C706D2"/>
    <w:rsid w:val="00C72FC4"/>
    <w:rsid w:val="00C738F1"/>
    <w:rsid w:val="00C90163"/>
    <w:rsid w:val="00C90650"/>
    <w:rsid w:val="00C9413B"/>
    <w:rsid w:val="00CC2CA9"/>
    <w:rsid w:val="00CC6201"/>
    <w:rsid w:val="00CD52ED"/>
    <w:rsid w:val="00CF2C5F"/>
    <w:rsid w:val="00D05BB2"/>
    <w:rsid w:val="00D07EE4"/>
    <w:rsid w:val="00D110E2"/>
    <w:rsid w:val="00D17A60"/>
    <w:rsid w:val="00D24B28"/>
    <w:rsid w:val="00D3109E"/>
    <w:rsid w:val="00D34F78"/>
    <w:rsid w:val="00D436D6"/>
    <w:rsid w:val="00D508EA"/>
    <w:rsid w:val="00D60111"/>
    <w:rsid w:val="00D73EC0"/>
    <w:rsid w:val="00D74755"/>
    <w:rsid w:val="00D83973"/>
    <w:rsid w:val="00D93B4C"/>
    <w:rsid w:val="00D9553F"/>
    <w:rsid w:val="00D97981"/>
    <w:rsid w:val="00DB0A7B"/>
    <w:rsid w:val="00DB42AE"/>
    <w:rsid w:val="00DD0FFF"/>
    <w:rsid w:val="00DE05B6"/>
    <w:rsid w:val="00DE4AD3"/>
    <w:rsid w:val="00DE7971"/>
    <w:rsid w:val="00DF6C12"/>
    <w:rsid w:val="00E267D0"/>
    <w:rsid w:val="00E3082F"/>
    <w:rsid w:val="00E33F99"/>
    <w:rsid w:val="00E36220"/>
    <w:rsid w:val="00E40E31"/>
    <w:rsid w:val="00E41BD8"/>
    <w:rsid w:val="00E43514"/>
    <w:rsid w:val="00E43978"/>
    <w:rsid w:val="00E446C9"/>
    <w:rsid w:val="00E464BE"/>
    <w:rsid w:val="00E5456C"/>
    <w:rsid w:val="00E82EA0"/>
    <w:rsid w:val="00E83257"/>
    <w:rsid w:val="00E85650"/>
    <w:rsid w:val="00E95EF7"/>
    <w:rsid w:val="00E96D3B"/>
    <w:rsid w:val="00EA6638"/>
    <w:rsid w:val="00EA7E99"/>
    <w:rsid w:val="00EB0F58"/>
    <w:rsid w:val="00EB44E7"/>
    <w:rsid w:val="00EC16AC"/>
    <w:rsid w:val="00EC5570"/>
    <w:rsid w:val="00ED4193"/>
    <w:rsid w:val="00EE03B0"/>
    <w:rsid w:val="00EE0A64"/>
    <w:rsid w:val="00EE2781"/>
    <w:rsid w:val="00EF0C62"/>
    <w:rsid w:val="00EF1B82"/>
    <w:rsid w:val="00F27811"/>
    <w:rsid w:val="00F30DF2"/>
    <w:rsid w:val="00F372CB"/>
    <w:rsid w:val="00F50BF4"/>
    <w:rsid w:val="00F52563"/>
    <w:rsid w:val="00F541FA"/>
    <w:rsid w:val="00F55477"/>
    <w:rsid w:val="00F63030"/>
    <w:rsid w:val="00F6640B"/>
    <w:rsid w:val="00F81775"/>
    <w:rsid w:val="00F817CD"/>
    <w:rsid w:val="00F93442"/>
    <w:rsid w:val="00FA43F4"/>
    <w:rsid w:val="00FB0F29"/>
    <w:rsid w:val="00FB318A"/>
    <w:rsid w:val="00FC1DBC"/>
    <w:rsid w:val="00FC454B"/>
    <w:rsid w:val="00FD086F"/>
    <w:rsid w:val="00FE5FC0"/>
    <w:rsid w:val="00FE6BCA"/>
    <w:rsid w:val="00FF56B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E8FEB"/>
  <w15:chartTrackingRefBased/>
  <w15:docId w15:val="{B1C68507-178C-4886-93CC-377A2AD1B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4B21FE"/>
  </w:style>
  <w:style w:type="paragraph" w:styleId="Naslov1">
    <w:name w:val="heading 1"/>
    <w:basedOn w:val="Navaden"/>
    <w:next w:val="Navaden"/>
    <w:link w:val="Naslov1Znak"/>
    <w:uiPriority w:val="9"/>
    <w:qFormat/>
    <w:rsid w:val="002D50A1"/>
    <w:pPr>
      <w:keepNext/>
      <w:keepLines/>
      <w:spacing w:after="0" w:line="360" w:lineRule="auto"/>
      <w:outlineLvl w:val="0"/>
    </w:pPr>
    <w:rPr>
      <w:rFonts w:ascii="Arial" w:eastAsiaTheme="majorEastAsia" w:hAnsi="Arial" w:cstheme="majorBidi"/>
      <w:b/>
      <w:sz w:val="28"/>
      <w:szCs w:val="32"/>
    </w:rPr>
  </w:style>
  <w:style w:type="paragraph" w:styleId="Naslov2">
    <w:name w:val="heading 2"/>
    <w:basedOn w:val="Navaden"/>
    <w:next w:val="Navaden"/>
    <w:link w:val="Naslov2Znak"/>
    <w:uiPriority w:val="9"/>
    <w:unhideWhenUsed/>
    <w:qFormat/>
    <w:rsid w:val="000A1BF2"/>
    <w:pPr>
      <w:keepNext/>
      <w:keepLines/>
      <w:spacing w:after="0" w:line="240" w:lineRule="auto"/>
      <w:outlineLvl w:val="1"/>
    </w:pPr>
    <w:rPr>
      <w:rFonts w:ascii="Arial" w:eastAsiaTheme="majorEastAsia" w:hAnsi="Arial" w:cstheme="majorBidi"/>
      <w:b/>
      <w:sz w:val="24"/>
      <w:szCs w:val="26"/>
    </w:rPr>
  </w:style>
  <w:style w:type="paragraph" w:styleId="Naslov3">
    <w:name w:val="heading 3"/>
    <w:basedOn w:val="Navaden"/>
    <w:next w:val="Navaden"/>
    <w:link w:val="Naslov3Znak"/>
    <w:uiPriority w:val="9"/>
    <w:unhideWhenUsed/>
    <w:qFormat/>
    <w:rsid w:val="00FE5FC0"/>
    <w:pPr>
      <w:keepNext/>
      <w:keepLines/>
      <w:spacing w:before="40" w:after="0"/>
      <w:outlineLvl w:val="2"/>
    </w:pPr>
    <w:rPr>
      <w:rFonts w:ascii="Arial" w:eastAsiaTheme="majorEastAsia" w:hAnsi="Arial" w:cstheme="majorBidi"/>
      <w:b/>
      <w:sz w:val="2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aliases w:val="naslov 1,Bullet 1,Bullet Points,Bullet layer,Colorful List - Accent 11,Dot pt,F5 List Paragraph,Indicator Text,Issue Action POC,List Paragraph Char Char Char,List Paragraph2,MAIN CONTENT,Normal numbered,K1,3"/>
    <w:basedOn w:val="Navaden"/>
    <w:link w:val="OdstavekseznamaZnak"/>
    <w:uiPriority w:val="34"/>
    <w:qFormat/>
    <w:rsid w:val="00D436D6"/>
    <w:pPr>
      <w:ind w:left="720"/>
      <w:contextualSpacing/>
    </w:pPr>
  </w:style>
  <w:style w:type="character" w:customStyle="1" w:styleId="Naslov1Znak">
    <w:name w:val="Naslov 1 Znak"/>
    <w:basedOn w:val="Privzetapisavaodstavka"/>
    <w:link w:val="Naslov1"/>
    <w:uiPriority w:val="9"/>
    <w:rsid w:val="002D50A1"/>
    <w:rPr>
      <w:rFonts w:ascii="Arial" w:eastAsiaTheme="majorEastAsia" w:hAnsi="Arial" w:cstheme="majorBidi"/>
      <w:b/>
      <w:sz w:val="28"/>
      <w:szCs w:val="32"/>
    </w:rPr>
  </w:style>
  <w:style w:type="character" w:customStyle="1" w:styleId="Naslov2Znak">
    <w:name w:val="Naslov 2 Znak"/>
    <w:basedOn w:val="Privzetapisavaodstavka"/>
    <w:link w:val="Naslov2"/>
    <w:uiPriority w:val="9"/>
    <w:rsid w:val="000A1BF2"/>
    <w:rPr>
      <w:rFonts w:ascii="Arial" w:eastAsiaTheme="majorEastAsia" w:hAnsi="Arial" w:cstheme="majorBidi"/>
      <w:b/>
      <w:sz w:val="24"/>
      <w:szCs w:val="26"/>
    </w:rPr>
  </w:style>
  <w:style w:type="character" w:styleId="Pripombasklic">
    <w:name w:val="annotation reference"/>
    <w:basedOn w:val="Privzetapisavaodstavka"/>
    <w:uiPriority w:val="99"/>
    <w:unhideWhenUsed/>
    <w:rsid w:val="00B42FED"/>
    <w:rPr>
      <w:sz w:val="16"/>
      <w:szCs w:val="16"/>
    </w:rPr>
  </w:style>
  <w:style w:type="paragraph" w:styleId="Pripombabesedilo">
    <w:name w:val="annotation text"/>
    <w:basedOn w:val="Navaden"/>
    <w:link w:val="PripombabesediloZnak"/>
    <w:uiPriority w:val="99"/>
    <w:unhideWhenUsed/>
    <w:rsid w:val="00B42FED"/>
    <w:pPr>
      <w:spacing w:line="240" w:lineRule="auto"/>
    </w:pPr>
    <w:rPr>
      <w:sz w:val="20"/>
      <w:szCs w:val="20"/>
    </w:rPr>
  </w:style>
  <w:style w:type="character" w:customStyle="1" w:styleId="PripombabesediloZnak">
    <w:name w:val="Pripomba – besedilo Znak"/>
    <w:basedOn w:val="Privzetapisavaodstavka"/>
    <w:link w:val="Pripombabesedilo"/>
    <w:uiPriority w:val="99"/>
    <w:rsid w:val="00B42FED"/>
    <w:rPr>
      <w:sz w:val="20"/>
      <w:szCs w:val="20"/>
    </w:rPr>
  </w:style>
  <w:style w:type="paragraph" w:styleId="Zadevapripombe">
    <w:name w:val="annotation subject"/>
    <w:basedOn w:val="Pripombabesedilo"/>
    <w:next w:val="Pripombabesedilo"/>
    <w:link w:val="ZadevapripombeZnak"/>
    <w:uiPriority w:val="99"/>
    <w:semiHidden/>
    <w:unhideWhenUsed/>
    <w:rsid w:val="00B42FED"/>
    <w:rPr>
      <w:b/>
      <w:bCs/>
    </w:rPr>
  </w:style>
  <w:style w:type="character" w:customStyle="1" w:styleId="ZadevapripombeZnak">
    <w:name w:val="Zadeva pripombe Znak"/>
    <w:basedOn w:val="PripombabesediloZnak"/>
    <w:link w:val="Zadevapripombe"/>
    <w:uiPriority w:val="99"/>
    <w:semiHidden/>
    <w:rsid w:val="00B42FED"/>
    <w:rPr>
      <w:b/>
      <w:bCs/>
      <w:sz w:val="20"/>
      <w:szCs w:val="20"/>
    </w:rPr>
  </w:style>
  <w:style w:type="paragraph" w:styleId="Besedilooblaka">
    <w:name w:val="Balloon Text"/>
    <w:basedOn w:val="Navaden"/>
    <w:link w:val="BesedilooblakaZnak"/>
    <w:uiPriority w:val="99"/>
    <w:semiHidden/>
    <w:unhideWhenUsed/>
    <w:rsid w:val="00B42FED"/>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B42FED"/>
    <w:rPr>
      <w:rFonts w:ascii="Segoe UI" w:hAnsi="Segoe UI" w:cs="Segoe UI"/>
      <w:sz w:val="18"/>
      <w:szCs w:val="18"/>
    </w:rPr>
  </w:style>
  <w:style w:type="character" w:customStyle="1" w:styleId="Naslov3Znak">
    <w:name w:val="Naslov 3 Znak"/>
    <w:basedOn w:val="Privzetapisavaodstavka"/>
    <w:link w:val="Naslov3"/>
    <w:uiPriority w:val="9"/>
    <w:rsid w:val="00FE5FC0"/>
    <w:rPr>
      <w:rFonts w:ascii="Arial" w:eastAsiaTheme="majorEastAsia" w:hAnsi="Arial" w:cstheme="majorBidi"/>
      <w:b/>
      <w:sz w:val="20"/>
      <w:szCs w:val="24"/>
    </w:rPr>
  </w:style>
  <w:style w:type="character" w:styleId="Hiperpovezava">
    <w:name w:val="Hyperlink"/>
    <w:basedOn w:val="Privzetapisavaodstavka"/>
    <w:uiPriority w:val="99"/>
    <w:unhideWhenUsed/>
    <w:rsid w:val="005C28C1"/>
    <w:rPr>
      <w:color w:val="0563C1"/>
      <w:u w:val="single"/>
    </w:rPr>
  </w:style>
  <w:style w:type="character" w:styleId="SledenaHiperpovezava">
    <w:name w:val="FollowedHyperlink"/>
    <w:basedOn w:val="Privzetapisavaodstavka"/>
    <w:uiPriority w:val="99"/>
    <w:semiHidden/>
    <w:unhideWhenUsed/>
    <w:rsid w:val="005C28C1"/>
    <w:rPr>
      <w:color w:val="954F72"/>
      <w:u w:val="single"/>
    </w:rPr>
  </w:style>
  <w:style w:type="paragraph" w:customStyle="1" w:styleId="msonormal0">
    <w:name w:val="msonormal"/>
    <w:basedOn w:val="Navaden"/>
    <w:rsid w:val="005C28C1"/>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xl66">
    <w:name w:val="xl66"/>
    <w:basedOn w:val="Navaden"/>
    <w:rsid w:val="005C28C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xl67">
    <w:name w:val="xl67"/>
    <w:basedOn w:val="Navaden"/>
    <w:rsid w:val="005C28C1"/>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xl68">
    <w:name w:val="xl68"/>
    <w:basedOn w:val="Navaden"/>
    <w:rsid w:val="005C28C1"/>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xl69">
    <w:name w:val="xl69"/>
    <w:basedOn w:val="Navaden"/>
    <w:rsid w:val="005C28C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xl70">
    <w:name w:val="xl70"/>
    <w:basedOn w:val="Navaden"/>
    <w:rsid w:val="005C28C1"/>
    <w:pPr>
      <w:pBdr>
        <w:top w:val="single" w:sz="4" w:space="0" w:color="auto"/>
        <w:left w:val="single" w:sz="8"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xl71">
    <w:name w:val="xl71"/>
    <w:basedOn w:val="Navaden"/>
    <w:rsid w:val="005C28C1"/>
    <w:pPr>
      <w:pBdr>
        <w:top w:val="single" w:sz="4" w:space="0" w:color="auto"/>
        <w:left w:val="single" w:sz="4"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xl72">
    <w:name w:val="xl72"/>
    <w:basedOn w:val="Navaden"/>
    <w:rsid w:val="005C28C1"/>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xl73">
    <w:name w:val="xl73"/>
    <w:basedOn w:val="Navaden"/>
    <w:rsid w:val="005C28C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xl74">
    <w:name w:val="xl74"/>
    <w:basedOn w:val="Navaden"/>
    <w:rsid w:val="005C28C1"/>
    <w:pPr>
      <w:pBdr>
        <w:top w:val="single" w:sz="4" w:space="0" w:color="auto"/>
        <w:left w:val="single" w:sz="4"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xl75">
    <w:name w:val="xl75"/>
    <w:basedOn w:val="Navaden"/>
    <w:rsid w:val="005C28C1"/>
    <w:pPr>
      <w:pBdr>
        <w:top w:val="single" w:sz="8" w:space="0" w:color="auto"/>
        <w:left w:val="single" w:sz="8"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xl76">
    <w:name w:val="xl76"/>
    <w:basedOn w:val="Navaden"/>
    <w:rsid w:val="005C28C1"/>
    <w:pPr>
      <w:pBdr>
        <w:top w:val="single" w:sz="8" w:space="0" w:color="auto"/>
        <w:left w:val="single" w:sz="4"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xl77">
    <w:name w:val="xl77"/>
    <w:basedOn w:val="Navaden"/>
    <w:rsid w:val="005C28C1"/>
    <w:pPr>
      <w:pBdr>
        <w:top w:val="single" w:sz="8" w:space="0" w:color="auto"/>
        <w:left w:val="single" w:sz="4"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xl78">
    <w:name w:val="xl78"/>
    <w:basedOn w:val="Navaden"/>
    <w:rsid w:val="005C28C1"/>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xl79">
    <w:name w:val="xl79"/>
    <w:basedOn w:val="Navaden"/>
    <w:rsid w:val="005C28C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xl80">
    <w:name w:val="xl80"/>
    <w:basedOn w:val="Navaden"/>
    <w:rsid w:val="005C28C1"/>
    <w:pPr>
      <w:pBdr>
        <w:top w:val="single" w:sz="4" w:space="0" w:color="auto"/>
        <w:left w:val="single" w:sz="4"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xl81">
    <w:name w:val="xl81"/>
    <w:basedOn w:val="Navaden"/>
    <w:rsid w:val="005C28C1"/>
    <w:pPr>
      <w:pBdr>
        <w:top w:val="single" w:sz="8" w:space="0" w:color="auto"/>
        <w:left w:val="single" w:sz="4"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xl82">
    <w:name w:val="xl82"/>
    <w:basedOn w:val="Navaden"/>
    <w:rsid w:val="005C28C1"/>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xl83">
    <w:name w:val="xl83"/>
    <w:basedOn w:val="Navaden"/>
    <w:rsid w:val="005C28C1"/>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xl84">
    <w:name w:val="xl84"/>
    <w:basedOn w:val="Navaden"/>
    <w:rsid w:val="005C28C1"/>
    <w:pPr>
      <w:pBdr>
        <w:top w:val="single" w:sz="4" w:space="0" w:color="auto"/>
        <w:left w:val="single" w:sz="4" w:space="0" w:color="auto"/>
        <w:bottom w:val="double" w:sz="6"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xl85">
    <w:name w:val="xl85"/>
    <w:basedOn w:val="Navaden"/>
    <w:rsid w:val="005C28C1"/>
    <w:pPr>
      <w:pBdr>
        <w:top w:val="single" w:sz="8" w:space="0" w:color="auto"/>
        <w:left w:val="single" w:sz="4" w:space="0" w:color="auto"/>
        <w:bottom w:val="double" w:sz="6"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xl86">
    <w:name w:val="xl86"/>
    <w:basedOn w:val="Navaden"/>
    <w:rsid w:val="005C28C1"/>
    <w:pPr>
      <w:pBdr>
        <w:left w:val="single" w:sz="4" w:space="0" w:color="auto"/>
        <w:bottom w:val="single" w:sz="8" w:space="0" w:color="auto"/>
        <w:right w:val="single" w:sz="4" w:space="0" w:color="auto"/>
      </w:pBdr>
      <w:shd w:val="clear" w:color="000000" w:fill="F2F2F2"/>
      <w:spacing w:before="100" w:beforeAutospacing="1" w:after="100" w:afterAutospacing="1" w:line="240" w:lineRule="auto"/>
    </w:pPr>
    <w:rPr>
      <w:rFonts w:ascii="Times New Roman" w:eastAsia="Times New Roman" w:hAnsi="Times New Roman" w:cs="Times New Roman"/>
      <w:b/>
      <w:bCs/>
      <w:sz w:val="24"/>
      <w:szCs w:val="24"/>
      <w:lang w:eastAsia="sl-SI"/>
    </w:rPr>
  </w:style>
  <w:style w:type="paragraph" w:customStyle="1" w:styleId="xl87">
    <w:name w:val="xl87"/>
    <w:basedOn w:val="Navaden"/>
    <w:rsid w:val="005C28C1"/>
    <w:pPr>
      <w:pBdr>
        <w:left w:val="single" w:sz="4" w:space="0" w:color="auto"/>
        <w:bottom w:val="single" w:sz="8" w:space="0" w:color="auto"/>
        <w:right w:val="single" w:sz="4" w:space="0" w:color="auto"/>
      </w:pBdr>
      <w:shd w:val="clear" w:color="000000" w:fill="F2F2F2"/>
      <w:spacing w:before="100" w:beforeAutospacing="1" w:after="100" w:afterAutospacing="1" w:line="240" w:lineRule="auto"/>
    </w:pPr>
    <w:rPr>
      <w:rFonts w:ascii="Times New Roman" w:eastAsia="Times New Roman" w:hAnsi="Times New Roman" w:cs="Times New Roman"/>
      <w:b/>
      <w:bCs/>
      <w:sz w:val="24"/>
      <w:szCs w:val="24"/>
      <w:lang w:eastAsia="sl-SI"/>
    </w:rPr>
  </w:style>
  <w:style w:type="paragraph" w:customStyle="1" w:styleId="xl88">
    <w:name w:val="xl88"/>
    <w:basedOn w:val="Navaden"/>
    <w:rsid w:val="005C28C1"/>
    <w:pPr>
      <w:pBdr>
        <w:left w:val="single" w:sz="4" w:space="0" w:color="auto"/>
        <w:bottom w:val="single" w:sz="8" w:space="0" w:color="auto"/>
        <w:right w:val="single" w:sz="8" w:space="0" w:color="auto"/>
      </w:pBdr>
      <w:shd w:val="clear" w:color="000000" w:fill="F2F2F2"/>
      <w:spacing w:before="100" w:beforeAutospacing="1" w:after="100" w:afterAutospacing="1" w:line="240" w:lineRule="auto"/>
    </w:pPr>
    <w:rPr>
      <w:rFonts w:ascii="Times New Roman" w:eastAsia="Times New Roman" w:hAnsi="Times New Roman" w:cs="Times New Roman"/>
      <w:b/>
      <w:bCs/>
      <w:sz w:val="24"/>
      <w:szCs w:val="24"/>
      <w:lang w:eastAsia="sl-SI"/>
    </w:rPr>
  </w:style>
  <w:style w:type="paragraph" w:customStyle="1" w:styleId="xl89">
    <w:name w:val="xl89"/>
    <w:basedOn w:val="Navaden"/>
    <w:rsid w:val="005C28C1"/>
    <w:pPr>
      <w:pBdr>
        <w:left w:val="single" w:sz="4" w:space="0" w:color="auto"/>
        <w:right w:val="single" w:sz="4" w:space="0" w:color="auto"/>
      </w:pBdr>
      <w:shd w:val="clear" w:color="000000" w:fill="F2F2F2"/>
      <w:spacing w:before="100" w:beforeAutospacing="1" w:after="100" w:afterAutospacing="1" w:line="240" w:lineRule="auto"/>
    </w:pPr>
    <w:rPr>
      <w:rFonts w:ascii="Times New Roman" w:eastAsia="Times New Roman" w:hAnsi="Times New Roman" w:cs="Times New Roman"/>
      <w:b/>
      <w:bCs/>
      <w:sz w:val="24"/>
      <w:szCs w:val="24"/>
      <w:lang w:eastAsia="sl-SI"/>
    </w:rPr>
  </w:style>
  <w:style w:type="paragraph" w:customStyle="1" w:styleId="xl90">
    <w:name w:val="xl90"/>
    <w:basedOn w:val="Navaden"/>
    <w:rsid w:val="005C28C1"/>
    <w:pPr>
      <w:pBdr>
        <w:left w:val="single" w:sz="4" w:space="0" w:color="auto"/>
        <w:right w:val="single" w:sz="4" w:space="0" w:color="auto"/>
      </w:pBdr>
      <w:shd w:val="clear" w:color="000000" w:fill="F2F2F2"/>
      <w:spacing w:before="100" w:beforeAutospacing="1" w:after="100" w:afterAutospacing="1" w:line="240" w:lineRule="auto"/>
    </w:pPr>
    <w:rPr>
      <w:rFonts w:ascii="Times New Roman" w:eastAsia="Times New Roman" w:hAnsi="Times New Roman" w:cs="Times New Roman"/>
      <w:b/>
      <w:bCs/>
      <w:sz w:val="24"/>
      <w:szCs w:val="24"/>
      <w:lang w:eastAsia="sl-SI"/>
    </w:rPr>
  </w:style>
  <w:style w:type="paragraph" w:customStyle="1" w:styleId="xl91">
    <w:name w:val="xl91"/>
    <w:basedOn w:val="Navaden"/>
    <w:rsid w:val="005C28C1"/>
    <w:pPr>
      <w:pBdr>
        <w:left w:val="single" w:sz="4" w:space="0" w:color="auto"/>
        <w:right w:val="single" w:sz="8" w:space="0" w:color="auto"/>
      </w:pBdr>
      <w:shd w:val="clear" w:color="000000" w:fill="F2F2F2"/>
      <w:spacing w:before="100" w:beforeAutospacing="1" w:after="100" w:afterAutospacing="1" w:line="240" w:lineRule="auto"/>
    </w:pPr>
    <w:rPr>
      <w:rFonts w:ascii="Times New Roman" w:eastAsia="Times New Roman" w:hAnsi="Times New Roman" w:cs="Times New Roman"/>
      <w:b/>
      <w:bCs/>
      <w:sz w:val="24"/>
      <w:szCs w:val="24"/>
      <w:lang w:eastAsia="sl-SI"/>
    </w:rPr>
  </w:style>
  <w:style w:type="paragraph" w:customStyle="1" w:styleId="xl92">
    <w:name w:val="xl92"/>
    <w:basedOn w:val="Navaden"/>
    <w:rsid w:val="005C28C1"/>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cs="Times New Roman"/>
      <w:b/>
      <w:bCs/>
      <w:sz w:val="24"/>
      <w:szCs w:val="24"/>
      <w:lang w:eastAsia="sl-SI"/>
    </w:rPr>
  </w:style>
  <w:style w:type="paragraph" w:customStyle="1" w:styleId="xl93">
    <w:name w:val="xl93"/>
    <w:basedOn w:val="Navaden"/>
    <w:rsid w:val="005C28C1"/>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cs="Times New Roman"/>
      <w:b/>
      <w:bCs/>
      <w:sz w:val="24"/>
      <w:szCs w:val="24"/>
      <w:lang w:eastAsia="sl-SI"/>
    </w:rPr>
  </w:style>
  <w:style w:type="paragraph" w:customStyle="1" w:styleId="xl94">
    <w:name w:val="xl94"/>
    <w:basedOn w:val="Navaden"/>
    <w:rsid w:val="005C28C1"/>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pPr>
    <w:rPr>
      <w:rFonts w:ascii="Times New Roman" w:eastAsia="Times New Roman" w:hAnsi="Times New Roman" w:cs="Times New Roman"/>
      <w:b/>
      <w:bCs/>
      <w:sz w:val="24"/>
      <w:szCs w:val="24"/>
      <w:lang w:eastAsia="sl-SI"/>
    </w:rPr>
  </w:style>
  <w:style w:type="paragraph" w:customStyle="1" w:styleId="xl95">
    <w:name w:val="xl95"/>
    <w:basedOn w:val="Navaden"/>
    <w:rsid w:val="005C28C1"/>
    <w:pPr>
      <w:pBdr>
        <w:top w:val="single" w:sz="8"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sl-SI"/>
    </w:rPr>
  </w:style>
  <w:style w:type="paragraph" w:customStyle="1" w:styleId="xl96">
    <w:name w:val="xl96"/>
    <w:basedOn w:val="Navaden"/>
    <w:rsid w:val="005C28C1"/>
    <w:pPr>
      <w:pBdr>
        <w:top w:val="single" w:sz="4" w:space="0" w:color="auto"/>
        <w:left w:val="single" w:sz="4" w:space="0" w:color="auto"/>
        <w:bottom w:val="single" w:sz="8" w:space="0" w:color="auto"/>
        <w:right w:val="single" w:sz="4" w:space="0" w:color="auto"/>
      </w:pBd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sl-SI"/>
    </w:rPr>
  </w:style>
  <w:style w:type="paragraph" w:customStyle="1" w:styleId="xl97">
    <w:name w:val="xl97"/>
    <w:basedOn w:val="Navaden"/>
    <w:rsid w:val="005C28C1"/>
    <w:pPr>
      <w:pBdr>
        <w:top w:val="single" w:sz="8" w:space="0" w:color="auto"/>
        <w:left w:val="single" w:sz="4" w:space="0" w:color="auto"/>
        <w:bottom w:val="single" w:sz="4" w:space="0" w:color="auto"/>
        <w:right w:val="single" w:sz="8" w:space="0" w:color="auto"/>
      </w:pBd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sl-SI"/>
    </w:rPr>
  </w:style>
  <w:style w:type="paragraph" w:customStyle="1" w:styleId="xl98">
    <w:name w:val="xl98"/>
    <w:basedOn w:val="Navaden"/>
    <w:rsid w:val="005C28C1"/>
    <w:pPr>
      <w:pBdr>
        <w:top w:val="single" w:sz="4" w:space="0" w:color="auto"/>
        <w:left w:val="single" w:sz="4" w:space="0" w:color="auto"/>
        <w:bottom w:val="single" w:sz="8" w:space="0" w:color="auto"/>
        <w:right w:val="single" w:sz="8" w:space="0" w:color="auto"/>
      </w:pBd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sl-SI"/>
    </w:rPr>
  </w:style>
  <w:style w:type="paragraph" w:customStyle="1" w:styleId="xl99">
    <w:name w:val="xl99"/>
    <w:basedOn w:val="Navaden"/>
    <w:rsid w:val="005C28C1"/>
    <w:pPr>
      <w:pBdr>
        <w:top w:val="single" w:sz="8" w:space="0" w:color="auto"/>
        <w:left w:val="single" w:sz="8"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sl-SI"/>
    </w:rPr>
  </w:style>
  <w:style w:type="paragraph" w:customStyle="1" w:styleId="xl100">
    <w:name w:val="xl100"/>
    <w:basedOn w:val="Navaden"/>
    <w:rsid w:val="005C28C1"/>
    <w:pPr>
      <w:pBdr>
        <w:top w:val="single" w:sz="4" w:space="0" w:color="auto"/>
        <w:left w:val="single" w:sz="8" w:space="0" w:color="auto"/>
        <w:bottom w:val="single" w:sz="8" w:space="0" w:color="auto"/>
        <w:right w:val="single" w:sz="4" w:space="0" w:color="auto"/>
      </w:pBd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sl-SI"/>
    </w:rPr>
  </w:style>
  <w:style w:type="paragraph" w:customStyle="1" w:styleId="xl101">
    <w:name w:val="xl101"/>
    <w:basedOn w:val="Navaden"/>
    <w:rsid w:val="005C28C1"/>
    <w:pPr>
      <w:pBdr>
        <w:left w:val="single" w:sz="8" w:space="0" w:color="auto"/>
        <w:bottom w:val="single" w:sz="8" w:space="0" w:color="auto"/>
      </w:pBdr>
      <w:shd w:val="clear" w:color="000000" w:fill="F2F2F2"/>
      <w:spacing w:before="100" w:beforeAutospacing="1" w:after="100" w:afterAutospacing="1" w:line="240" w:lineRule="auto"/>
      <w:jc w:val="right"/>
    </w:pPr>
    <w:rPr>
      <w:rFonts w:ascii="Times New Roman" w:eastAsia="Times New Roman" w:hAnsi="Times New Roman" w:cs="Times New Roman"/>
      <w:b/>
      <w:bCs/>
      <w:sz w:val="24"/>
      <w:szCs w:val="24"/>
      <w:lang w:eastAsia="sl-SI"/>
    </w:rPr>
  </w:style>
  <w:style w:type="paragraph" w:customStyle="1" w:styleId="xl102">
    <w:name w:val="xl102"/>
    <w:basedOn w:val="Navaden"/>
    <w:rsid w:val="005C28C1"/>
    <w:pPr>
      <w:pBdr>
        <w:bottom w:val="single" w:sz="8" w:space="0" w:color="auto"/>
      </w:pBdr>
      <w:shd w:val="clear" w:color="000000" w:fill="F2F2F2"/>
      <w:spacing w:before="100" w:beforeAutospacing="1" w:after="100" w:afterAutospacing="1" w:line="240" w:lineRule="auto"/>
      <w:jc w:val="right"/>
    </w:pPr>
    <w:rPr>
      <w:rFonts w:ascii="Times New Roman" w:eastAsia="Times New Roman" w:hAnsi="Times New Roman" w:cs="Times New Roman"/>
      <w:b/>
      <w:bCs/>
      <w:sz w:val="24"/>
      <w:szCs w:val="24"/>
      <w:lang w:eastAsia="sl-SI"/>
    </w:rPr>
  </w:style>
  <w:style w:type="paragraph" w:customStyle="1" w:styleId="xl103">
    <w:name w:val="xl103"/>
    <w:basedOn w:val="Navaden"/>
    <w:rsid w:val="005C28C1"/>
    <w:pPr>
      <w:pBdr>
        <w:bottom w:val="single" w:sz="8"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b/>
      <w:bCs/>
      <w:sz w:val="24"/>
      <w:szCs w:val="24"/>
      <w:lang w:eastAsia="sl-SI"/>
    </w:rPr>
  </w:style>
  <w:style w:type="paragraph" w:customStyle="1" w:styleId="xl104">
    <w:name w:val="xl104"/>
    <w:basedOn w:val="Navaden"/>
    <w:rsid w:val="005C28C1"/>
    <w:pPr>
      <w:pBdr>
        <w:top w:val="single" w:sz="8" w:space="0" w:color="auto"/>
        <w:left w:val="single" w:sz="8" w:space="0" w:color="auto"/>
        <w:bottom w:val="single" w:sz="8"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24"/>
      <w:szCs w:val="24"/>
      <w:lang w:eastAsia="sl-SI"/>
    </w:rPr>
  </w:style>
  <w:style w:type="paragraph" w:customStyle="1" w:styleId="xl105">
    <w:name w:val="xl105"/>
    <w:basedOn w:val="Navaden"/>
    <w:rsid w:val="005C28C1"/>
    <w:pPr>
      <w:pBdr>
        <w:top w:val="single" w:sz="8" w:space="0" w:color="auto"/>
        <w:bottom w:val="single" w:sz="8"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24"/>
      <w:szCs w:val="24"/>
      <w:lang w:eastAsia="sl-SI"/>
    </w:rPr>
  </w:style>
  <w:style w:type="paragraph" w:customStyle="1" w:styleId="xl106">
    <w:name w:val="xl106"/>
    <w:basedOn w:val="Navaden"/>
    <w:rsid w:val="005C28C1"/>
    <w:pPr>
      <w:pBdr>
        <w:top w:val="single" w:sz="8" w:space="0" w:color="auto"/>
        <w:bottom w:val="single" w:sz="8"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24"/>
      <w:szCs w:val="24"/>
      <w:lang w:eastAsia="sl-SI"/>
    </w:rPr>
  </w:style>
  <w:style w:type="paragraph" w:customStyle="1" w:styleId="xl107">
    <w:name w:val="xl107"/>
    <w:basedOn w:val="Navaden"/>
    <w:rsid w:val="005C28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xl108">
    <w:name w:val="xl108"/>
    <w:basedOn w:val="Navaden"/>
    <w:rsid w:val="005C28C1"/>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xl109">
    <w:name w:val="xl109"/>
    <w:basedOn w:val="Navaden"/>
    <w:rsid w:val="005C28C1"/>
    <w:pPr>
      <w:pBdr>
        <w:top w:val="single" w:sz="4" w:space="0" w:color="auto"/>
        <w:left w:val="single" w:sz="4" w:space="0" w:color="auto"/>
        <w:bottom w:val="double" w:sz="6"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sl-SI"/>
    </w:rPr>
  </w:style>
  <w:style w:type="paragraph" w:styleId="Glava">
    <w:name w:val="header"/>
    <w:basedOn w:val="Navaden"/>
    <w:link w:val="GlavaZnak"/>
    <w:uiPriority w:val="99"/>
    <w:unhideWhenUsed/>
    <w:rsid w:val="0078138D"/>
    <w:pPr>
      <w:tabs>
        <w:tab w:val="center" w:pos="4536"/>
        <w:tab w:val="right" w:pos="9072"/>
      </w:tabs>
      <w:spacing w:after="0" w:line="240" w:lineRule="auto"/>
    </w:pPr>
  </w:style>
  <w:style w:type="character" w:customStyle="1" w:styleId="GlavaZnak">
    <w:name w:val="Glava Znak"/>
    <w:basedOn w:val="Privzetapisavaodstavka"/>
    <w:link w:val="Glava"/>
    <w:uiPriority w:val="99"/>
    <w:rsid w:val="0078138D"/>
  </w:style>
  <w:style w:type="paragraph" w:styleId="Noga">
    <w:name w:val="footer"/>
    <w:basedOn w:val="Navaden"/>
    <w:link w:val="NogaZnak"/>
    <w:uiPriority w:val="99"/>
    <w:unhideWhenUsed/>
    <w:rsid w:val="0078138D"/>
    <w:pPr>
      <w:tabs>
        <w:tab w:val="center" w:pos="4536"/>
        <w:tab w:val="right" w:pos="9072"/>
      </w:tabs>
      <w:spacing w:after="0" w:line="240" w:lineRule="auto"/>
    </w:pPr>
  </w:style>
  <w:style w:type="character" w:customStyle="1" w:styleId="NogaZnak">
    <w:name w:val="Noga Znak"/>
    <w:basedOn w:val="Privzetapisavaodstavka"/>
    <w:link w:val="Noga"/>
    <w:uiPriority w:val="99"/>
    <w:rsid w:val="0078138D"/>
  </w:style>
  <w:style w:type="table" w:styleId="Tabelamrea">
    <w:name w:val="Table Grid"/>
    <w:basedOn w:val="Navadnatabela"/>
    <w:uiPriority w:val="39"/>
    <w:rsid w:val="002848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avaden"/>
    <w:link w:val="Text1Char"/>
    <w:rsid w:val="006D1504"/>
    <w:pPr>
      <w:spacing w:before="120" w:after="120" w:line="240" w:lineRule="auto"/>
      <w:ind w:left="850"/>
      <w:jc w:val="both"/>
    </w:pPr>
    <w:rPr>
      <w:rFonts w:ascii="Times New Roman" w:eastAsia="Times New Roman" w:hAnsi="Times New Roman" w:cs="Times New Roman"/>
      <w:sz w:val="24"/>
      <w:szCs w:val="24"/>
      <w:lang w:val="en-GB"/>
    </w:rPr>
  </w:style>
  <w:style w:type="paragraph" w:customStyle="1" w:styleId="Text2">
    <w:name w:val="Text 2"/>
    <w:basedOn w:val="Navaden"/>
    <w:rsid w:val="006D1504"/>
    <w:pPr>
      <w:spacing w:before="120" w:after="120" w:line="240" w:lineRule="auto"/>
      <w:ind w:left="1417"/>
      <w:jc w:val="both"/>
    </w:pPr>
    <w:rPr>
      <w:rFonts w:ascii="Times New Roman" w:eastAsia="Times New Roman" w:hAnsi="Times New Roman" w:cs="Times New Roman"/>
      <w:sz w:val="24"/>
      <w:szCs w:val="24"/>
      <w:lang w:val="en-GB"/>
    </w:rPr>
  </w:style>
  <w:style w:type="character" w:customStyle="1" w:styleId="Text1Char">
    <w:name w:val="Text 1 Char"/>
    <w:link w:val="Text1"/>
    <w:locked/>
    <w:rsid w:val="006D1504"/>
    <w:rPr>
      <w:rFonts w:ascii="Times New Roman" w:eastAsia="Times New Roman" w:hAnsi="Times New Roman" w:cs="Times New Roman"/>
      <w:sz w:val="24"/>
      <w:szCs w:val="24"/>
      <w:lang w:val="en-GB"/>
    </w:rPr>
  </w:style>
  <w:style w:type="paragraph" w:customStyle="1" w:styleId="ManualHeading2">
    <w:name w:val="Manual Heading 2"/>
    <w:basedOn w:val="Navaden"/>
    <w:next w:val="Navaden"/>
    <w:qFormat/>
    <w:rsid w:val="00683F46"/>
    <w:pPr>
      <w:keepNext/>
      <w:tabs>
        <w:tab w:val="left" w:pos="850"/>
      </w:tabs>
      <w:spacing w:before="120" w:after="120" w:line="240" w:lineRule="auto"/>
      <w:ind w:left="850" w:hanging="850"/>
      <w:jc w:val="both"/>
      <w:outlineLvl w:val="1"/>
    </w:pPr>
    <w:rPr>
      <w:rFonts w:ascii="Times New Roman" w:eastAsia="Times New Roman" w:hAnsi="Times New Roman" w:cs="Times New Roman"/>
      <w:b/>
      <w:sz w:val="24"/>
      <w:szCs w:val="24"/>
      <w:lang w:val="en-GB"/>
    </w:rPr>
  </w:style>
  <w:style w:type="numbering" w:customStyle="1" w:styleId="Brezseznama1">
    <w:name w:val="Brez seznama1"/>
    <w:next w:val="Brezseznama"/>
    <w:uiPriority w:val="99"/>
    <w:semiHidden/>
    <w:unhideWhenUsed/>
    <w:rsid w:val="002A7E48"/>
  </w:style>
  <w:style w:type="character" w:styleId="tevilkastrani">
    <w:name w:val="page number"/>
    <w:basedOn w:val="Privzetapisavaodstavka"/>
    <w:rsid w:val="002A7E48"/>
  </w:style>
  <w:style w:type="table" w:customStyle="1" w:styleId="PlainTable4">
    <w:name w:val="Plain Table 4"/>
    <w:basedOn w:val="Navadnatabela"/>
    <w:uiPriority w:val="44"/>
    <w:rsid w:val="002A7E48"/>
    <w:pPr>
      <w:spacing w:after="0" w:line="240" w:lineRule="auto"/>
    </w:pPr>
    <w:rPr>
      <w:rFonts w:ascii="Times New Roman" w:eastAsia="Times New Roman" w:hAnsi="Times New Roman" w:cs="Times New Roman"/>
      <w:sz w:val="20"/>
      <w:szCs w:val="20"/>
      <w:lang w:eastAsia="sl-SI"/>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Light">
    <w:name w:val="Grid Table Light"/>
    <w:basedOn w:val="Navadnatabela"/>
    <w:uiPriority w:val="40"/>
    <w:rsid w:val="002A7E48"/>
    <w:pPr>
      <w:spacing w:after="0" w:line="240" w:lineRule="auto"/>
    </w:pPr>
    <w:rPr>
      <w:rFonts w:ascii="Times New Roman" w:eastAsia="Times New Roman" w:hAnsi="Times New Roman" w:cs="Times New Roman"/>
      <w:sz w:val="20"/>
      <w:szCs w:val="20"/>
      <w:lang w:eastAsia="sl-S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datumtevilka">
    <w:name w:val="datum številka"/>
    <w:basedOn w:val="Navaden"/>
    <w:qFormat/>
    <w:rsid w:val="002A7E48"/>
    <w:pPr>
      <w:tabs>
        <w:tab w:val="left" w:pos="1701"/>
      </w:tabs>
      <w:suppressAutoHyphens/>
      <w:autoSpaceDN w:val="0"/>
      <w:spacing w:after="0" w:line="260" w:lineRule="exact"/>
      <w:textAlignment w:val="baseline"/>
    </w:pPr>
    <w:rPr>
      <w:rFonts w:ascii="Arial" w:eastAsia="Times New Roman" w:hAnsi="Arial" w:cs="Times New Roman"/>
      <w:sz w:val="20"/>
      <w:szCs w:val="20"/>
      <w:lang w:eastAsia="sl-SI"/>
    </w:rPr>
  </w:style>
  <w:style w:type="paragraph" w:customStyle="1" w:styleId="ZADEVA">
    <w:name w:val="ZADEVA"/>
    <w:basedOn w:val="Navaden"/>
    <w:qFormat/>
    <w:rsid w:val="002A7E48"/>
    <w:pPr>
      <w:tabs>
        <w:tab w:val="left" w:pos="1701"/>
      </w:tabs>
      <w:suppressAutoHyphens/>
      <w:autoSpaceDN w:val="0"/>
      <w:spacing w:after="0" w:line="260" w:lineRule="exact"/>
      <w:ind w:left="1701" w:hanging="1701"/>
      <w:textAlignment w:val="baseline"/>
    </w:pPr>
    <w:rPr>
      <w:rFonts w:ascii="Arial" w:eastAsia="Times New Roman" w:hAnsi="Arial" w:cs="Times New Roman"/>
      <w:b/>
      <w:sz w:val="20"/>
      <w:szCs w:val="24"/>
      <w:lang w:val="it-IT"/>
    </w:rPr>
  </w:style>
  <w:style w:type="paragraph" w:customStyle="1" w:styleId="podpisi">
    <w:name w:val="podpisi"/>
    <w:basedOn w:val="Navaden"/>
    <w:qFormat/>
    <w:rsid w:val="002A7E48"/>
    <w:pPr>
      <w:tabs>
        <w:tab w:val="left" w:pos="3402"/>
      </w:tabs>
      <w:suppressAutoHyphens/>
      <w:autoSpaceDN w:val="0"/>
      <w:spacing w:after="0" w:line="260" w:lineRule="exact"/>
      <w:textAlignment w:val="baseline"/>
    </w:pPr>
    <w:rPr>
      <w:rFonts w:ascii="Arial" w:eastAsia="Times New Roman" w:hAnsi="Arial" w:cs="Times New Roman"/>
      <w:sz w:val="20"/>
      <w:szCs w:val="24"/>
      <w:lang w:val="it-IT"/>
    </w:rPr>
  </w:style>
  <w:style w:type="paragraph" w:styleId="Sprotnaopomba-besedilo">
    <w:name w:val="footnote text"/>
    <w:basedOn w:val="Navaden"/>
    <w:link w:val="Sprotnaopomba-besediloZnak"/>
    <w:unhideWhenUsed/>
    <w:rsid w:val="002A7E48"/>
    <w:pPr>
      <w:spacing w:after="0" w:line="240" w:lineRule="auto"/>
    </w:pPr>
    <w:rPr>
      <w:rFonts w:ascii="Times New Roman" w:eastAsia="Times New Roman" w:hAnsi="Times New Roman" w:cs="Times New Roman"/>
      <w:sz w:val="20"/>
      <w:szCs w:val="20"/>
      <w:lang w:eastAsia="sl-SI"/>
    </w:rPr>
  </w:style>
  <w:style w:type="character" w:customStyle="1" w:styleId="Sprotnaopomba-besediloZnak">
    <w:name w:val="Sprotna opomba - besedilo Znak"/>
    <w:basedOn w:val="Privzetapisavaodstavka"/>
    <w:link w:val="Sprotnaopomba-besedilo"/>
    <w:rsid w:val="002A7E48"/>
    <w:rPr>
      <w:rFonts w:ascii="Times New Roman" w:eastAsia="Times New Roman" w:hAnsi="Times New Roman" w:cs="Times New Roman"/>
      <w:sz w:val="20"/>
      <w:szCs w:val="20"/>
      <w:lang w:eastAsia="sl-SI"/>
    </w:rPr>
  </w:style>
  <w:style w:type="character" w:styleId="Sprotnaopomba-sklic">
    <w:name w:val="footnote reference"/>
    <w:aliases w:val="Footnote symbol,Footnote,Fussnota"/>
    <w:unhideWhenUsed/>
    <w:rsid w:val="002A7E48"/>
    <w:rPr>
      <w:vertAlign w:val="superscript"/>
    </w:rPr>
  </w:style>
  <w:style w:type="paragraph" w:customStyle="1" w:styleId="Neotevilenodstavek">
    <w:name w:val="Neoštevilčen odstavek"/>
    <w:basedOn w:val="Navaden"/>
    <w:link w:val="NeotevilenodstavekZnak"/>
    <w:qFormat/>
    <w:rsid w:val="002A7E48"/>
    <w:pPr>
      <w:overflowPunct w:val="0"/>
      <w:autoSpaceDE w:val="0"/>
      <w:autoSpaceDN w:val="0"/>
      <w:adjustRightInd w:val="0"/>
      <w:spacing w:before="60" w:after="60" w:line="200" w:lineRule="exact"/>
      <w:jc w:val="both"/>
      <w:textAlignment w:val="baseline"/>
    </w:pPr>
    <w:rPr>
      <w:rFonts w:ascii="Arial" w:eastAsia="Times New Roman" w:hAnsi="Arial" w:cs="Arial"/>
      <w:lang w:eastAsia="sl-SI"/>
    </w:rPr>
  </w:style>
  <w:style w:type="character" w:customStyle="1" w:styleId="NeotevilenodstavekZnak">
    <w:name w:val="Neoštevilčen odstavek Znak"/>
    <w:link w:val="Neotevilenodstavek"/>
    <w:rsid w:val="002A7E48"/>
    <w:rPr>
      <w:rFonts w:ascii="Arial" w:eastAsia="Times New Roman" w:hAnsi="Arial" w:cs="Arial"/>
      <w:lang w:eastAsia="sl-SI"/>
    </w:rPr>
  </w:style>
  <w:style w:type="paragraph" w:customStyle="1" w:styleId="oj-doc-ti">
    <w:name w:val="oj-doc-ti"/>
    <w:basedOn w:val="Navaden"/>
    <w:rsid w:val="002A7E48"/>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OdstavekseznamaZnak">
    <w:name w:val="Odstavek seznama Znak"/>
    <w:aliases w:val="naslov 1 Znak,Bullet 1 Znak,Bullet Points Znak,Bullet layer Znak,Colorful List - Accent 11 Znak,Dot pt Znak,F5 List Paragraph Znak,Indicator Text Znak,Issue Action POC Znak,List Paragraph Char Char Char Znak,List Paragraph2 Znak"/>
    <w:link w:val="Odstavekseznama"/>
    <w:uiPriority w:val="34"/>
    <w:qFormat/>
    <w:locked/>
    <w:rsid w:val="002A7E48"/>
  </w:style>
  <w:style w:type="paragraph" w:styleId="Revizija">
    <w:name w:val="Revision"/>
    <w:hidden/>
    <w:uiPriority w:val="99"/>
    <w:semiHidden/>
    <w:rsid w:val="002A7E48"/>
    <w:pPr>
      <w:spacing w:after="0" w:line="240" w:lineRule="auto"/>
    </w:pPr>
    <w:rPr>
      <w:rFonts w:ascii="Arial" w:eastAsia="Times New Roman" w:hAnsi="Arial" w:cs="Times New Roman"/>
      <w:sz w:val="20"/>
      <w:szCs w:val="24"/>
    </w:rPr>
  </w:style>
  <w:style w:type="numbering" w:customStyle="1" w:styleId="Brezseznama11">
    <w:name w:val="Brez seznama11"/>
    <w:next w:val="Brezseznama"/>
    <w:uiPriority w:val="99"/>
    <w:semiHidden/>
    <w:unhideWhenUsed/>
    <w:rsid w:val="002A7E48"/>
  </w:style>
  <w:style w:type="table" w:customStyle="1" w:styleId="Tabelamrea1">
    <w:name w:val="Tabela – mreža1"/>
    <w:basedOn w:val="Navadnatabela"/>
    <w:next w:val="Tabelamrea"/>
    <w:uiPriority w:val="39"/>
    <w:rsid w:val="002A7E4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98598">
      <w:bodyDiv w:val="1"/>
      <w:marLeft w:val="0"/>
      <w:marRight w:val="0"/>
      <w:marTop w:val="0"/>
      <w:marBottom w:val="0"/>
      <w:divBdr>
        <w:top w:val="none" w:sz="0" w:space="0" w:color="auto"/>
        <w:left w:val="none" w:sz="0" w:space="0" w:color="auto"/>
        <w:bottom w:val="none" w:sz="0" w:space="0" w:color="auto"/>
        <w:right w:val="none" w:sz="0" w:space="0" w:color="auto"/>
      </w:divBdr>
    </w:div>
    <w:div w:id="59913889">
      <w:marLeft w:val="0"/>
      <w:marRight w:val="0"/>
      <w:marTop w:val="0"/>
      <w:marBottom w:val="0"/>
      <w:divBdr>
        <w:top w:val="none" w:sz="0" w:space="0" w:color="auto"/>
        <w:left w:val="none" w:sz="0" w:space="0" w:color="auto"/>
        <w:bottom w:val="none" w:sz="0" w:space="0" w:color="auto"/>
        <w:right w:val="none" w:sz="0" w:space="0" w:color="auto"/>
      </w:divBdr>
    </w:div>
    <w:div w:id="120342755">
      <w:marLeft w:val="0"/>
      <w:marRight w:val="0"/>
      <w:marTop w:val="0"/>
      <w:marBottom w:val="0"/>
      <w:divBdr>
        <w:top w:val="none" w:sz="0" w:space="0" w:color="auto"/>
        <w:left w:val="none" w:sz="0" w:space="0" w:color="auto"/>
        <w:bottom w:val="none" w:sz="0" w:space="0" w:color="auto"/>
        <w:right w:val="none" w:sz="0" w:space="0" w:color="auto"/>
      </w:divBdr>
      <w:divsChild>
        <w:div w:id="1794904769">
          <w:marLeft w:val="0"/>
          <w:marRight w:val="0"/>
          <w:marTop w:val="0"/>
          <w:marBottom w:val="0"/>
          <w:divBdr>
            <w:top w:val="none" w:sz="0" w:space="0" w:color="auto"/>
            <w:left w:val="none" w:sz="0" w:space="0" w:color="auto"/>
            <w:bottom w:val="none" w:sz="0" w:space="0" w:color="auto"/>
            <w:right w:val="none" w:sz="0" w:space="0" w:color="auto"/>
          </w:divBdr>
          <w:divsChild>
            <w:div w:id="583344176">
              <w:marLeft w:val="0"/>
              <w:marRight w:val="0"/>
              <w:marTop w:val="0"/>
              <w:marBottom w:val="0"/>
              <w:divBdr>
                <w:top w:val="none" w:sz="0" w:space="0" w:color="auto"/>
                <w:left w:val="none" w:sz="0" w:space="0" w:color="auto"/>
                <w:bottom w:val="none" w:sz="0" w:space="0" w:color="auto"/>
                <w:right w:val="none" w:sz="0" w:space="0" w:color="auto"/>
              </w:divBdr>
              <w:divsChild>
                <w:div w:id="1516194368">
                  <w:marLeft w:val="0"/>
                  <w:marRight w:val="0"/>
                  <w:marTop w:val="0"/>
                  <w:marBottom w:val="0"/>
                  <w:divBdr>
                    <w:top w:val="none" w:sz="0" w:space="0" w:color="auto"/>
                    <w:left w:val="none" w:sz="0" w:space="0" w:color="auto"/>
                    <w:bottom w:val="none" w:sz="0" w:space="0" w:color="auto"/>
                    <w:right w:val="none" w:sz="0" w:space="0" w:color="auto"/>
                  </w:divBdr>
                  <w:divsChild>
                    <w:div w:id="47070862">
                      <w:marLeft w:val="0"/>
                      <w:marRight w:val="0"/>
                      <w:marTop w:val="0"/>
                      <w:marBottom w:val="0"/>
                      <w:divBdr>
                        <w:top w:val="none" w:sz="0" w:space="0" w:color="auto"/>
                        <w:left w:val="none" w:sz="0" w:space="0" w:color="auto"/>
                        <w:bottom w:val="none" w:sz="0" w:space="0" w:color="auto"/>
                        <w:right w:val="none" w:sz="0" w:space="0" w:color="auto"/>
                      </w:divBdr>
                      <w:divsChild>
                        <w:div w:id="1827358408">
                          <w:marLeft w:val="0"/>
                          <w:marRight w:val="0"/>
                          <w:marTop w:val="0"/>
                          <w:marBottom w:val="0"/>
                          <w:divBdr>
                            <w:top w:val="none" w:sz="0" w:space="0" w:color="auto"/>
                            <w:left w:val="none" w:sz="0" w:space="0" w:color="auto"/>
                            <w:bottom w:val="none" w:sz="0" w:space="0" w:color="auto"/>
                            <w:right w:val="none" w:sz="0" w:space="0" w:color="auto"/>
                          </w:divBdr>
                          <w:divsChild>
                            <w:div w:id="241377682">
                              <w:marLeft w:val="0"/>
                              <w:marRight w:val="0"/>
                              <w:marTop w:val="0"/>
                              <w:marBottom w:val="0"/>
                              <w:divBdr>
                                <w:top w:val="none" w:sz="0" w:space="0" w:color="auto"/>
                                <w:left w:val="none" w:sz="0" w:space="0" w:color="auto"/>
                                <w:bottom w:val="none" w:sz="0" w:space="0" w:color="auto"/>
                                <w:right w:val="none" w:sz="0" w:space="0" w:color="auto"/>
                              </w:divBdr>
                              <w:divsChild>
                                <w:div w:id="1588533587">
                                  <w:marLeft w:val="0"/>
                                  <w:marRight w:val="0"/>
                                  <w:marTop w:val="0"/>
                                  <w:marBottom w:val="0"/>
                                  <w:divBdr>
                                    <w:top w:val="none" w:sz="0" w:space="0" w:color="auto"/>
                                    <w:left w:val="none" w:sz="0" w:space="0" w:color="auto"/>
                                    <w:bottom w:val="none" w:sz="0" w:space="0" w:color="auto"/>
                                    <w:right w:val="none" w:sz="0" w:space="0" w:color="auto"/>
                                  </w:divBdr>
                                  <w:divsChild>
                                    <w:div w:id="70851832">
                                      <w:marLeft w:val="0"/>
                                      <w:marRight w:val="0"/>
                                      <w:marTop w:val="0"/>
                                      <w:marBottom w:val="0"/>
                                      <w:divBdr>
                                        <w:top w:val="none" w:sz="0" w:space="0" w:color="auto"/>
                                        <w:left w:val="none" w:sz="0" w:space="0" w:color="auto"/>
                                        <w:bottom w:val="none" w:sz="0" w:space="0" w:color="auto"/>
                                        <w:right w:val="none" w:sz="0" w:space="0" w:color="auto"/>
                                      </w:divBdr>
                                      <w:divsChild>
                                        <w:div w:id="949893161">
                                          <w:marLeft w:val="0"/>
                                          <w:marRight w:val="0"/>
                                          <w:marTop w:val="0"/>
                                          <w:marBottom w:val="0"/>
                                          <w:divBdr>
                                            <w:top w:val="none" w:sz="0" w:space="0" w:color="auto"/>
                                            <w:left w:val="none" w:sz="0" w:space="0" w:color="auto"/>
                                            <w:bottom w:val="none" w:sz="0" w:space="0" w:color="auto"/>
                                            <w:right w:val="none" w:sz="0" w:space="0" w:color="auto"/>
                                          </w:divBdr>
                                          <w:divsChild>
                                            <w:div w:id="1379285031">
                                              <w:marLeft w:val="0"/>
                                              <w:marRight w:val="0"/>
                                              <w:marTop w:val="0"/>
                                              <w:marBottom w:val="0"/>
                                              <w:divBdr>
                                                <w:top w:val="none" w:sz="0" w:space="0" w:color="auto"/>
                                                <w:left w:val="none" w:sz="0" w:space="0" w:color="auto"/>
                                                <w:bottom w:val="none" w:sz="0" w:space="0" w:color="auto"/>
                                                <w:right w:val="none" w:sz="0" w:space="0" w:color="auto"/>
                                              </w:divBdr>
                                              <w:divsChild>
                                                <w:div w:id="200076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7554622">
      <w:bodyDiv w:val="1"/>
      <w:marLeft w:val="0"/>
      <w:marRight w:val="0"/>
      <w:marTop w:val="0"/>
      <w:marBottom w:val="0"/>
      <w:divBdr>
        <w:top w:val="none" w:sz="0" w:space="0" w:color="auto"/>
        <w:left w:val="none" w:sz="0" w:space="0" w:color="auto"/>
        <w:bottom w:val="none" w:sz="0" w:space="0" w:color="auto"/>
        <w:right w:val="none" w:sz="0" w:space="0" w:color="auto"/>
      </w:divBdr>
      <w:divsChild>
        <w:div w:id="241566557">
          <w:marLeft w:val="0"/>
          <w:marRight w:val="0"/>
          <w:marTop w:val="0"/>
          <w:marBottom w:val="0"/>
          <w:divBdr>
            <w:top w:val="none" w:sz="0" w:space="0" w:color="auto"/>
            <w:left w:val="none" w:sz="0" w:space="0" w:color="auto"/>
            <w:bottom w:val="none" w:sz="0" w:space="0" w:color="auto"/>
            <w:right w:val="none" w:sz="0" w:space="0" w:color="auto"/>
          </w:divBdr>
          <w:divsChild>
            <w:div w:id="1253204382">
              <w:marLeft w:val="0"/>
              <w:marRight w:val="0"/>
              <w:marTop w:val="0"/>
              <w:marBottom w:val="0"/>
              <w:divBdr>
                <w:top w:val="none" w:sz="0" w:space="0" w:color="auto"/>
                <w:left w:val="none" w:sz="0" w:space="0" w:color="auto"/>
                <w:bottom w:val="none" w:sz="0" w:space="0" w:color="auto"/>
                <w:right w:val="none" w:sz="0" w:space="0" w:color="auto"/>
              </w:divBdr>
              <w:divsChild>
                <w:div w:id="1246527385">
                  <w:marLeft w:val="0"/>
                  <w:marRight w:val="0"/>
                  <w:marTop w:val="0"/>
                  <w:marBottom w:val="0"/>
                  <w:divBdr>
                    <w:top w:val="none" w:sz="0" w:space="0" w:color="auto"/>
                    <w:left w:val="none" w:sz="0" w:space="0" w:color="auto"/>
                    <w:bottom w:val="none" w:sz="0" w:space="0" w:color="auto"/>
                    <w:right w:val="none" w:sz="0" w:space="0" w:color="auto"/>
                  </w:divBdr>
                  <w:divsChild>
                    <w:div w:id="558589754">
                      <w:marLeft w:val="0"/>
                      <w:marRight w:val="0"/>
                      <w:marTop w:val="0"/>
                      <w:marBottom w:val="0"/>
                      <w:divBdr>
                        <w:top w:val="none" w:sz="0" w:space="0" w:color="auto"/>
                        <w:left w:val="none" w:sz="0" w:space="0" w:color="auto"/>
                        <w:bottom w:val="none" w:sz="0" w:space="0" w:color="auto"/>
                        <w:right w:val="none" w:sz="0" w:space="0" w:color="auto"/>
                      </w:divBdr>
                      <w:divsChild>
                        <w:div w:id="1520195464">
                          <w:marLeft w:val="0"/>
                          <w:marRight w:val="0"/>
                          <w:marTop w:val="0"/>
                          <w:marBottom w:val="0"/>
                          <w:divBdr>
                            <w:top w:val="none" w:sz="0" w:space="0" w:color="auto"/>
                            <w:left w:val="none" w:sz="0" w:space="0" w:color="auto"/>
                            <w:bottom w:val="none" w:sz="0" w:space="0" w:color="auto"/>
                            <w:right w:val="none" w:sz="0" w:space="0" w:color="auto"/>
                          </w:divBdr>
                          <w:divsChild>
                            <w:div w:id="1962564543">
                              <w:marLeft w:val="0"/>
                              <w:marRight w:val="0"/>
                              <w:marTop w:val="0"/>
                              <w:marBottom w:val="0"/>
                              <w:divBdr>
                                <w:top w:val="none" w:sz="0" w:space="0" w:color="auto"/>
                                <w:left w:val="none" w:sz="0" w:space="0" w:color="auto"/>
                                <w:bottom w:val="none" w:sz="0" w:space="0" w:color="auto"/>
                                <w:right w:val="none" w:sz="0" w:space="0" w:color="auto"/>
                              </w:divBdr>
                              <w:divsChild>
                                <w:div w:id="21211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558257">
      <w:bodyDiv w:val="1"/>
      <w:marLeft w:val="0"/>
      <w:marRight w:val="0"/>
      <w:marTop w:val="0"/>
      <w:marBottom w:val="0"/>
      <w:divBdr>
        <w:top w:val="none" w:sz="0" w:space="0" w:color="auto"/>
        <w:left w:val="none" w:sz="0" w:space="0" w:color="auto"/>
        <w:bottom w:val="none" w:sz="0" w:space="0" w:color="auto"/>
        <w:right w:val="none" w:sz="0" w:space="0" w:color="auto"/>
      </w:divBdr>
    </w:div>
    <w:div w:id="234702795">
      <w:bodyDiv w:val="1"/>
      <w:marLeft w:val="0"/>
      <w:marRight w:val="0"/>
      <w:marTop w:val="0"/>
      <w:marBottom w:val="0"/>
      <w:divBdr>
        <w:top w:val="none" w:sz="0" w:space="0" w:color="auto"/>
        <w:left w:val="none" w:sz="0" w:space="0" w:color="auto"/>
        <w:bottom w:val="none" w:sz="0" w:space="0" w:color="auto"/>
        <w:right w:val="none" w:sz="0" w:space="0" w:color="auto"/>
      </w:divBdr>
    </w:div>
    <w:div w:id="257182402">
      <w:bodyDiv w:val="1"/>
      <w:marLeft w:val="0"/>
      <w:marRight w:val="0"/>
      <w:marTop w:val="0"/>
      <w:marBottom w:val="0"/>
      <w:divBdr>
        <w:top w:val="none" w:sz="0" w:space="0" w:color="auto"/>
        <w:left w:val="none" w:sz="0" w:space="0" w:color="auto"/>
        <w:bottom w:val="none" w:sz="0" w:space="0" w:color="auto"/>
        <w:right w:val="none" w:sz="0" w:space="0" w:color="auto"/>
      </w:divBdr>
    </w:div>
    <w:div w:id="258296903">
      <w:bodyDiv w:val="1"/>
      <w:marLeft w:val="0"/>
      <w:marRight w:val="0"/>
      <w:marTop w:val="0"/>
      <w:marBottom w:val="0"/>
      <w:divBdr>
        <w:top w:val="none" w:sz="0" w:space="0" w:color="auto"/>
        <w:left w:val="none" w:sz="0" w:space="0" w:color="auto"/>
        <w:bottom w:val="none" w:sz="0" w:space="0" w:color="auto"/>
        <w:right w:val="none" w:sz="0" w:space="0" w:color="auto"/>
      </w:divBdr>
    </w:div>
    <w:div w:id="303780692">
      <w:bodyDiv w:val="1"/>
      <w:marLeft w:val="0"/>
      <w:marRight w:val="0"/>
      <w:marTop w:val="0"/>
      <w:marBottom w:val="0"/>
      <w:divBdr>
        <w:top w:val="none" w:sz="0" w:space="0" w:color="auto"/>
        <w:left w:val="none" w:sz="0" w:space="0" w:color="auto"/>
        <w:bottom w:val="none" w:sz="0" w:space="0" w:color="auto"/>
        <w:right w:val="none" w:sz="0" w:space="0" w:color="auto"/>
      </w:divBdr>
    </w:div>
    <w:div w:id="321010674">
      <w:bodyDiv w:val="1"/>
      <w:marLeft w:val="0"/>
      <w:marRight w:val="0"/>
      <w:marTop w:val="0"/>
      <w:marBottom w:val="0"/>
      <w:divBdr>
        <w:top w:val="none" w:sz="0" w:space="0" w:color="auto"/>
        <w:left w:val="none" w:sz="0" w:space="0" w:color="auto"/>
        <w:bottom w:val="none" w:sz="0" w:space="0" w:color="auto"/>
        <w:right w:val="none" w:sz="0" w:space="0" w:color="auto"/>
      </w:divBdr>
    </w:div>
    <w:div w:id="402483767">
      <w:marLeft w:val="0"/>
      <w:marRight w:val="0"/>
      <w:marTop w:val="0"/>
      <w:marBottom w:val="0"/>
      <w:divBdr>
        <w:top w:val="none" w:sz="0" w:space="0" w:color="auto"/>
        <w:left w:val="none" w:sz="0" w:space="0" w:color="auto"/>
        <w:bottom w:val="none" w:sz="0" w:space="0" w:color="auto"/>
        <w:right w:val="none" w:sz="0" w:space="0" w:color="auto"/>
      </w:divBdr>
    </w:div>
    <w:div w:id="431902645">
      <w:bodyDiv w:val="1"/>
      <w:marLeft w:val="0"/>
      <w:marRight w:val="0"/>
      <w:marTop w:val="0"/>
      <w:marBottom w:val="0"/>
      <w:divBdr>
        <w:top w:val="none" w:sz="0" w:space="0" w:color="auto"/>
        <w:left w:val="none" w:sz="0" w:space="0" w:color="auto"/>
        <w:bottom w:val="none" w:sz="0" w:space="0" w:color="auto"/>
        <w:right w:val="none" w:sz="0" w:space="0" w:color="auto"/>
      </w:divBdr>
    </w:div>
    <w:div w:id="544223051">
      <w:marLeft w:val="0"/>
      <w:marRight w:val="0"/>
      <w:marTop w:val="0"/>
      <w:marBottom w:val="0"/>
      <w:divBdr>
        <w:top w:val="none" w:sz="0" w:space="0" w:color="auto"/>
        <w:left w:val="none" w:sz="0" w:space="0" w:color="auto"/>
        <w:bottom w:val="none" w:sz="0" w:space="0" w:color="auto"/>
        <w:right w:val="none" w:sz="0" w:space="0" w:color="auto"/>
      </w:divBdr>
    </w:div>
    <w:div w:id="558321748">
      <w:bodyDiv w:val="1"/>
      <w:marLeft w:val="0"/>
      <w:marRight w:val="0"/>
      <w:marTop w:val="0"/>
      <w:marBottom w:val="0"/>
      <w:divBdr>
        <w:top w:val="none" w:sz="0" w:space="0" w:color="auto"/>
        <w:left w:val="none" w:sz="0" w:space="0" w:color="auto"/>
        <w:bottom w:val="none" w:sz="0" w:space="0" w:color="auto"/>
        <w:right w:val="none" w:sz="0" w:space="0" w:color="auto"/>
      </w:divBdr>
    </w:div>
    <w:div w:id="607007891">
      <w:bodyDiv w:val="1"/>
      <w:marLeft w:val="0"/>
      <w:marRight w:val="0"/>
      <w:marTop w:val="0"/>
      <w:marBottom w:val="0"/>
      <w:divBdr>
        <w:top w:val="none" w:sz="0" w:space="0" w:color="auto"/>
        <w:left w:val="none" w:sz="0" w:space="0" w:color="auto"/>
        <w:bottom w:val="none" w:sz="0" w:space="0" w:color="auto"/>
        <w:right w:val="none" w:sz="0" w:space="0" w:color="auto"/>
      </w:divBdr>
      <w:divsChild>
        <w:div w:id="624821186">
          <w:marLeft w:val="0"/>
          <w:marRight w:val="0"/>
          <w:marTop w:val="0"/>
          <w:marBottom w:val="0"/>
          <w:divBdr>
            <w:top w:val="none" w:sz="0" w:space="0" w:color="auto"/>
            <w:left w:val="none" w:sz="0" w:space="0" w:color="auto"/>
            <w:bottom w:val="none" w:sz="0" w:space="0" w:color="auto"/>
            <w:right w:val="none" w:sz="0" w:space="0" w:color="auto"/>
          </w:divBdr>
          <w:divsChild>
            <w:div w:id="1981690311">
              <w:marLeft w:val="0"/>
              <w:marRight w:val="0"/>
              <w:marTop w:val="0"/>
              <w:marBottom w:val="0"/>
              <w:divBdr>
                <w:top w:val="none" w:sz="0" w:space="0" w:color="auto"/>
                <w:left w:val="none" w:sz="0" w:space="0" w:color="auto"/>
                <w:bottom w:val="none" w:sz="0" w:space="0" w:color="auto"/>
                <w:right w:val="none" w:sz="0" w:space="0" w:color="auto"/>
              </w:divBdr>
              <w:divsChild>
                <w:div w:id="851914682">
                  <w:marLeft w:val="0"/>
                  <w:marRight w:val="0"/>
                  <w:marTop w:val="0"/>
                  <w:marBottom w:val="0"/>
                  <w:divBdr>
                    <w:top w:val="none" w:sz="0" w:space="0" w:color="auto"/>
                    <w:left w:val="none" w:sz="0" w:space="0" w:color="auto"/>
                    <w:bottom w:val="none" w:sz="0" w:space="0" w:color="auto"/>
                    <w:right w:val="none" w:sz="0" w:space="0" w:color="auto"/>
                  </w:divBdr>
                  <w:divsChild>
                    <w:div w:id="782068067">
                      <w:marLeft w:val="0"/>
                      <w:marRight w:val="0"/>
                      <w:marTop w:val="0"/>
                      <w:marBottom w:val="0"/>
                      <w:divBdr>
                        <w:top w:val="none" w:sz="0" w:space="0" w:color="auto"/>
                        <w:left w:val="none" w:sz="0" w:space="0" w:color="auto"/>
                        <w:bottom w:val="none" w:sz="0" w:space="0" w:color="auto"/>
                        <w:right w:val="none" w:sz="0" w:space="0" w:color="auto"/>
                      </w:divBdr>
                      <w:divsChild>
                        <w:div w:id="731077639">
                          <w:marLeft w:val="0"/>
                          <w:marRight w:val="0"/>
                          <w:marTop w:val="0"/>
                          <w:marBottom w:val="0"/>
                          <w:divBdr>
                            <w:top w:val="none" w:sz="0" w:space="0" w:color="auto"/>
                            <w:left w:val="none" w:sz="0" w:space="0" w:color="auto"/>
                            <w:bottom w:val="none" w:sz="0" w:space="0" w:color="auto"/>
                            <w:right w:val="none" w:sz="0" w:space="0" w:color="auto"/>
                          </w:divBdr>
                          <w:divsChild>
                            <w:div w:id="1656641994">
                              <w:marLeft w:val="0"/>
                              <w:marRight w:val="0"/>
                              <w:marTop w:val="0"/>
                              <w:marBottom w:val="0"/>
                              <w:divBdr>
                                <w:top w:val="none" w:sz="0" w:space="0" w:color="auto"/>
                                <w:left w:val="none" w:sz="0" w:space="0" w:color="auto"/>
                                <w:bottom w:val="none" w:sz="0" w:space="0" w:color="auto"/>
                                <w:right w:val="none" w:sz="0" w:space="0" w:color="auto"/>
                              </w:divBdr>
                              <w:divsChild>
                                <w:div w:id="157053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0184322">
      <w:bodyDiv w:val="1"/>
      <w:marLeft w:val="0"/>
      <w:marRight w:val="0"/>
      <w:marTop w:val="0"/>
      <w:marBottom w:val="0"/>
      <w:divBdr>
        <w:top w:val="none" w:sz="0" w:space="0" w:color="auto"/>
        <w:left w:val="none" w:sz="0" w:space="0" w:color="auto"/>
        <w:bottom w:val="none" w:sz="0" w:space="0" w:color="auto"/>
        <w:right w:val="none" w:sz="0" w:space="0" w:color="auto"/>
      </w:divBdr>
    </w:div>
    <w:div w:id="690959507">
      <w:bodyDiv w:val="1"/>
      <w:marLeft w:val="0"/>
      <w:marRight w:val="0"/>
      <w:marTop w:val="0"/>
      <w:marBottom w:val="0"/>
      <w:divBdr>
        <w:top w:val="none" w:sz="0" w:space="0" w:color="auto"/>
        <w:left w:val="none" w:sz="0" w:space="0" w:color="auto"/>
        <w:bottom w:val="none" w:sz="0" w:space="0" w:color="auto"/>
        <w:right w:val="none" w:sz="0" w:space="0" w:color="auto"/>
      </w:divBdr>
    </w:div>
    <w:div w:id="707339019">
      <w:bodyDiv w:val="1"/>
      <w:marLeft w:val="0"/>
      <w:marRight w:val="0"/>
      <w:marTop w:val="0"/>
      <w:marBottom w:val="0"/>
      <w:divBdr>
        <w:top w:val="none" w:sz="0" w:space="0" w:color="auto"/>
        <w:left w:val="none" w:sz="0" w:space="0" w:color="auto"/>
        <w:bottom w:val="none" w:sz="0" w:space="0" w:color="auto"/>
        <w:right w:val="none" w:sz="0" w:space="0" w:color="auto"/>
      </w:divBdr>
    </w:div>
    <w:div w:id="722212278">
      <w:bodyDiv w:val="1"/>
      <w:marLeft w:val="0"/>
      <w:marRight w:val="0"/>
      <w:marTop w:val="0"/>
      <w:marBottom w:val="0"/>
      <w:divBdr>
        <w:top w:val="none" w:sz="0" w:space="0" w:color="auto"/>
        <w:left w:val="none" w:sz="0" w:space="0" w:color="auto"/>
        <w:bottom w:val="none" w:sz="0" w:space="0" w:color="auto"/>
        <w:right w:val="none" w:sz="0" w:space="0" w:color="auto"/>
      </w:divBdr>
    </w:div>
    <w:div w:id="737636023">
      <w:bodyDiv w:val="1"/>
      <w:marLeft w:val="0"/>
      <w:marRight w:val="0"/>
      <w:marTop w:val="0"/>
      <w:marBottom w:val="0"/>
      <w:divBdr>
        <w:top w:val="none" w:sz="0" w:space="0" w:color="auto"/>
        <w:left w:val="none" w:sz="0" w:space="0" w:color="auto"/>
        <w:bottom w:val="none" w:sz="0" w:space="0" w:color="auto"/>
        <w:right w:val="none" w:sz="0" w:space="0" w:color="auto"/>
      </w:divBdr>
    </w:div>
    <w:div w:id="755328770">
      <w:bodyDiv w:val="1"/>
      <w:marLeft w:val="0"/>
      <w:marRight w:val="0"/>
      <w:marTop w:val="0"/>
      <w:marBottom w:val="0"/>
      <w:divBdr>
        <w:top w:val="none" w:sz="0" w:space="0" w:color="auto"/>
        <w:left w:val="none" w:sz="0" w:space="0" w:color="auto"/>
        <w:bottom w:val="none" w:sz="0" w:space="0" w:color="auto"/>
        <w:right w:val="none" w:sz="0" w:space="0" w:color="auto"/>
      </w:divBdr>
    </w:div>
    <w:div w:id="898587184">
      <w:bodyDiv w:val="1"/>
      <w:marLeft w:val="0"/>
      <w:marRight w:val="0"/>
      <w:marTop w:val="0"/>
      <w:marBottom w:val="0"/>
      <w:divBdr>
        <w:top w:val="none" w:sz="0" w:space="0" w:color="auto"/>
        <w:left w:val="none" w:sz="0" w:space="0" w:color="auto"/>
        <w:bottom w:val="none" w:sz="0" w:space="0" w:color="auto"/>
        <w:right w:val="none" w:sz="0" w:space="0" w:color="auto"/>
      </w:divBdr>
    </w:div>
    <w:div w:id="960456940">
      <w:bodyDiv w:val="1"/>
      <w:marLeft w:val="0"/>
      <w:marRight w:val="0"/>
      <w:marTop w:val="0"/>
      <w:marBottom w:val="0"/>
      <w:divBdr>
        <w:top w:val="none" w:sz="0" w:space="0" w:color="auto"/>
        <w:left w:val="none" w:sz="0" w:space="0" w:color="auto"/>
        <w:bottom w:val="none" w:sz="0" w:space="0" w:color="auto"/>
        <w:right w:val="none" w:sz="0" w:space="0" w:color="auto"/>
      </w:divBdr>
    </w:div>
    <w:div w:id="1002394487">
      <w:bodyDiv w:val="1"/>
      <w:marLeft w:val="0"/>
      <w:marRight w:val="0"/>
      <w:marTop w:val="0"/>
      <w:marBottom w:val="0"/>
      <w:divBdr>
        <w:top w:val="none" w:sz="0" w:space="0" w:color="auto"/>
        <w:left w:val="none" w:sz="0" w:space="0" w:color="auto"/>
        <w:bottom w:val="none" w:sz="0" w:space="0" w:color="auto"/>
        <w:right w:val="none" w:sz="0" w:space="0" w:color="auto"/>
      </w:divBdr>
    </w:div>
    <w:div w:id="1005135788">
      <w:bodyDiv w:val="1"/>
      <w:marLeft w:val="0"/>
      <w:marRight w:val="0"/>
      <w:marTop w:val="0"/>
      <w:marBottom w:val="0"/>
      <w:divBdr>
        <w:top w:val="none" w:sz="0" w:space="0" w:color="auto"/>
        <w:left w:val="none" w:sz="0" w:space="0" w:color="auto"/>
        <w:bottom w:val="none" w:sz="0" w:space="0" w:color="auto"/>
        <w:right w:val="none" w:sz="0" w:space="0" w:color="auto"/>
      </w:divBdr>
    </w:div>
    <w:div w:id="1020014351">
      <w:marLeft w:val="0"/>
      <w:marRight w:val="0"/>
      <w:marTop w:val="0"/>
      <w:marBottom w:val="0"/>
      <w:divBdr>
        <w:top w:val="none" w:sz="0" w:space="0" w:color="auto"/>
        <w:left w:val="none" w:sz="0" w:space="0" w:color="auto"/>
        <w:bottom w:val="none" w:sz="0" w:space="0" w:color="auto"/>
        <w:right w:val="none" w:sz="0" w:space="0" w:color="auto"/>
      </w:divBdr>
    </w:div>
    <w:div w:id="1035080922">
      <w:bodyDiv w:val="1"/>
      <w:marLeft w:val="0"/>
      <w:marRight w:val="0"/>
      <w:marTop w:val="0"/>
      <w:marBottom w:val="0"/>
      <w:divBdr>
        <w:top w:val="none" w:sz="0" w:space="0" w:color="auto"/>
        <w:left w:val="none" w:sz="0" w:space="0" w:color="auto"/>
        <w:bottom w:val="none" w:sz="0" w:space="0" w:color="auto"/>
        <w:right w:val="none" w:sz="0" w:space="0" w:color="auto"/>
      </w:divBdr>
    </w:div>
    <w:div w:id="1066756998">
      <w:bodyDiv w:val="1"/>
      <w:marLeft w:val="0"/>
      <w:marRight w:val="0"/>
      <w:marTop w:val="0"/>
      <w:marBottom w:val="0"/>
      <w:divBdr>
        <w:top w:val="none" w:sz="0" w:space="0" w:color="auto"/>
        <w:left w:val="none" w:sz="0" w:space="0" w:color="auto"/>
        <w:bottom w:val="none" w:sz="0" w:space="0" w:color="auto"/>
        <w:right w:val="none" w:sz="0" w:space="0" w:color="auto"/>
      </w:divBdr>
    </w:div>
    <w:div w:id="1078550897">
      <w:bodyDiv w:val="1"/>
      <w:marLeft w:val="0"/>
      <w:marRight w:val="0"/>
      <w:marTop w:val="0"/>
      <w:marBottom w:val="0"/>
      <w:divBdr>
        <w:top w:val="none" w:sz="0" w:space="0" w:color="auto"/>
        <w:left w:val="none" w:sz="0" w:space="0" w:color="auto"/>
        <w:bottom w:val="none" w:sz="0" w:space="0" w:color="auto"/>
        <w:right w:val="none" w:sz="0" w:space="0" w:color="auto"/>
      </w:divBdr>
    </w:div>
    <w:div w:id="1179614491">
      <w:marLeft w:val="0"/>
      <w:marRight w:val="0"/>
      <w:marTop w:val="0"/>
      <w:marBottom w:val="0"/>
      <w:divBdr>
        <w:top w:val="none" w:sz="0" w:space="0" w:color="auto"/>
        <w:left w:val="none" w:sz="0" w:space="0" w:color="auto"/>
        <w:bottom w:val="none" w:sz="0" w:space="0" w:color="auto"/>
        <w:right w:val="none" w:sz="0" w:space="0" w:color="auto"/>
      </w:divBdr>
    </w:div>
    <w:div w:id="1214386813">
      <w:bodyDiv w:val="1"/>
      <w:marLeft w:val="0"/>
      <w:marRight w:val="0"/>
      <w:marTop w:val="0"/>
      <w:marBottom w:val="0"/>
      <w:divBdr>
        <w:top w:val="none" w:sz="0" w:space="0" w:color="auto"/>
        <w:left w:val="none" w:sz="0" w:space="0" w:color="auto"/>
        <w:bottom w:val="none" w:sz="0" w:space="0" w:color="auto"/>
        <w:right w:val="none" w:sz="0" w:space="0" w:color="auto"/>
      </w:divBdr>
      <w:divsChild>
        <w:div w:id="82992977">
          <w:marLeft w:val="0"/>
          <w:marRight w:val="0"/>
          <w:marTop w:val="0"/>
          <w:marBottom w:val="0"/>
          <w:divBdr>
            <w:top w:val="none" w:sz="0" w:space="0" w:color="auto"/>
            <w:left w:val="none" w:sz="0" w:space="0" w:color="auto"/>
            <w:bottom w:val="none" w:sz="0" w:space="0" w:color="auto"/>
            <w:right w:val="none" w:sz="0" w:space="0" w:color="auto"/>
          </w:divBdr>
          <w:divsChild>
            <w:div w:id="2097092756">
              <w:marLeft w:val="0"/>
              <w:marRight w:val="0"/>
              <w:marTop w:val="0"/>
              <w:marBottom w:val="0"/>
              <w:divBdr>
                <w:top w:val="none" w:sz="0" w:space="0" w:color="auto"/>
                <w:left w:val="none" w:sz="0" w:space="0" w:color="auto"/>
                <w:bottom w:val="none" w:sz="0" w:space="0" w:color="auto"/>
                <w:right w:val="none" w:sz="0" w:space="0" w:color="auto"/>
              </w:divBdr>
              <w:divsChild>
                <w:div w:id="1718430793">
                  <w:marLeft w:val="0"/>
                  <w:marRight w:val="0"/>
                  <w:marTop w:val="0"/>
                  <w:marBottom w:val="0"/>
                  <w:divBdr>
                    <w:top w:val="none" w:sz="0" w:space="0" w:color="auto"/>
                    <w:left w:val="none" w:sz="0" w:space="0" w:color="auto"/>
                    <w:bottom w:val="none" w:sz="0" w:space="0" w:color="auto"/>
                    <w:right w:val="none" w:sz="0" w:space="0" w:color="auto"/>
                  </w:divBdr>
                  <w:divsChild>
                    <w:div w:id="280384140">
                      <w:marLeft w:val="0"/>
                      <w:marRight w:val="0"/>
                      <w:marTop w:val="0"/>
                      <w:marBottom w:val="0"/>
                      <w:divBdr>
                        <w:top w:val="none" w:sz="0" w:space="0" w:color="auto"/>
                        <w:left w:val="none" w:sz="0" w:space="0" w:color="auto"/>
                        <w:bottom w:val="none" w:sz="0" w:space="0" w:color="auto"/>
                        <w:right w:val="none" w:sz="0" w:space="0" w:color="auto"/>
                      </w:divBdr>
                      <w:divsChild>
                        <w:div w:id="103115157">
                          <w:marLeft w:val="0"/>
                          <w:marRight w:val="0"/>
                          <w:marTop w:val="0"/>
                          <w:marBottom w:val="0"/>
                          <w:divBdr>
                            <w:top w:val="none" w:sz="0" w:space="0" w:color="auto"/>
                            <w:left w:val="none" w:sz="0" w:space="0" w:color="auto"/>
                            <w:bottom w:val="none" w:sz="0" w:space="0" w:color="auto"/>
                            <w:right w:val="none" w:sz="0" w:space="0" w:color="auto"/>
                          </w:divBdr>
                          <w:divsChild>
                            <w:div w:id="1506091250">
                              <w:marLeft w:val="0"/>
                              <w:marRight w:val="0"/>
                              <w:marTop w:val="0"/>
                              <w:marBottom w:val="0"/>
                              <w:divBdr>
                                <w:top w:val="none" w:sz="0" w:space="0" w:color="auto"/>
                                <w:left w:val="none" w:sz="0" w:space="0" w:color="auto"/>
                                <w:bottom w:val="none" w:sz="0" w:space="0" w:color="auto"/>
                                <w:right w:val="none" w:sz="0" w:space="0" w:color="auto"/>
                              </w:divBdr>
                              <w:divsChild>
                                <w:div w:id="178568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5893912">
      <w:bodyDiv w:val="1"/>
      <w:marLeft w:val="0"/>
      <w:marRight w:val="0"/>
      <w:marTop w:val="0"/>
      <w:marBottom w:val="0"/>
      <w:divBdr>
        <w:top w:val="none" w:sz="0" w:space="0" w:color="auto"/>
        <w:left w:val="none" w:sz="0" w:space="0" w:color="auto"/>
        <w:bottom w:val="none" w:sz="0" w:space="0" w:color="auto"/>
        <w:right w:val="none" w:sz="0" w:space="0" w:color="auto"/>
      </w:divBdr>
    </w:div>
    <w:div w:id="1283029205">
      <w:bodyDiv w:val="1"/>
      <w:marLeft w:val="0"/>
      <w:marRight w:val="0"/>
      <w:marTop w:val="0"/>
      <w:marBottom w:val="0"/>
      <w:divBdr>
        <w:top w:val="none" w:sz="0" w:space="0" w:color="auto"/>
        <w:left w:val="none" w:sz="0" w:space="0" w:color="auto"/>
        <w:bottom w:val="none" w:sz="0" w:space="0" w:color="auto"/>
        <w:right w:val="none" w:sz="0" w:space="0" w:color="auto"/>
      </w:divBdr>
    </w:div>
    <w:div w:id="1323389333">
      <w:bodyDiv w:val="1"/>
      <w:marLeft w:val="0"/>
      <w:marRight w:val="0"/>
      <w:marTop w:val="0"/>
      <w:marBottom w:val="0"/>
      <w:divBdr>
        <w:top w:val="none" w:sz="0" w:space="0" w:color="auto"/>
        <w:left w:val="none" w:sz="0" w:space="0" w:color="auto"/>
        <w:bottom w:val="none" w:sz="0" w:space="0" w:color="auto"/>
        <w:right w:val="none" w:sz="0" w:space="0" w:color="auto"/>
      </w:divBdr>
      <w:divsChild>
        <w:div w:id="1994796922">
          <w:marLeft w:val="0"/>
          <w:marRight w:val="0"/>
          <w:marTop w:val="0"/>
          <w:marBottom w:val="0"/>
          <w:divBdr>
            <w:top w:val="none" w:sz="0" w:space="0" w:color="auto"/>
            <w:left w:val="none" w:sz="0" w:space="0" w:color="auto"/>
            <w:bottom w:val="none" w:sz="0" w:space="0" w:color="auto"/>
            <w:right w:val="none" w:sz="0" w:space="0" w:color="auto"/>
          </w:divBdr>
          <w:divsChild>
            <w:div w:id="299194971">
              <w:marLeft w:val="0"/>
              <w:marRight w:val="0"/>
              <w:marTop w:val="0"/>
              <w:marBottom w:val="0"/>
              <w:divBdr>
                <w:top w:val="none" w:sz="0" w:space="0" w:color="auto"/>
                <w:left w:val="none" w:sz="0" w:space="0" w:color="auto"/>
                <w:bottom w:val="none" w:sz="0" w:space="0" w:color="auto"/>
                <w:right w:val="none" w:sz="0" w:space="0" w:color="auto"/>
              </w:divBdr>
              <w:divsChild>
                <w:div w:id="468791120">
                  <w:marLeft w:val="-330"/>
                  <w:marRight w:val="0"/>
                  <w:marTop w:val="0"/>
                  <w:marBottom w:val="0"/>
                  <w:divBdr>
                    <w:top w:val="none" w:sz="0" w:space="0" w:color="auto"/>
                    <w:left w:val="none" w:sz="0" w:space="0" w:color="auto"/>
                    <w:bottom w:val="none" w:sz="0" w:space="0" w:color="auto"/>
                    <w:right w:val="none" w:sz="0" w:space="0" w:color="auto"/>
                  </w:divBdr>
                </w:div>
                <w:div w:id="766273540">
                  <w:marLeft w:val="0"/>
                  <w:marRight w:val="0"/>
                  <w:marTop w:val="0"/>
                  <w:marBottom w:val="0"/>
                  <w:divBdr>
                    <w:top w:val="none" w:sz="0" w:space="0" w:color="auto"/>
                    <w:left w:val="none" w:sz="0" w:space="0" w:color="auto"/>
                    <w:bottom w:val="none" w:sz="0" w:space="0" w:color="auto"/>
                    <w:right w:val="none" w:sz="0" w:space="0" w:color="auto"/>
                  </w:divBdr>
                  <w:divsChild>
                    <w:div w:id="54965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230340">
          <w:marLeft w:val="0"/>
          <w:marRight w:val="0"/>
          <w:marTop w:val="0"/>
          <w:marBottom w:val="0"/>
          <w:divBdr>
            <w:top w:val="none" w:sz="0" w:space="0" w:color="auto"/>
            <w:left w:val="none" w:sz="0" w:space="0" w:color="auto"/>
            <w:bottom w:val="none" w:sz="0" w:space="0" w:color="auto"/>
            <w:right w:val="none" w:sz="0" w:space="0" w:color="auto"/>
          </w:divBdr>
          <w:divsChild>
            <w:div w:id="1031223560">
              <w:marLeft w:val="0"/>
              <w:marRight w:val="0"/>
              <w:marTop w:val="0"/>
              <w:marBottom w:val="0"/>
              <w:divBdr>
                <w:top w:val="none" w:sz="0" w:space="0" w:color="auto"/>
                <w:left w:val="none" w:sz="0" w:space="0" w:color="auto"/>
                <w:bottom w:val="none" w:sz="0" w:space="0" w:color="auto"/>
                <w:right w:val="none" w:sz="0" w:space="0" w:color="auto"/>
              </w:divBdr>
              <w:divsChild>
                <w:div w:id="1484157808">
                  <w:marLeft w:val="0"/>
                  <w:marRight w:val="0"/>
                  <w:marTop w:val="0"/>
                  <w:marBottom w:val="0"/>
                  <w:divBdr>
                    <w:top w:val="none" w:sz="0" w:space="0" w:color="auto"/>
                    <w:left w:val="none" w:sz="0" w:space="0" w:color="auto"/>
                    <w:bottom w:val="none" w:sz="0" w:space="0" w:color="auto"/>
                    <w:right w:val="none" w:sz="0" w:space="0" w:color="auto"/>
                  </w:divBdr>
                  <w:divsChild>
                    <w:div w:id="605499307">
                      <w:marLeft w:val="0"/>
                      <w:marRight w:val="0"/>
                      <w:marTop w:val="0"/>
                      <w:marBottom w:val="0"/>
                      <w:divBdr>
                        <w:top w:val="none" w:sz="0" w:space="0" w:color="auto"/>
                        <w:left w:val="none" w:sz="0" w:space="0" w:color="auto"/>
                        <w:bottom w:val="none" w:sz="0" w:space="0" w:color="auto"/>
                        <w:right w:val="none" w:sz="0" w:space="0" w:color="auto"/>
                      </w:divBdr>
                      <w:divsChild>
                        <w:div w:id="673267572">
                          <w:marLeft w:val="0"/>
                          <w:marRight w:val="0"/>
                          <w:marTop w:val="0"/>
                          <w:marBottom w:val="0"/>
                          <w:divBdr>
                            <w:top w:val="single" w:sz="6" w:space="0" w:color="C2C3C4"/>
                            <w:left w:val="single" w:sz="6" w:space="0" w:color="C2C3C4"/>
                            <w:bottom w:val="none" w:sz="0" w:space="0" w:color="auto"/>
                            <w:right w:val="single" w:sz="6" w:space="0" w:color="C2C3C4"/>
                          </w:divBdr>
                          <w:divsChild>
                            <w:div w:id="2028170719">
                              <w:marLeft w:val="0"/>
                              <w:marRight w:val="0"/>
                              <w:marTop w:val="0"/>
                              <w:marBottom w:val="0"/>
                              <w:divBdr>
                                <w:top w:val="none" w:sz="0" w:space="0" w:color="auto"/>
                                <w:left w:val="none" w:sz="0" w:space="0" w:color="auto"/>
                                <w:bottom w:val="none" w:sz="0" w:space="0" w:color="auto"/>
                                <w:right w:val="none" w:sz="0" w:space="0" w:color="auto"/>
                              </w:divBdr>
                              <w:divsChild>
                                <w:div w:id="1665359925">
                                  <w:marLeft w:val="0"/>
                                  <w:marRight w:val="0"/>
                                  <w:marTop w:val="0"/>
                                  <w:marBottom w:val="0"/>
                                  <w:divBdr>
                                    <w:top w:val="none" w:sz="0" w:space="0" w:color="auto"/>
                                    <w:left w:val="none" w:sz="0" w:space="0" w:color="auto"/>
                                    <w:bottom w:val="none" w:sz="0" w:space="0" w:color="auto"/>
                                    <w:right w:val="none" w:sz="0" w:space="0" w:color="auto"/>
                                  </w:divBdr>
                                  <w:divsChild>
                                    <w:div w:id="1988703253">
                                      <w:marLeft w:val="90"/>
                                      <w:marRight w:val="0"/>
                                      <w:marTop w:val="0"/>
                                      <w:marBottom w:val="0"/>
                                      <w:divBdr>
                                        <w:top w:val="none" w:sz="0" w:space="0" w:color="auto"/>
                                        <w:left w:val="none" w:sz="0" w:space="0" w:color="auto"/>
                                        <w:bottom w:val="none" w:sz="0" w:space="0" w:color="auto"/>
                                        <w:right w:val="none" w:sz="0" w:space="0" w:color="auto"/>
                                      </w:divBdr>
                                    </w:div>
                                    <w:div w:id="817919380">
                                      <w:marLeft w:val="90"/>
                                      <w:marRight w:val="0"/>
                                      <w:marTop w:val="0"/>
                                      <w:marBottom w:val="0"/>
                                      <w:divBdr>
                                        <w:top w:val="none" w:sz="0" w:space="0" w:color="auto"/>
                                        <w:left w:val="none" w:sz="0" w:space="0" w:color="auto"/>
                                        <w:bottom w:val="none" w:sz="0" w:space="0" w:color="auto"/>
                                        <w:right w:val="none" w:sz="0" w:space="0" w:color="auto"/>
                                      </w:divBdr>
                                    </w:div>
                                    <w:div w:id="1645575477">
                                      <w:marLeft w:val="90"/>
                                      <w:marRight w:val="0"/>
                                      <w:marTop w:val="0"/>
                                      <w:marBottom w:val="0"/>
                                      <w:divBdr>
                                        <w:top w:val="none" w:sz="0" w:space="0" w:color="auto"/>
                                        <w:left w:val="none" w:sz="0" w:space="0" w:color="auto"/>
                                        <w:bottom w:val="none" w:sz="0" w:space="0" w:color="auto"/>
                                        <w:right w:val="none" w:sz="0" w:space="0" w:color="auto"/>
                                      </w:divBdr>
                                    </w:div>
                                    <w:div w:id="416951278">
                                      <w:marLeft w:val="9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4380489">
      <w:bodyDiv w:val="1"/>
      <w:marLeft w:val="0"/>
      <w:marRight w:val="0"/>
      <w:marTop w:val="0"/>
      <w:marBottom w:val="0"/>
      <w:divBdr>
        <w:top w:val="none" w:sz="0" w:space="0" w:color="auto"/>
        <w:left w:val="none" w:sz="0" w:space="0" w:color="auto"/>
        <w:bottom w:val="none" w:sz="0" w:space="0" w:color="auto"/>
        <w:right w:val="none" w:sz="0" w:space="0" w:color="auto"/>
      </w:divBdr>
    </w:div>
    <w:div w:id="1391804687">
      <w:bodyDiv w:val="1"/>
      <w:marLeft w:val="0"/>
      <w:marRight w:val="0"/>
      <w:marTop w:val="0"/>
      <w:marBottom w:val="0"/>
      <w:divBdr>
        <w:top w:val="none" w:sz="0" w:space="0" w:color="auto"/>
        <w:left w:val="none" w:sz="0" w:space="0" w:color="auto"/>
        <w:bottom w:val="none" w:sz="0" w:space="0" w:color="auto"/>
        <w:right w:val="none" w:sz="0" w:space="0" w:color="auto"/>
      </w:divBdr>
    </w:div>
    <w:div w:id="1423180143">
      <w:marLeft w:val="0"/>
      <w:marRight w:val="0"/>
      <w:marTop w:val="0"/>
      <w:marBottom w:val="0"/>
      <w:divBdr>
        <w:top w:val="none" w:sz="0" w:space="0" w:color="auto"/>
        <w:left w:val="none" w:sz="0" w:space="0" w:color="auto"/>
        <w:bottom w:val="none" w:sz="0" w:space="0" w:color="auto"/>
        <w:right w:val="none" w:sz="0" w:space="0" w:color="auto"/>
      </w:divBdr>
      <w:divsChild>
        <w:div w:id="363017579">
          <w:marLeft w:val="0"/>
          <w:marRight w:val="0"/>
          <w:marTop w:val="0"/>
          <w:marBottom w:val="0"/>
          <w:divBdr>
            <w:top w:val="none" w:sz="0" w:space="0" w:color="auto"/>
            <w:left w:val="none" w:sz="0" w:space="0" w:color="auto"/>
            <w:bottom w:val="none" w:sz="0" w:space="0" w:color="auto"/>
            <w:right w:val="none" w:sz="0" w:space="0" w:color="auto"/>
          </w:divBdr>
          <w:divsChild>
            <w:div w:id="166555846">
              <w:marLeft w:val="0"/>
              <w:marRight w:val="0"/>
              <w:marTop w:val="0"/>
              <w:marBottom w:val="0"/>
              <w:divBdr>
                <w:top w:val="none" w:sz="0" w:space="0" w:color="auto"/>
                <w:left w:val="none" w:sz="0" w:space="0" w:color="auto"/>
                <w:bottom w:val="none" w:sz="0" w:space="0" w:color="auto"/>
                <w:right w:val="none" w:sz="0" w:space="0" w:color="auto"/>
              </w:divBdr>
              <w:divsChild>
                <w:div w:id="435293142">
                  <w:marLeft w:val="0"/>
                  <w:marRight w:val="0"/>
                  <w:marTop w:val="0"/>
                  <w:marBottom w:val="0"/>
                  <w:divBdr>
                    <w:top w:val="none" w:sz="0" w:space="0" w:color="auto"/>
                    <w:left w:val="none" w:sz="0" w:space="0" w:color="auto"/>
                    <w:bottom w:val="none" w:sz="0" w:space="0" w:color="auto"/>
                    <w:right w:val="none" w:sz="0" w:space="0" w:color="auto"/>
                  </w:divBdr>
                  <w:divsChild>
                    <w:div w:id="457189363">
                      <w:marLeft w:val="0"/>
                      <w:marRight w:val="0"/>
                      <w:marTop w:val="0"/>
                      <w:marBottom w:val="0"/>
                      <w:divBdr>
                        <w:top w:val="none" w:sz="0" w:space="0" w:color="auto"/>
                        <w:left w:val="none" w:sz="0" w:space="0" w:color="auto"/>
                        <w:bottom w:val="none" w:sz="0" w:space="0" w:color="auto"/>
                        <w:right w:val="none" w:sz="0" w:space="0" w:color="auto"/>
                      </w:divBdr>
                      <w:divsChild>
                        <w:div w:id="1696035909">
                          <w:marLeft w:val="0"/>
                          <w:marRight w:val="0"/>
                          <w:marTop w:val="0"/>
                          <w:marBottom w:val="0"/>
                          <w:divBdr>
                            <w:top w:val="none" w:sz="0" w:space="0" w:color="auto"/>
                            <w:left w:val="none" w:sz="0" w:space="0" w:color="auto"/>
                            <w:bottom w:val="none" w:sz="0" w:space="0" w:color="auto"/>
                            <w:right w:val="none" w:sz="0" w:space="0" w:color="auto"/>
                          </w:divBdr>
                          <w:divsChild>
                            <w:div w:id="1812097538">
                              <w:marLeft w:val="0"/>
                              <w:marRight w:val="0"/>
                              <w:marTop w:val="0"/>
                              <w:marBottom w:val="0"/>
                              <w:divBdr>
                                <w:top w:val="none" w:sz="0" w:space="0" w:color="auto"/>
                                <w:left w:val="none" w:sz="0" w:space="0" w:color="auto"/>
                                <w:bottom w:val="none" w:sz="0" w:space="0" w:color="auto"/>
                                <w:right w:val="none" w:sz="0" w:space="0" w:color="auto"/>
                              </w:divBdr>
                              <w:divsChild>
                                <w:div w:id="704215455">
                                  <w:marLeft w:val="0"/>
                                  <w:marRight w:val="0"/>
                                  <w:marTop w:val="0"/>
                                  <w:marBottom w:val="0"/>
                                  <w:divBdr>
                                    <w:top w:val="none" w:sz="0" w:space="0" w:color="auto"/>
                                    <w:left w:val="none" w:sz="0" w:space="0" w:color="auto"/>
                                    <w:bottom w:val="none" w:sz="0" w:space="0" w:color="auto"/>
                                    <w:right w:val="none" w:sz="0" w:space="0" w:color="auto"/>
                                  </w:divBdr>
                                  <w:divsChild>
                                    <w:div w:id="19472934">
                                      <w:marLeft w:val="0"/>
                                      <w:marRight w:val="0"/>
                                      <w:marTop w:val="0"/>
                                      <w:marBottom w:val="0"/>
                                      <w:divBdr>
                                        <w:top w:val="none" w:sz="0" w:space="0" w:color="auto"/>
                                        <w:left w:val="none" w:sz="0" w:space="0" w:color="auto"/>
                                        <w:bottom w:val="none" w:sz="0" w:space="0" w:color="auto"/>
                                        <w:right w:val="none" w:sz="0" w:space="0" w:color="auto"/>
                                      </w:divBdr>
                                      <w:divsChild>
                                        <w:div w:id="1889100153">
                                          <w:marLeft w:val="0"/>
                                          <w:marRight w:val="0"/>
                                          <w:marTop w:val="0"/>
                                          <w:marBottom w:val="0"/>
                                          <w:divBdr>
                                            <w:top w:val="none" w:sz="0" w:space="0" w:color="auto"/>
                                            <w:left w:val="none" w:sz="0" w:space="0" w:color="auto"/>
                                            <w:bottom w:val="none" w:sz="0" w:space="0" w:color="auto"/>
                                            <w:right w:val="none" w:sz="0" w:space="0" w:color="auto"/>
                                          </w:divBdr>
                                          <w:divsChild>
                                            <w:div w:id="1567758994">
                                              <w:marLeft w:val="0"/>
                                              <w:marRight w:val="0"/>
                                              <w:marTop w:val="0"/>
                                              <w:marBottom w:val="0"/>
                                              <w:divBdr>
                                                <w:top w:val="none" w:sz="0" w:space="0" w:color="auto"/>
                                                <w:left w:val="none" w:sz="0" w:space="0" w:color="auto"/>
                                                <w:bottom w:val="none" w:sz="0" w:space="0" w:color="auto"/>
                                                <w:right w:val="none" w:sz="0" w:space="0" w:color="auto"/>
                                              </w:divBdr>
                                              <w:divsChild>
                                                <w:div w:id="153518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26071076">
      <w:bodyDiv w:val="1"/>
      <w:marLeft w:val="0"/>
      <w:marRight w:val="0"/>
      <w:marTop w:val="0"/>
      <w:marBottom w:val="0"/>
      <w:divBdr>
        <w:top w:val="none" w:sz="0" w:space="0" w:color="auto"/>
        <w:left w:val="none" w:sz="0" w:space="0" w:color="auto"/>
        <w:bottom w:val="none" w:sz="0" w:space="0" w:color="auto"/>
        <w:right w:val="none" w:sz="0" w:space="0" w:color="auto"/>
      </w:divBdr>
    </w:div>
    <w:div w:id="1526210603">
      <w:bodyDiv w:val="1"/>
      <w:marLeft w:val="0"/>
      <w:marRight w:val="0"/>
      <w:marTop w:val="0"/>
      <w:marBottom w:val="0"/>
      <w:divBdr>
        <w:top w:val="none" w:sz="0" w:space="0" w:color="auto"/>
        <w:left w:val="none" w:sz="0" w:space="0" w:color="auto"/>
        <w:bottom w:val="none" w:sz="0" w:space="0" w:color="auto"/>
        <w:right w:val="none" w:sz="0" w:space="0" w:color="auto"/>
      </w:divBdr>
      <w:divsChild>
        <w:div w:id="386950644">
          <w:marLeft w:val="0"/>
          <w:marRight w:val="0"/>
          <w:marTop w:val="0"/>
          <w:marBottom w:val="0"/>
          <w:divBdr>
            <w:top w:val="none" w:sz="0" w:space="0" w:color="auto"/>
            <w:left w:val="none" w:sz="0" w:space="0" w:color="auto"/>
            <w:bottom w:val="none" w:sz="0" w:space="0" w:color="auto"/>
            <w:right w:val="none" w:sz="0" w:space="0" w:color="auto"/>
          </w:divBdr>
          <w:divsChild>
            <w:div w:id="1274555352">
              <w:marLeft w:val="0"/>
              <w:marRight w:val="0"/>
              <w:marTop w:val="0"/>
              <w:marBottom w:val="0"/>
              <w:divBdr>
                <w:top w:val="none" w:sz="0" w:space="0" w:color="auto"/>
                <w:left w:val="none" w:sz="0" w:space="0" w:color="auto"/>
                <w:bottom w:val="none" w:sz="0" w:space="0" w:color="auto"/>
                <w:right w:val="none" w:sz="0" w:space="0" w:color="auto"/>
              </w:divBdr>
              <w:divsChild>
                <w:div w:id="751972537">
                  <w:marLeft w:val="0"/>
                  <w:marRight w:val="0"/>
                  <w:marTop w:val="0"/>
                  <w:marBottom w:val="0"/>
                  <w:divBdr>
                    <w:top w:val="none" w:sz="0" w:space="0" w:color="auto"/>
                    <w:left w:val="none" w:sz="0" w:space="0" w:color="auto"/>
                    <w:bottom w:val="none" w:sz="0" w:space="0" w:color="auto"/>
                    <w:right w:val="none" w:sz="0" w:space="0" w:color="auto"/>
                  </w:divBdr>
                  <w:divsChild>
                    <w:div w:id="33700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7517058">
      <w:bodyDiv w:val="1"/>
      <w:marLeft w:val="0"/>
      <w:marRight w:val="0"/>
      <w:marTop w:val="0"/>
      <w:marBottom w:val="0"/>
      <w:divBdr>
        <w:top w:val="none" w:sz="0" w:space="0" w:color="auto"/>
        <w:left w:val="none" w:sz="0" w:space="0" w:color="auto"/>
        <w:bottom w:val="none" w:sz="0" w:space="0" w:color="auto"/>
        <w:right w:val="none" w:sz="0" w:space="0" w:color="auto"/>
      </w:divBdr>
    </w:div>
    <w:div w:id="1707680115">
      <w:bodyDiv w:val="1"/>
      <w:marLeft w:val="0"/>
      <w:marRight w:val="0"/>
      <w:marTop w:val="0"/>
      <w:marBottom w:val="0"/>
      <w:divBdr>
        <w:top w:val="none" w:sz="0" w:space="0" w:color="auto"/>
        <w:left w:val="none" w:sz="0" w:space="0" w:color="auto"/>
        <w:bottom w:val="none" w:sz="0" w:space="0" w:color="auto"/>
        <w:right w:val="none" w:sz="0" w:space="0" w:color="auto"/>
      </w:divBdr>
      <w:divsChild>
        <w:div w:id="965354307">
          <w:marLeft w:val="0"/>
          <w:marRight w:val="0"/>
          <w:marTop w:val="0"/>
          <w:marBottom w:val="0"/>
          <w:divBdr>
            <w:top w:val="none" w:sz="0" w:space="0" w:color="auto"/>
            <w:left w:val="none" w:sz="0" w:space="0" w:color="auto"/>
            <w:bottom w:val="none" w:sz="0" w:space="0" w:color="auto"/>
            <w:right w:val="none" w:sz="0" w:space="0" w:color="auto"/>
          </w:divBdr>
          <w:divsChild>
            <w:div w:id="713503038">
              <w:marLeft w:val="0"/>
              <w:marRight w:val="0"/>
              <w:marTop w:val="0"/>
              <w:marBottom w:val="0"/>
              <w:divBdr>
                <w:top w:val="none" w:sz="0" w:space="0" w:color="auto"/>
                <w:left w:val="none" w:sz="0" w:space="0" w:color="auto"/>
                <w:bottom w:val="none" w:sz="0" w:space="0" w:color="auto"/>
                <w:right w:val="none" w:sz="0" w:space="0" w:color="auto"/>
              </w:divBdr>
              <w:divsChild>
                <w:div w:id="211696839">
                  <w:marLeft w:val="0"/>
                  <w:marRight w:val="0"/>
                  <w:marTop w:val="0"/>
                  <w:marBottom w:val="0"/>
                  <w:divBdr>
                    <w:top w:val="none" w:sz="0" w:space="0" w:color="auto"/>
                    <w:left w:val="none" w:sz="0" w:space="0" w:color="auto"/>
                    <w:bottom w:val="none" w:sz="0" w:space="0" w:color="auto"/>
                    <w:right w:val="none" w:sz="0" w:space="0" w:color="auto"/>
                  </w:divBdr>
                  <w:divsChild>
                    <w:div w:id="3533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9143732">
      <w:marLeft w:val="0"/>
      <w:marRight w:val="0"/>
      <w:marTop w:val="0"/>
      <w:marBottom w:val="0"/>
      <w:divBdr>
        <w:top w:val="none" w:sz="0" w:space="0" w:color="auto"/>
        <w:left w:val="none" w:sz="0" w:space="0" w:color="auto"/>
        <w:bottom w:val="none" w:sz="0" w:space="0" w:color="auto"/>
        <w:right w:val="none" w:sz="0" w:space="0" w:color="auto"/>
      </w:divBdr>
      <w:divsChild>
        <w:div w:id="1119951109">
          <w:marLeft w:val="0"/>
          <w:marRight w:val="0"/>
          <w:marTop w:val="0"/>
          <w:marBottom w:val="0"/>
          <w:divBdr>
            <w:top w:val="none" w:sz="0" w:space="0" w:color="auto"/>
            <w:left w:val="none" w:sz="0" w:space="0" w:color="auto"/>
            <w:bottom w:val="none" w:sz="0" w:space="0" w:color="auto"/>
            <w:right w:val="none" w:sz="0" w:space="0" w:color="auto"/>
          </w:divBdr>
          <w:divsChild>
            <w:div w:id="1366444653">
              <w:marLeft w:val="0"/>
              <w:marRight w:val="0"/>
              <w:marTop w:val="0"/>
              <w:marBottom w:val="0"/>
              <w:divBdr>
                <w:top w:val="none" w:sz="0" w:space="0" w:color="auto"/>
                <w:left w:val="none" w:sz="0" w:space="0" w:color="auto"/>
                <w:bottom w:val="none" w:sz="0" w:space="0" w:color="auto"/>
                <w:right w:val="none" w:sz="0" w:space="0" w:color="auto"/>
              </w:divBdr>
              <w:divsChild>
                <w:div w:id="1752501968">
                  <w:marLeft w:val="0"/>
                  <w:marRight w:val="0"/>
                  <w:marTop w:val="0"/>
                  <w:marBottom w:val="0"/>
                  <w:divBdr>
                    <w:top w:val="none" w:sz="0" w:space="0" w:color="auto"/>
                    <w:left w:val="none" w:sz="0" w:space="0" w:color="auto"/>
                    <w:bottom w:val="none" w:sz="0" w:space="0" w:color="auto"/>
                    <w:right w:val="none" w:sz="0" w:space="0" w:color="auto"/>
                  </w:divBdr>
                  <w:divsChild>
                    <w:div w:id="44566294">
                      <w:marLeft w:val="0"/>
                      <w:marRight w:val="0"/>
                      <w:marTop w:val="0"/>
                      <w:marBottom w:val="0"/>
                      <w:divBdr>
                        <w:top w:val="none" w:sz="0" w:space="0" w:color="auto"/>
                        <w:left w:val="none" w:sz="0" w:space="0" w:color="auto"/>
                        <w:bottom w:val="none" w:sz="0" w:space="0" w:color="auto"/>
                        <w:right w:val="none" w:sz="0" w:space="0" w:color="auto"/>
                      </w:divBdr>
                      <w:divsChild>
                        <w:div w:id="1735278690">
                          <w:marLeft w:val="0"/>
                          <w:marRight w:val="0"/>
                          <w:marTop w:val="0"/>
                          <w:marBottom w:val="0"/>
                          <w:divBdr>
                            <w:top w:val="none" w:sz="0" w:space="0" w:color="auto"/>
                            <w:left w:val="none" w:sz="0" w:space="0" w:color="auto"/>
                            <w:bottom w:val="none" w:sz="0" w:space="0" w:color="auto"/>
                            <w:right w:val="none" w:sz="0" w:space="0" w:color="auto"/>
                          </w:divBdr>
                          <w:divsChild>
                            <w:div w:id="1436823888">
                              <w:marLeft w:val="0"/>
                              <w:marRight w:val="0"/>
                              <w:marTop w:val="0"/>
                              <w:marBottom w:val="0"/>
                              <w:divBdr>
                                <w:top w:val="none" w:sz="0" w:space="0" w:color="auto"/>
                                <w:left w:val="none" w:sz="0" w:space="0" w:color="auto"/>
                                <w:bottom w:val="none" w:sz="0" w:space="0" w:color="auto"/>
                                <w:right w:val="none" w:sz="0" w:space="0" w:color="auto"/>
                              </w:divBdr>
                              <w:divsChild>
                                <w:div w:id="453796263">
                                  <w:marLeft w:val="0"/>
                                  <w:marRight w:val="0"/>
                                  <w:marTop w:val="0"/>
                                  <w:marBottom w:val="0"/>
                                  <w:divBdr>
                                    <w:top w:val="none" w:sz="0" w:space="0" w:color="auto"/>
                                    <w:left w:val="none" w:sz="0" w:space="0" w:color="auto"/>
                                    <w:bottom w:val="none" w:sz="0" w:space="0" w:color="auto"/>
                                    <w:right w:val="none" w:sz="0" w:space="0" w:color="auto"/>
                                  </w:divBdr>
                                  <w:divsChild>
                                    <w:div w:id="2018731886">
                                      <w:marLeft w:val="0"/>
                                      <w:marRight w:val="0"/>
                                      <w:marTop w:val="0"/>
                                      <w:marBottom w:val="0"/>
                                      <w:divBdr>
                                        <w:top w:val="none" w:sz="0" w:space="0" w:color="auto"/>
                                        <w:left w:val="none" w:sz="0" w:space="0" w:color="auto"/>
                                        <w:bottom w:val="none" w:sz="0" w:space="0" w:color="auto"/>
                                        <w:right w:val="none" w:sz="0" w:space="0" w:color="auto"/>
                                      </w:divBdr>
                                      <w:divsChild>
                                        <w:div w:id="2140612487">
                                          <w:marLeft w:val="0"/>
                                          <w:marRight w:val="0"/>
                                          <w:marTop w:val="0"/>
                                          <w:marBottom w:val="0"/>
                                          <w:divBdr>
                                            <w:top w:val="none" w:sz="0" w:space="0" w:color="auto"/>
                                            <w:left w:val="none" w:sz="0" w:space="0" w:color="auto"/>
                                            <w:bottom w:val="none" w:sz="0" w:space="0" w:color="auto"/>
                                            <w:right w:val="none" w:sz="0" w:space="0" w:color="auto"/>
                                          </w:divBdr>
                                          <w:divsChild>
                                            <w:div w:id="1162355904">
                                              <w:marLeft w:val="0"/>
                                              <w:marRight w:val="0"/>
                                              <w:marTop w:val="0"/>
                                              <w:marBottom w:val="0"/>
                                              <w:divBdr>
                                                <w:top w:val="none" w:sz="0" w:space="0" w:color="auto"/>
                                                <w:left w:val="none" w:sz="0" w:space="0" w:color="auto"/>
                                                <w:bottom w:val="none" w:sz="0" w:space="0" w:color="auto"/>
                                                <w:right w:val="none" w:sz="0" w:space="0" w:color="auto"/>
                                              </w:divBdr>
                                              <w:divsChild>
                                                <w:div w:id="199101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47145158">
      <w:bodyDiv w:val="1"/>
      <w:marLeft w:val="0"/>
      <w:marRight w:val="0"/>
      <w:marTop w:val="0"/>
      <w:marBottom w:val="0"/>
      <w:divBdr>
        <w:top w:val="none" w:sz="0" w:space="0" w:color="auto"/>
        <w:left w:val="none" w:sz="0" w:space="0" w:color="auto"/>
        <w:bottom w:val="none" w:sz="0" w:space="0" w:color="auto"/>
        <w:right w:val="none" w:sz="0" w:space="0" w:color="auto"/>
      </w:divBdr>
    </w:div>
    <w:div w:id="1790737761">
      <w:bodyDiv w:val="1"/>
      <w:marLeft w:val="0"/>
      <w:marRight w:val="0"/>
      <w:marTop w:val="0"/>
      <w:marBottom w:val="0"/>
      <w:divBdr>
        <w:top w:val="none" w:sz="0" w:space="0" w:color="auto"/>
        <w:left w:val="none" w:sz="0" w:space="0" w:color="auto"/>
        <w:bottom w:val="none" w:sz="0" w:space="0" w:color="auto"/>
        <w:right w:val="none" w:sz="0" w:space="0" w:color="auto"/>
      </w:divBdr>
    </w:div>
    <w:div w:id="1957591454">
      <w:marLeft w:val="0"/>
      <w:marRight w:val="0"/>
      <w:marTop w:val="0"/>
      <w:marBottom w:val="0"/>
      <w:divBdr>
        <w:top w:val="none" w:sz="0" w:space="0" w:color="auto"/>
        <w:left w:val="none" w:sz="0" w:space="0" w:color="auto"/>
        <w:bottom w:val="none" w:sz="0" w:space="0" w:color="auto"/>
        <w:right w:val="none" w:sz="0" w:space="0" w:color="auto"/>
      </w:divBdr>
    </w:div>
    <w:div w:id="2144692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si/assets/ministrstva/MZ/DOKUMENTI/O-MINISTRSTVU/Sektor-za-dolgotrajno-oskrbo/Priporocila-za-preprecevanje-in-zajezitev-okuzb-z-virusom-SARS-CoV-2.pdf"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E877EF1-A14D-47DC-A9AD-31910873A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8824</Words>
  <Characters>50300</Characters>
  <Application>Microsoft Office Word</Application>
  <DocSecurity>0</DocSecurity>
  <Lines>419</Lines>
  <Paragraphs>118</Paragraphs>
  <ScaleCrop>false</ScaleCrop>
  <HeadingPairs>
    <vt:vector size="2" baseType="variant">
      <vt:variant>
        <vt:lpstr>Naslov</vt:lpstr>
      </vt:variant>
      <vt:variant>
        <vt:i4>1</vt:i4>
      </vt:variant>
    </vt:vector>
  </HeadingPairs>
  <TitlesOfParts>
    <vt:vector size="1" baseType="lpstr">
      <vt:lpstr/>
    </vt:vector>
  </TitlesOfParts>
  <Company>MJU</Company>
  <LinksUpToDate>false</LinksUpToDate>
  <CharactersWithSpaces>59006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Matjaž Dragar</dc:creator>
  <cp:keywords/>
  <dc:description/>
  <cp:lastModifiedBy>MKRR</cp:lastModifiedBy>
  <cp:revision>2</cp:revision>
  <cp:lastPrinted>2023-04-07T08:45:00Z</cp:lastPrinted>
  <dcterms:created xsi:type="dcterms:W3CDTF">2023-06-23T05:34:00Z</dcterms:created>
  <dcterms:modified xsi:type="dcterms:W3CDTF">2023-06-23T05:34:00Z</dcterms:modified>
</cp:coreProperties>
</file>